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B4A" w:val="clear"/>
            <w:tcMar>
              <w:top w:type="dxa" w:w="400"/>
              <w:left w:type="dxa" w:w="400"/>
              <w:bottom w:type="dxa" w:w="400"/>
              <w:right w:type="dxa" w:w="400"/>
            </w:tcMar>
          </w:tcPr>
          <w:p>
            <w:pPr>
              <w:spacing w:after="120" w:before="0"/>
              <w:jc w:val="center"/>
            </w:pPr>
            <w:r>
              <w:rPr>
                <w:rFonts w:ascii="Arial" w:cs="Arial" w:eastAsia="Arial" w:hAnsi="Arial"/>
                <w:b/>
                <w:bCs/>
                <w:color w:val="FFFFFF"/>
                <w:sz w:val="60"/>
                <w:szCs w:val="60"/>
              </w:rPr>
              <w:t xml:space="preserve">PPFDaaS</w:t>
            </w:r>
          </w:p>
          <w:p>
            <w:pPr>
              <w:spacing w:after="120" w:before="0"/>
              <w:jc w:val="center"/>
            </w:pPr>
            <w:r>
              <w:rPr>
                <w:rFonts w:ascii="Arial" w:cs="Arial" w:eastAsia="Arial" w:hAnsi="Arial"/>
                <w:i/>
                <w:iCs/>
                <w:color w:val="BFDBFE"/>
                <w:sz w:val="26"/>
                <w:szCs w:val="26"/>
              </w:rPr>
              <w:t xml:space="preserve">Privacy-Preserving Fraud Detection as a Service</w:t>
            </w:r>
          </w:p>
          <w:p>
            <w:pPr>
              <w:spacing w:after="0" w:before="160"/>
              <w:jc w:val="center"/>
            </w:pPr>
            <w:r>
              <w:rPr>
                <w:rFonts w:ascii="Arial" w:cs="Arial" w:eastAsia="Arial" w:hAnsi="Arial"/>
                <w:b/>
                <w:bCs/>
                <w:color w:val="60A5FA"/>
                <w:sz w:val="36"/>
                <w:szCs w:val="36"/>
              </w:rPr>
              <w:t xml:space="preserve">PRE-FLIGHT AUDIT REPORT</w:t>
            </w:r>
          </w:p>
          <w:p>
            <w:pPr>
              <w:spacing w:after="0" w:before="40"/>
              <w:jc w:val="center"/>
            </w:pPr>
            <w:r>
              <w:rPr>
                <w:rFonts w:ascii="Arial" w:cs="Arial" w:eastAsia="Arial" w:hAnsi="Arial"/>
                <w:color w:val="93C5FD"/>
                <w:sz w:val="28"/>
                <w:szCs w:val="28"/>
              </w:rPr>
              <w:t xml:space="preserve">&amp;</w:t>
            </w:r>
          </w:p>
          <w:p>
            <w:pPr>
              <w:spacing w:after="160" w:before="40"/>
              <w:jc w:val="center"/>
            </w:pPr>
            <w:r>
              <w:rPr>
                <w:rFonts w:ascii="Arial" w:cs="Arial" w:eastAsia="Arial" w:hAnsi="Arial"/>
                <w:b/>
                <w:bCs/>
                <w:color w:val="60A5FA"/>
                <w:sz w:val="36"/>
                <w:szCs w:val="36"/>
              </w:rPr>
              <w:t xml:space="preserve">COMPREHENSIVE STUDY &amp; DEFENSE GUIDE</w:t>
            </w:r>
          </w:p>
          <w:p>
            <w:pPr>
              <w:spacing w:after="0" w:before="160"/>
              <w:jc w:val="center"/>
            </w:pPr>
            <w:r>
              <w:rPr>
                <w:rFonts w:ascii="Arial" w:cs="Arial" w:eastAsia="Arial" w:hAnsi="Arial"/>
                <w:color w:val="FFFFFF"/>
                <w:sz w:val="22"/>
                <w:szCs w:val="22"/>
              </w:rPr>
              <w:t xml:space="preserve">B.Tech Viva Examination &amp; Internship Interview Preparation</w:t>
            </w:r>
          </w:p>
        </w:tc>
      </w:tr>
    </w:tbl>
    <w:p>
      <w:pPr>
        <w:spacing w:after="80" w:before="200"/>
        <w:jc w:val="center"/>
      </w:pPr>
      <w:r>
        <w:rPr>
          <w:rFonts w:ascii="Arial" w:cs="Arial" w:eastAsia="Arial" w:hAnsi="Arial"/>
          <w:i/>
          <w:iCs/>
          <w:color w:val="6B7280"/>
          <w:sz w:val="20"/>
          <w:szCs w:val="20"/>
        </w:rPr>
        <w:t xml:space="preserve">Prepared by: Principal Systems Architect &amp; Technical Mentor</w:t>
      </w:r>
    </w:p>
    <w:p>
      <w:pPr>
        <w:spacing w:after="80" w:before="0"/>
        <w:jc w:val="center"/>
      </w:pPr>
      <w:r>
        <w:rPr>
          <w:rFonts w:ascii="Arial" w:cs="Arial" w:eastAsia="Arial" w:hAnsi="Arial"/>
          <w:color w:val="6B7280"/>
          <w:sz w:val="18"/>
          <w:szCs w:val="18"/>
        </w:rPr>
        <w:t>Audit Basis: Engineering Specification v1.1 (post-audit revision)  ·  Crypto Library: Microsoft SEAL 4.1.2 (deployed default: 160-bit reduced variant)</w:t>
      </w:r>
    </w:p>
    <w:p>
      <w:pPr>
        <w:pageBreakBefore/>
        <w:spacing w:after="0" w:before="0"/>
      </w:pPr>
    </w:p>
    <w:p>
      <w:pPr>
        <w:pStyle w:val="Heading1"/>
        <w:pBdr>
          <w:bottom w:val="single" w:color="2563EB" w:sz="6" w:space="6"/>
        </w:pBdr>
        <w:spacing w:after="160" w:before="300"/>
      </w:pPr>
      <w:r>
        <w:rPr>
          <w:rFonts w:ascii="Arial" w:cs="Arial" w:eastAsia="Arial" w:hAnsi="Arial"/>
          <w:b/>
          <w:bCs/>
          <w:color w:val="1A2B4A"/>
          <w:sz w:val="36"/>
          <w:szCs w:val="36"/>
        </w:rPr>
        <w:t>STAGE 1: AUDIT RESOLUTION LOG (v1.0 → v1.1)</w:t>
      </w:r>
    </w:p>
    <w:p>
      <w:pPr>
        <w:spacing w:after="100" w:before="80" w:line="276"/>
      </w:pPr>
      <w:r>
        <w:rPr>
          <w:rFonts w:ascii="Arial" w:cs="Arial" w:eastAsia="Arial" w:hAnsi="Arial"/>
          <w:b w:val="false"/>
          <w:bCs w:val="false"/>
          <w:i w:val="false"/>
          <w:iCs w:val="false"/>
          <w:color w:val="374151"/>
          <w:sz w:val="20"/>
          <w:szCs w:val="20"/>
        </w:rPr>
        <w:t>Audit Scope: PPFDaaS Engineering Specification v1.1, post-audit revision  |  Role: Principal Systems Architect  |  Original audit basis: PPFDaaS Pre-Flight Audit Report v1.0</w:t>
      </w:r>
    </w:p>
    <w:p>
      <w:pPr>
        <w:spacing w:after="160" w:before="160"/>
      </w:pPr>
    </w:p>
    <w:p>
      <w:pPr>
        <w:spacing w:after="100" w:before="80" w:line="276"/>
      </w:pPr>
      <w:r>
        <w:rPr>
          <w:rFonts w:ascii="Arial" w:cs="Arial" w:eastAsia="Arial" w:hAnsi="Arial"/>
          <w:b w:val="false"/>
          <w:bCs w:val="false"/>
          <w:i w:val="false"/>
          <w:iCs w:val="false"/>
          <w:color w:val="374151"/>
          <w:sz w:val="20"/>
          <w:szCs w:val="20"/>
        </w:rPr>
        <w:t>This stage originally ran a full pre-flight audit of the v1.0 Engineering Specification across four findings. Findings 1 and 2 were validated with no code changes required. Findings 3 and 4 identified real gaps and have since been resolved with normative code in v1.1 — this section is condensed to the resolution log; full technical detail on the Degree-2 fallback and the deserialization timing fix now lives in Module 3 below.</w:t>
      </w:r>
    </w:p>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Finding</w:t>
            </w:r>
          </w:p>
        </w:tc>
        <w:tc>
          <w:tcPr>
            <w:tcW w:type="dxa" w:w="2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v1.0 Audit Verdict</w:t>
            </w:r>
          </w:p>
        </w:tc>
        <w:tc>
          <w:tcPr>
            <w:tcW w:type="dxa" w:w="41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v1.1 Resolution</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Finding 1 — Proto/Code Alignment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VALIDATED (no gap)</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No change required. Still holds under the current 5-field TimingBreakdown (see table below) — every field has a matching C++ setter and Python read.</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Finding 2 — Memory Layout / Safety</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VALIDATED (no gap)</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No change required. Binary contract, SIMD tiling bounds, and overflow guards are unchanged.</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Finding 3 — Degree-2 Fallback Path</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GAP (medium severity) — spec’d, not implemented</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RESOLVED. n=16384, coeff_modulus={60,40,40,40,60}, bank-side 512-feature polynomial expansion, auto-selected by compiler/auc_dispatch.py. See Module 3.6 — including one bug this session found while verifying it.</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Finding 4 — Latency / Deserialization Annotation</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ANNOTATED — ct.load() time uncaptured</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RESOLVED. deserialization_us added as field 1 of TimingBreakdown (now 5 fields, not 4). proto + C++ server + Python client updated atomically.</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TimingBreakdown Field (v1.1)</w:t>
            </w:r>
          </w:p>
        </w:tc>
        <w:tc>
          <w:tcPr>
            <w:tcW w:type="dxa" w:w="2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Proto #</w:t>
            </w:r>
          </w:p>
        </w:tc>
        <w:tc>
          <w:tcPr>
            <w:tcW w:type="dxa" w:w="41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Captures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deserialization_us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1 (NEW in v1.1)</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ct.load() from the protobuf bytes field into a seal::Ciphertext — was previously the uncaptured gap in Finding 4</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multiply_plain_us</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2 (was 1 in v1.0)</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evaluator.multiply_plain_inplace + rescale_to_next_inplace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rotation_hoisting_us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3 (was 2 in v1.0)</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hoisted_tree_sum(): 8 rotate + add operations</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serialization_us</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4 (was 3 in v1.0)</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ct.save() into the response’s pre-allocated buffer</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total_inference_us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5 (was 4 in v1.0)</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Full RunInference handler wall time; ≈ sum of the four fields above (residual ≤ ~0.3ms)</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66534" w:sz="1"/>
              <w:left w:val="single" w:color="166534" w:sz="12"/>
              <w:bottom w:val="single" w:color="166534" w:sz="1"/>
              <w:right w:val="single" w:color="166534" w:sz="1"/>
            </w:tcBorders>
            <w:shd w:fill="DCFCE7" w:val="clear"/>
            <w:tcMar>
              <w:top w:type="dxa" w:w="100"/>
              <w:left w:type="dxa" w:w="200"/>
              <w:bottom w:type="dxa" w:w="100"/>
              <w:right w:type="dxa" w:w="160"/>
            </w:tcMar>
          </w:tcPr>
          <w:p>
            <w:pPr>
              <w:spacing w:after="60" w:before="0"/>
            </w:pPr>
            <w:r>
              <w:rPr>
                <w:rFonts w:ascii="Arial" w:cs="Arial" w:eastAsia="Arial" w:hAnsi="Arial"/>
                <w:b/>
                <w:bCs/>
                <w:color w:val="14532D"/>
                <w:sz w:val="22"/>
                <w:szCs w:val="22"/>
              </w:rPr>
              <w:t xml:space="preserve">STAGE 1 STATUS — CLOSED FOR v1.1  </w:t>
            </w:r>
            <w:r>
              <w:rPr>
                <w:rFonts w:ascii="Arial" w:cs="Arial" w:eastAsia="Arial" w:hAnsi="Arial"/>
                <w:b/>
                <w:bCs/>
                <w:color w:val="166534"/>
                <w:sz w:val="20"/>
                <w:szCs w:val="20"/>
              </w:rPr>
              <w:t>✅ All four findings resolved or validated</w:t>
            </w:r>
          </w:p>
        </w:tc>
      </w:tr>
    </w:tbl>
    <w:p>
      <w:pPr>
        <w:spacing w:after="160" w:before="160"/>
      </w:pPr>
    </w:p>
    <w:p>
      <w:pPr>
        <w:pStyle w:val="Heading1"/>
        <w:pBdr>
          <w:bottom w:val="single" w:color="2563EB" w:sz="6" w:space="6"/>
        </w:pBdr>
        <w:spacing w:after="160" w:before="300"/>
      </w:pPr>
      <w:r>
        <w:rPr>
          <w:rFonts w:ascii="Arial" w:cs="Arial" w:eastAsia="Arial" w:hAnsi="Arial"/>
          <w:b/>
          <w:bCs/>
          <w:color w:val="1A2B4A"/>
          <w:sz w:val="36"/>
          <w:szCs w:val="36"/>
        </w:rPr>
        <w:t xml:space="preserve">STAGE 2: COMPREHENSIVE STUDY &amp; DEFENSE GUIDE</w:t>
      </w:r>
    </w:p>
    <w:p>
      <w:pPr>
        <w:spacing w:after="100" w:before="80" w:line="276"/>
      </w:pPr>
      <w:r>
        <w:rPr>
          <w:rFonts w:ascii="Arial" w:cs="Arial" w:eastAsia="Arial" w:hAnsi="Arial"/>
          <w:b w:val="false"/>
          <w:bCs w:val="false"/>
          <w:i/>
          <w:iCs/>
          <w:color w:val="6B7280"/>
          <w:sz w:val="20"/>
          <w:szCs w:val="20"/>
        </w:rPr>
        <w:t xml:space="preserve">For B.Tech Viva Examinations and Technical Internship Interviews</w:t>
      </w:r>
    </w:p>
    <w:p>
      <w:pPr>
        <w:spacing w:after="0" w:before="240"/>
      </w:pPr>
    </w:p>
    <w:p>
      <w:pPr>
        <w:pStyle w:val="Heading2"/>
        <w:spacing w:after="120" w:before="240"/>
      </w:pPr>
      <w:r>
        <w:rPr>
          <w:rFonts w:ascii="Arial" w:cs="Arial" w:eastAsia="Arial" w:hAnsi="Arial"/>
          <w:b/>
          <w:bCs/>
          <w:color w:val="1A2B4A"/>
          <w:sz w:val="28"/>
          <w:szCs w:val="28"/>
        </w:rPr>
        <w:t xml:space="preserve">MODULE 1: THE FIRST PRINCIPLES OF THE CRYPTOGRAPHY</w:t>
      </w:r>
    </w:p>
    <w:p>
      <w:pPr>
        <w:spacing w:after="100" w:before="80" w:line="276"/>
      </w:pPr>
      <w:r>
        <w:rPr>
          <w:rFonts w:ascii="Arial" w:cs="Arial" w:eastAsia="Arial" w:hAnsi="Arial"/>
          <w:b w:val="false"/>
          <w:bCs w:val="false"/>
          <w:i/>
          <w:iCs/>
          <w:color w:val="6B7280"/>
          <w:sz w:val="20"/>
          <w:szCs w:val="20"/>
        </w:rPr>
        <w:t xml:space="preserve">Think of this module as building the foundations of a house before putting up walls. You cannot defend a system you don't understand at the mathematical level.</w:t>
      </w:r>
    </w:p>
    <w:p>
      <w:pPr>
        <w:spacing w:after="80" w:before="200"/>
      </w:pPr>
    </w:p>
    <w:p>
      <w:pPr>
        <w:pStyle w:val="Heading3"/>
        <w:spacing w:after="100" w:before="200"/>
      </w:pPr>
      <w:r>
        <w:rPr>
          <w:rFonts w:ascii="Arial" w:cs="Arial" w:eastAsia="Arial" w:hAnsi="Arial"/>
          <w:b/>
          <w:bCs/>
          <w:color w:val="2563EB"/>
          <w:sz w:val="24"/>
          <w:szCs w:val="24"/>
        </w:rPr>
        <w:t xml:space="preserve">1.1 The CKKS Scheme: Approximate vs. Exact Arithmetic</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Imagine you're doing mental arithmetic. You add 2 + 2 and get exactly 4. That's exact arithmetic — what older HE schemes like BFV do for integers. Now imagine you're an engineer calculating the stress on a bridge beam. You use floating-point numbers and you're okay with an answer of 3.99999... instead of 4.0, because the physical reality only needs 4 decimal places of precision. That's CKKS — it's the floating-point arithmetic of the homomorphic encryption world. CKKS was invented specifically because machine learning doesn't need exact arithmetic. A fraud score of 0.74321 and 0.74319 lead to the same decision.</w:t>
      </w:r>
    </w:p>
    <w:p>
      <w:pPr>
        <w:pStyle w:val="Heading4"/>
        <w:spacing w:after="80" w:before="160"/>
      </w:pPr>
      <w:r>
        <w:rPr>
          <w:rFonts w:ascii="Arial" w:cs="Arial" w:eastAsia="Arial" w:hAnsi="Arial"/>
          <w:b/>
          <w:bCs/>
          <w:color w:val="374151"/>
          <w:sz w:val="22"/>
          <w:szCs w:val="22"/>
        </w:rPr>
        <w:t xml:space="preserve">Technical Terms</w:t>
      </w:r>
    </w:p>
    <w:p>
      <w:pPr>
        <w:spacing w:after="100" w:before="80" w:line="276"/>
      </w:pPr>
      <w:r>
        <w:rPr>
          <w:rFonts w:ascii="Arial" w:cs="Arial" w:eastAsia="Arial" w:hAnsi="Arial"/>
          <w:b w:val="false"/>
          <w:bCs w:val="false"/>
          <w:i w:val="false"/>
          <w:iCs w:val="false"/>
          <w:color w:val="374151"/>
          <w:sz w:val="20"/>
          <w:szCs w:val="20"/>
        </w:rPr>
        <w:t xml:space="preserve">CKKS (Cheon-Kim-Kim-Song, 2017) is a leveled homomorphic encryption scheme over the polynomial ring Z_q[x]/(x^n + 1). It represents real numbers by encoding them as coefficients of a polynomial, then encrypting that polynomial. Operations on ciphertexts correspond approximately to operations on the underlying real numbers. The key word is approximately: decryption recovers m + ε where ε is a small error term controlled by the noise budget. For our system, the encoding scale 2^40 gives ~12 significant decimal digits of precision — more than sufficient for a logistic regression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CKKS is an approximate homomorphic encryption scheme where computations introduce a controlled, bounded error. Unlike BFV which operates over exact integers, CKKS works over real numbers encoded as polynomial coefficients scaled by 2^40. The approximation error is provably bounded and negligible for ML inference workloads where we only need the sign of the score, not bit-perfect arithmetic.</w:t>
            </w:r>
          </w:p>
        </w:tc>
      </w:tr>
    </w:tbl>
    <w:p>
      <w:pPr>
        <w:spacing w:after="80" w:before="200"/>
      </w:pPr>
    </w:p>
    <w:p>
      <w:pPr>
        <w:pStyle w:val="Heading3"/>
        <w:spacing w:after="100" w:before="200"/>
      </w:pPr>
      <w:r>
        <w:rPr>
          <w:rFonts w:ascii="Arial" w:cs="Arial" w:eastAsia="Arial" w:hAnsi="Arial"/>
          <w:b/>
          <w:bCs/>
          <w:color w:val="2563EB"/>
          <w:sz w:val="24"/>
          <w:szCs w:val="24"/>
        </w:rPr>
        <w:t xml:space="preserve">1.2 The Noise Budget: Why Multiplication Consumes It</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Think of the noise budget like a roll of paper towels. Every operation you do is messy and uses some. Addition is tidy — it uses almost none. But multiplication is like cooking with grease — it makes a huge mess and burns through paper towels fast. If you run out (noise budget = 0), the "mess" (noise) corrupts the signal so badly that decryption gives you garbage.</w:t>
      </w:r>
    </w:p>
    <w:p>
      <w:pPr>
        <w:pStyle w:val="Heading4"/>
        <w:spacing w:after="80" w:before="160"/>
      </w:pPr>
      <w:r>
        <w:rPr>
          <w:rFonts w:ascii="Arial" w:cs="Arial" w:eastAsia="Arial" w:hAnsi="Arial"/>
          <w:b/>
          <w:bCs/>
          <w:color w:val="374151"/>
          <w:sz w:val="22"/>
          <w:szCs w:val="22"/>
        </w:rPr>
        <w:t xml:space="preserve">Technical Terms</w:t>
      </w:r>
    </w:p>
    <w:p>
      <w:pPr>
        <w:spacing w:after="100" w:before="80" w:line="276"/>
      </w:pPr>
      <w:r>
        <w:rPr>
          <w:rFonts w:ascii="Arial" w:cs="Arial" w:eastAsia="Arial" w:hAnsi="Arial"/>
          <w:b w:val="false"/>
          <w:bCs w:val="false"/>
          <w:i w:val="false"/>
          <w:iCs w:val="false"/>
          <w:color w:val="374151"/>
          <w:sz w:val="20"/>
          <w:szCs w:val="20"/>
        </w:rPr>
        <w:t xml:space="preserve">In CKKS, every ciphertext (c0, c1) satisfies: c0 + c1·s ≡ Δ·m + e (mod q) where s is the secret key, Δ is the scale factor, m is the plaintext, and e is the noise term. Addition adds noise terms: e_new = e1 + e2 — small growth. Multiplication produces noise proportional to e1·e2 + e1·m2·Δ + e2·m1·Δ — the quadratic cross-terms cause the noise to grow multiplicatively, roughly doubling per multiplication. invariant_noise_budget() measures log2(q / ||e||) in bits. When this reaches 0, decryption fails.</w:t>
      </w:r>
    </w:p>
    <w:p>
      <w:pPr>
        <w:spacing w:after="100" w:before="80" w:line="276"/>
      </w:pPr>
      <w:r>
        <w:rPr>
          <w:rFonts w:ascii="Arial" w:cs="Arial" w:eastAsia="Arial" w:hAnsi="Arial"/>
          <w:b w:val="false"/>
          <w:bCs w:val="false"/>
          <w:i w:val="false"/>
          <w:iCs w:val="false"/>
          <w:color w:val="374151"/>
          <w:sz w:val="20"/>
          <w:szCs w:val="20"/>
        </w:rPr>
        <w:t xml:space="preserve">In our system: coeff_modulus = {60, 40, 40, 60} (200 bits). After multiply_plain + rescale_to_next, we drop the 40-bit middle prime, landing on the second level (~40 bits of remaining noise budget). The smoke_test gate enforces this empirically.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The noise budget measures how much margin remains before decryption fails. Addition grows noise linearly, but multiplication grows it quadratically — specifically, multiply_plain approximately doubles the noise magnitude and consumes one level of the modulus ladder. In our Depth-1 circuit with coeff_modulus {60, 40, 40, 60}, we consume exactly one 40-bit prime after multiply_plain + rescale_to_next, leaving a healthy residual budget. The smoke_test gate enforces this empirically.</w:t>
            </w:r>
          </w:p>
        </w:tc>
      </w:tr>
    </w:tbl>
    <w:p>
      <w:pPr>
        <w:spacing w:after="80" w:before="200"/>
      </w:pPr>
    </w:p>
    <w:p>
      <w:pPr>
        <w:pStyle w:val="Heading3"/>
        <w:spacing w:after="100" w:before="200"/>
      </w:pPr>
      <w:r>
        <w:rPr>
          <w:rFonts w:ascii="Arial" w:cs="Arial" w:eastAsia="Arial" w:hAnsi="Arial"/>
          <w:b/>
          <w:bCs/>
          <w:color w:val="2563EB"/>
          <w:sz w:val="24"/>
          <w:szCs w:val="24"/>
        </w:rPr>
        <w:t xml:space="preserve">1.3 The Scale &amp; Rescaling: Why 2^40? What Does rescale_to_next Do?</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We scale everything up by 2^40 before encrypting, so 0.75 becomes a huge integer 0.75 × 2^40. When you multiply two scaled numbers, you get a result scaled by 2^80 — both scales multiply together. That's too big; the polynomial coefficients overflow their budget. Rescaling is dividing by 2^40 to bring the scale back down. It's the HE equivalent of re-normalising a floating-point intermediate result.</w:t>
      </w:r>
    </w:p>
    <w:p>
      <w:pPr>
        <w:pStyle w:val="Heading4"/>
        <w:spacing w:after="80" w:before="160"/>
      </w:pPr>
      <w:r>
        <w:rPr>
          <w:rFonts w:ascii="Arial" w:cs="Arial" w:eastAsia="Arial" w:hAnsi="Arial"/>
          <w:b/>
          <w:bCs/>
          <w:color w:val="374151"/>
          <w:sz w:val="22"/>
          <w:szCs w:val="22"/>
        </w:rPr>
        <w:t xml:space="preserve">Technical Terms</w:t>
      </w:r>
    </w:p>
    <w:p>
      <w:pPr>
        <w:spacing w:after="100" w:before="80" w:line="276"/>
      </w:pPr>
      <w:r>
        <w:rPr>
          <w:rFonts w:ascii="Arial" w:cs="Arial" w:eastAsia="Arial" w:hAnsi="Arial"/>
          <w:b w:val="false"/>
          <w:bCs w:val="false"/>
          <w:i w:val="false"/>
          <w:iCs w:val="false"/>
          <w:color w:val="374151"/>
          <w:sz w:val="20"/>
          <w:szCs w:val="20"/>
        </w:rPr>
        <w:t xml:space="preserve">Before encryption, a real vector m is mapped to a polynomial with coefficients round(Δ · m_i) where Δ = 2^40. After multiply_plain(ct_input, pt_weights), the ciphertext has scale Δ² = 2^80. rescale_to_next_inplace(ct) divides the polynomial coefficients by the current dropped prime (~2^40), bringing the scale back to approximately 2^40. Simultaneously, it drops one prime from the modulus chain — parms_id changes from first_parms_id to second_parms_id. This is why the spec stores second_parms_id at context initialization. We chose 2^40 because it provides ~12 decimal digits of precision while leaving room for at least one multiplication level given our 200-bit modulus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We encode all values at scale 2^40, so multiplication produces intermediate results at scale 2^80. rescale_to_next divides the ciphertext polynomial by one of the modulus chain primes (~2^40), restoring the scale to approximately 2^40 while simultaneously dropping one level from the modulus ladder. We chose 2^40 because it provides 12 significant decimal digits of precision — sufficient for ML inference — while leaving room for at least one multiplication level given our 200-bit coeff_modulus budget.</w:t>
            </w:r>
          </w:p>
        </w:tc>
      </w:tr>
    </w:tbl>
    <w:p>
      <w:pPr>
        <w:spacing w:after="80" w:before="200"/>
      </w:pPr>
    </w:p>
    <w:p>
      <w:pPr>
        <w:pStyle w:val="Heading3"/>
        <w:spacing w:after="100" w:before="200"/>
      </w:pPr>
      <w:r>
        <w:rPr>
          <w:rFonts w:ascii="Arial" w:cs="Arial" w:eastAsia="Arial" w:hAnsi="Arial"/>
          <w:b/>
          <w:bCs/>
          <w:color w:val="2563EB"/>
          <w:sz w:val="24"/>
          <w:szCs w:val="24"/>
        </w:rPr>
        <w:t xml:space="preserve">1.4 SIMD &amp; Batching: The Slot Concept and Why n=8192</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Think of a CKKS ciphertext as a train with n/2 seats. Instead of encrypting one number per trip, you fill every seat. With n=8192, one ciphertext carries 4096 numbers simultaneously. A single crypto operation performs 4096 additions or multiplications at once — true SIMD for homomorphic encryption. In our system: 16 transactions × 256 features = 4096 numbers — exactly filling one ciphertext. One multiply_plain computes the dot product for all 16 transactions simultaneously.</w:t>
      </w:r>
    </w:p>
    <w:p>
      <w:pPr>
        <w:pStyle w:val="Heading4"/>
        <w:spacing w:after="80" w:before="160"/>
      </w:pPr>
      <w:r>
        <w:rPr>
          <w:rFonts w:ascii="Arial" w:cs="Arial" w:eastAsia="Arial" w:hAnsi="Arial"/>
          <w:b/>
          <w:bCs/>
          <w:color w:val="374151"/>
          <w:sz w:val="22"/>
          <w:szCs w:val="22"/>
        </w:rPr>
        <w:t xml:space="preserve">Technical Terms</w:t>
      </w:r>
    </w:p>
    <w:p>
      <w:pPr>
        <w:spacing w:after="100" w:before="80" w:line="276"/>
      </w:pPr>
      <w:r>
        <w:rPr>
          <w:rFonts w:ascii="Arial" w:cs="Arial" w:eastAsia="Arial" w:hAnsi="Arial"/>
          <w:b w:val="false"/>
          <w:bCs w:val="false"/>
          <w:i w:val="false"/>
          <w:iCs w:val="false"/>
          <w:color w:val="374151"/>
          <w:sz w:val="20"/>
          <w:szCs w:val="20"/>
        </w:rPr>
        <w:t xml:space="preserve">CKKS uses the CRT/FFT isomorphism: Z[x]/(x^n + 1) ≅ C^(n/2) when n is a power of 2. This maps n/2 complex numbers into the coefficients of a single degree-n polynomial. With n=8192, we get n/2 = 4096 slots. Three constraints fix n=8192: (1) Security: LWE hardness requires n ≥ 8192 for 128-bit security with our 200-bit modulus. (2) Capacity: 16×256 = 4096 slots fits exactly. (3) Latency: Ciphertext size scales as O(n log q). n=8192 gives ~384 KB. n=16384 (Degree-2) gives ~2 MB — a 5× increase breaking the 10 ms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CKKS uses the CRT isomorphism to pack n/2 real values into a single ciphertext, enabling data-parallel computation. With n=8192, we get 4096 slots, which perfectly accommodates 16 transactions × 256 features. A single multiply_plain computes all 16 dot products simultaneously in one NTT operation. We chose n=8192 because it is the minimum value satisfying both the 4096-slot capacity requirement and the 128-bit classical security level for our 200-bit coeff_modulus.</w:t>
            </w:r>
          </w:p>
        </w:tc>
      </w:tr>
    </w:tbl>
    <w:p>
      <w:pPr>
        <w:spacing w:after="80" w:before="200"/>
      </w:pPr>
    </w:p>
    <w:p>
      <w:pPr>
        <w:pStyle w:val="Heading3"/>
        <w:spacing w:after="100" w:before="200"/>
      </w:pPr>
      <w:r>
        <w:rPr>
          <w:rFonts w:ascii="Arial" w:cs="Arial" w:eastAsia="Arial" w:hAnsi="Arial"/>
          <w:b/>
          <w:bCs/>
          <w:color w:val="2563EB"/>
          <w:sz w:val="24"/>
          <w:szCs w:val="24"/>
        </w:rPr>
        <w:t xml:space="preserve">1.5 Galois Keys &amp; Rotations: The Difference and Why Restricted Keys</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 xml:space="preserve">Imagine the 4096 slots in a circle. An addition adds slot-by-slot in place — no movement. A rotation by 1 is like rotating a lazy Susan — slot[0] gets slot[1]'s value, slot[1] gets slot[2]'s, etc. To rotate an encrypted array you need a "permission slip" — a Galois key — for each step size. Getting permission for every possible step (1 through 4095) generates huge key files. We only need rotations by {1, 2, 4, 8, 16, 32, 64, 128} for our 8-step tree-sum — so we get only 8 permission slips instead of 4095.</w:t>
      </w:r>
    </w:p>
    <w:p>
      <w:pPr>
        <w:pStyle w:val="Heading4"/>
        <w:spacing w:after="80" w:before="160"/>
      </w:pPr>
      <w:r>
        <w:rPr>
          <w:rFonts w:ascii="Arial" w:cs="Arial" w:eastAsia="Arial" w:hAnsi="Arial"/>
          <w:b/>
          <w:bCs/>
          <w:color w:val="374151"/>
          <w:sz w:val="22"/>
          <w:szCs w:val="22"/>
        </w:rPr>
        <w:t xml:space="preserve">Technical Terms</w:t>
      </w:r>
    </w:p>
    <w:p>
      <w:pPr>
        <w:spacing w:after="100" w:before="80" w:line="276"/>
      </w:pPr>
      <w:r>
        <w:rPr>
          <w:rFonts w:ascii="Arial" w:cs="Arial" w:eastAsia="Arial" w:hAnsi="Arial"/>
          <w:b w:val="false"/>
          <w:bCs w:val="false"/>
          <w:i w:val="false"/>
          <w:iCs w:val="false"/>
          <w:color w:val="374151"/>
          <w:sz w:val="20"/>
          <w:szCs w:val="20"/>
        </w:rPr>
        <w:t xml:space="preserve">In the polynomial ring Z[x]/(x^n + 1), a cyclic rotation of the plaintext slots by k positions corresponds to applying the automorphism x → x^(5^k mod 2n). To evaluate this automorphism on a ciphertext, you need a Galois key (key-switching key) for that specific step. keygen.create_galois_keys({1,2,4,8,16,32,64,128}, galois_keys) generates exactly 8 such keys. The restricted key set achieves the tree-sum reduction: to sum 256 values in slots [0..255], we perform 8 rotate-and-add operations (log₂(256) = 8 steps). After all 8 operations, slot[0] holds the sum of all 256 original values — for all 16 transaction lanes simultaneously.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A rotation permutes the slot values cyclically and requires a pre-generated Galois key for each step size; it has the same O(n log q) cost as an addition in NTT representation. We use a restricted key set of 8 powers-of-2 — {1, 2, 4, 8, 16, 32, 64, 128} — sufficient for the log₂(256)=8-step binary tree-sum. This reduces key material from 4095 keys to 8 keys (~30 MB total) while achieving the same reduction.</w:t>
            </w:r>
          </w:p>
        </w:tc>
      </w:tr>
    </w:tbl>
    <w:p>
      <w:pPr>
        <w:pageBreakBefore/>
        <w:spacing w:after="0" w:before="0"/>
      </w:pPr>
    </w:p>
    <w:p>
      <w:pPr>
        <w:pStyle w:val="Heading2"/>
        <w:spacing w:after="120" w:before="240"/>
      </w:pPr>
      <w:r>
        <w:rPr>
          <w:rFonts w:ascii="Arial" w:cs="Arial" w:eastAsia="Arial" w:hAnsi="Arial"/>
          <w:b/>
          <w:bCs/>
          <w:color w:val="1A2B4A"/>
          <w:sz w:val="28"/>
          <w:szCs w:val="28"/>
        </w:rPr>
        <w:t xml:space="preserve">MODULE 2: THE ML-CRYPTO BRIDGE (THE LOGIC)</w:t>
      </w:r>
    </w:p>
    <w:p>
      <w:pPr>
        <w:spacing w:after="100" w:before="80" w:line="276"/>
      </w:pPr>
      <w:r>
        <w:rPr>
          <w:rFonts w:ascii="Arial" w:cs="Arial" w:eastAsia="Arial" w:hAnsi="Arial"/>
          <w:b w:val="false"/>
          <w:bCs w:val="false"/>
          <w:i/>
          <w:iCs/>
          <w:color w:val="6B7280"/>
          <w:sz w:val="20"/>
          <w:szCs w:val="20"/>
        </w:rPr>
        <w:t xml:space="preserve">This module explains the reasoning connecting ML design decisions to cryptographic constraints. This is where most interviewers probe for depth.</w:t>
      </w:r>
    </w:p>
    <w:p>
      <w:pPr>
        <w:spacing w:after="80" w:before="200"/>
      </w:pPr>
    </w:p>
    <w:p>
      <w:pPr>
        <w:pStyle w:val="Heading3"/>
        <w:spacing w:after="100" w:before="200"/>
      </w:pPr>
      <w:r>
        <w:rPr>
          <w:rFonts w:ascii="Arial" w:cs="Arial" w:eastAsia="Arial" w:hAnsi="Arial"/>
          <w:b/>
          <w:bCs/>
          <w:color w:val="2563EB"/>
          <w:sz w:val="24"/>
          <w:szCs w:val="24"/>
        </w:rPr>
        <w:t>2.1 The Linearity Constraint: An Independent LR Surrogate, Not a Distilled Tree</w:t>
      </w:r>
    </w:p>
    <w:p>
      <w:pPr>
        <w:pStyle w:val="Heading4"/>
        <w:spacing w:after="80" w:before="160"/>
      </w:pPr>
      <w:r>
        <w:rPr>
          <w:rFonts w:ascii="Arial" w:cs="Arial" w:eastAsia="Arial" w:hAnsi="Arial"/>
          <w:b/>
          <w:bCs/>
          <w:color w:val="374151"/>
          <w:sz w:val="22"/>
          <w:szCs w:val="22"/>
        </w:rPr>
        <w:t xml:space="preserve">Plain English (The Analogy)</w:t>
      </w:r>
    </w:p>
    <w:p>
      <w:pPr>
        <w:spacing w:after="100" w:before="80" w:line="276"/>
      </w:pPr>
      <w:r>
        <w:rPr>
          <w:rFonts w:ascii="Arial" w:cs="Arial" w:eastAsia="Arial" w:hAnsi="Arial"/>
          <w:b w:val="false"/>
          <w:bCs w:val="false"/>
          <w:i w:val="false"/>
          <w:iCs w:val="false"/>
          <w:color w:val="374151"/>
          <w:sz w:val="20"/>
          <w:szCs w:val="20"/>
        </w:rPr>
        <w:t>A Gradient Boosted Decision Tree is a flowchart — at each node it asks a yes/no question: "Is this feature &gt; threshold?" That's an if-statement, and you cannot evaluate an if-statement on encrypted data, because the server would need to see the plaintext to know which branch to take. The tempting fix is to "flatten" the tree into an equivalent equation — but that is NOT what this system does. Instead, we train a second, completely independent model that is linear by construction: a plain logistic regression, fit on the exact same 256-feature dataset the tree is validated on. It is not a translation of the tree's decision logic into a polynomial; it's a different student sitting the same exam with a simpler, HE-friendly strategy. The tree's only remaining job is to tell us what accuracy ceiling exists on this data — it never hands its knowledge down to the linear model.</w:t>
      </w:r>
    </w:p>
    <w:p>
      <w:pPr>
        <w:pStyle w:val="Heading4"/>
        <w:spacing w:after="80" w:before="160"/>
      </w:pPr>
      <w:r>
        <w:rPr>
          <w:rFonts w:ascii="Arial" w:cs="Arial" w:eastAsia="Arial" w:hAnsi="Arial"/>
          <w:b/>
          <w:bCs/>
          <w:color w:val="374151"/>
          <w:sz w:val="22"/>
          <w:szCs w:val="22"/>
        </w:rPr>
        <w:t>Technical Terms</w:t>
      </w:r>
    </w:p>
    <w:p>
      <w:pPr>
        <w:spacing w:after="100" w:before="80" w:line="276"/>
      </w:pPr>
      <w:r>
        <w:rPr>
          <w:rFonts w:ascii="Arial" w:cs="Arial" w:eastAsia="Arial" w:hAnsi="Arial"/>
          <w:b w:val="false"/>
          <w:bCs w:val="false"/>
          <w:i w:val="false"/>
          <w:iCs w:val="false"/>
          <w:color w:val="374151"/>
          <w:sz w:val="20"/>
          <w:szCs w:val="20"/>
        </w:rPr>
        <w:t>compiler/train_logistic_regression.py fits an independent scikit-learn LogisticRegression (lbfgs, max_iter=2000) directly on the same 256-feature train split that compiler/train_xgboost.py uses. XGBoost is used ONLY to validate the dataset/feature pipeline and establish a non-linear accuracy ceiling (target AUC ≥ 0.98) — there is no SHAP-importance step, no least-squares fit of tree outputs onto a linear model, and no gradient or weight transfer between the two models. The measured gap between them is reported directly as linearization_cost_auc = xgb_test_auc − lr_test_auc, written to artifacts/linearization_cost.json. On the ULB creditcard.csv dataset (256-feature expanded contract — see Module 3 dataset note), this session measured xgb_test_auc = 0.9835 and lr_test_auc = 0.9794, giving linearization_cost_auc = +0.0041 [CONFIRMED-RAN — artifacts/linearization_cost.json, regenerated this session by running compiler/train_logistic_regression.py]. This is the true accuracy cost of using a model the HE circuit can evaluate at depth 1 — not an approximation-error bound on a distillation step, because there is no distillation step.</w:t>
      </w:r>
    </w:p>
    <w:p>
      <w:pPr>
        <w:pStyle w:val="Heading4"/>
        <w:spacing w:after="80" w:before="160"/>
      </w:pPr>
      <w:r>
        <w:rPr>
          <w:rFonts w:ascii="Arial" w:cs="Arial" w:eastAsia="Arial" w:hAnsi="Arial"/>
          <w:b/>
          <w:bCs/>
          <w:color w:val="374151"/>
          <w:sz w:val="22"/>
          <w:szCs w:val="22"/>
        </w:rPr>
        <w:t xml:space="preserve">The Chain: Multiplicative Depth → Parameter Size → Ciphertext Size →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360"/>
      </w:tblGrid>
      <w:tr>
        <w:trPr>
          <w:tblHeader/>
        </w:trPr>
        <w:tc>
          <w:tcPr>
            <w:tcW w:type="dxa" w:w="2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Depth</w:t>
            </w:r>
          </w:p>
        </w:tc>
        <w:tc>
          <w:tcPr>
            <w:tcW w:type="dxa" w:w="2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n required</w:t>
            </w:r>
          </w:p>
        </w:tc>
        <w:tc>
          <w:tcPr>
            <w:tcW w:type="dxa" w:w="2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Ciphertext Size</w:t>
            </w:r>
          </w:p>
        </w:tc>
        <w:tc>
          <w:tcPr>
            <w:tcW w:type="dxa" w:w="33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Estimated Latency</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Depth-1 (1 multiply)</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8,192</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~384 KB</w:t>
            </w:r>
          </w:p>
        </w:tc>
        <w:tc>
          <w:tcPr>
            <w:tcW w:type="dxa" w:w="3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&lt;10 ms ✅</w:t>
            </w:r>
          </w:p>
        </w:tc>
      </w:tr>
      <w:tr>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Depth-2 (2 multiplies)</w:t>
            </w:r>
          </w:p>
        </w:tc>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16,384</w:t>
            </w:r>
          </w:p>
        </w:tc>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~2 MB</w:t>
            </w:r>
          </w:p>
        </w:tc>
        <w:tc>
          <w:tcPr>
            <w:tcW w:type="dxa" w:w="33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~40 ms</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Depth-3 (3 multiplies)</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32,768</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~8 MB</w:t>
            </w:r>
          </w:p>
        </w:tc>
        <w:tc>
          <w:tcPr>
            <w:tcW w:type="dxa" w:w="3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&gt;200 ms</w:t>
            </w:r>
          </w:p>
        </w:tc>
      </w:tr>
    </w:tbl>
    <w:p>
      <w:pPr>
        <w:spacing w:after="160" w:before="160"/>
      </w:pPr>
    </w:p>
    <w:p>
      <w:pPr>
        <w:spacing w:after="100" w:before="80" w:line="276"/>
      </w:pPr>
      <w:r>
        <w:rPr>
          <w:rFonts w:ascii="Arial" w:cs="Arial" w:eastAsia="Arial" w:hAnsi="Arial"/>
          <w:b w:val="false"/>
          <w:bCs w:val="false"/>
          <w:i w:val="false"/>
          <w:iCs w:val="false"/>
          <w:color w:val="374151"/>
          <w:sz w:val="20"/>
          <w:szCs w:val="20"/>
        </w:rPr>
        <w:t>Terminology note: the table above is a generic illustration of HE depth-vs-parameter scaling, not a description of this repo's actual Degree-2 fallback. The implemented Degree-2 path (Module 3.6 below) is deliberately kept at Depth-1 in the HE sense — one multiply_plain + one rescale — at a larger n=16384 purely for slot capacity; its "degree-2" name refers to the bank-side plaintext feature degree (linear + pairwise interaction terms), not multiplicative depth. Do not conflate the two degree-2/depth-2 vocabularies in a viva answer.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Golden Interview Answer</w:t>
            </w:r>
          </w:p>
          <w:p>
            <w:pPr>
              <w:spacing w:after="0" w:before="0"/>
            </w:pPr>
            <w:r>
              <w:rPr>
                <w:rFonts w:ascii="Arial" w:cs="Arial" w:eastAsia="Arial" w:hAnsi="Arial"/>
                <w:color w:val="374151"/>
                <w:sz w:val="19"/>
                <w:szCs w:val="19"/>
              </w:rPr>
              <w:t>Decision tree branching is non-programmable in homomorphic encryption because it requires comparing encrypted values, which the server cannot evaluate without seeing the plaintext. Rather than flattening or distilling the tree, we train a second, independent LogisticRegression model directly on the same 256-feature split — no SHAP-based or least-squares translation step exists between the two models. XGBoost's only role is validating the feature pipeline and establishing a non-linear accuracy ceiling (≥0.98 AUC target). The measured gap, linearization_cost_auc = xgb_test_auc − lr_test_auc, is +0.0041 on this dataset (xgb=0.9835, lr=0.9794 — CONFIRMED-RAN this session, artifacts/linearization_cost.json) — this honestly measured number, not an assumed 0.04 from a different dataset, is what we defend as the accuracy cost of HE-compatibility.</w:t>
            </w:r>
          </w:p>
        </w:tc>
      </w:tr>
    </w:tbl>
    <w:p>
      <w:pPr>
        <w:spacing w:after="80" w:before="200"/>
      </w:pPr>
    </w:p>
    <w:p>
      <w:pPr>
        <w:pStyle w:val="Heading3"/>
        <w:spacing w:after="100" w:before="200"/>
      </w:pPr>
      <w:r>
        <w:rPr>
          <w:rFonts w:ascii="Arial" w:cs="Arial" w:eastAsia="Arial" w:hAnsi="Arial"/>
          <w:b/>
          <w:bCs/>
          <w:color w:val="2563EB"/>
          <w:sz w:val="24"/>
          <w:szCs w:val="24"/>
        </w:rPr>
        <w:t>2.2 The AUC vs. Latency Curve: Justifying the Linearization Cost on ULB creditcard.csv</w:t>
      </w:r>
    </w:p>
    <w:p>
      <w:pPr>
        <w:spacing w:after="100" w:before="80" w:line="276"/>
      </w:pPr>
      <w:r>
        <w:rPr>
          <w:rFonts w:ascii="Arial" w:cs="Arial" w:eastAsia="Arial" w:hAnsi="Arial"/>
          <w:b w:val="false"/>
          <w:bCs w:val="false"/>
          <w:i w:val="false"/>
          <w:iCs w:val="false"/>
          <w:color w:val="374151"/>
          <w:sz w:val="20"/>
          <w:szCs w:val="20"/>
        </w:rPr>
        <w:t>On the ULB creditcard.csv dataset (256-feature expanded contract — not IEEE-CIS; see the dataset note in Module 3), the independent LR surrogate measures a 0.9794 test AUC against an XGBoost ceiling of 0.9835 — a linearization_cost_auc of +0.0041, about 0.4 AUC points, not the 0.04 (4%) figure earlier drafts of this guide cited for a different dataset [CONFIRMED-RAN, artifacts/linearization_cost.json]. This is justified on three angles:</w:t>
      </w:r>
    </w:p>
    <w:p>
      <w:pPr>
        <w:pStyle w:val="ListParagraph"/>
        <w:numPr>
          <w:ilvl w:val="0"/>
          <w:numId w:val="2"/>
        </w:numPr>
        <w:spacing w:after="60" w:before="60" w:line="260"/>
      </w:pPr>
      <w:r>
        <w:rPr>
          <w:rFonts w:ascii="Arial" w:cs="Arial" w:eastAsia="Arial" w:hAnsi="Arial"/>
          <w:b w:val="false"/>
          <w:bCs w:val="false"/>
          <w:color w:val="374151"/>
          <w:sz w:val="20"/>
          <w:szCs w:val="20"/>
        </w:rPr>
        <w:t>Regulatory argument: Sending raw transaction data to the vendor violates GDPR and PCI-DSS and creates a single-point data breach risk. A ~0.4 AUC-point drop is the price of that privacy guarantee.</w:t>
      </w:r>
    </w:p>
    <w:p>
      <w:pPr>
        <w:pStyle w:val="ListParagraph"/>
        <w:numPr>
          <w:ilvl w:val="0"/>
          <w:numId w:val="2"/>
        </w:numPr>
        <w:spacing w:after="60" w:before="60" w:line="260"/>
      </w:pPr>
      <w:r>
        <w:rPr>
          <w:rFonts w:ascii="Arial" w:cs="Arial" w:eastAsia="Arial" w:hAnsi="Arial"/>
          <w:b w:val="false"/>
          <w:bCs w:val="false"/>
          <w:color w:val="374151"/>
          <w:sz w:val="20"/>
          <w:szCs w:val="20"/>
        </w:rPr>
        <w:t>Operational AUC is barely affected: AUC measures performance across all thresholds; at this dataset's measured linearization cost of 0.0041, the precision/recall difference at any single operating threshold should be smaller still. [UNVERIFIED for this specific dataset/threshold: the original roc_comparison.pdf-style per-threshold breakdown has not been regenerated on ULB creditcard.csv in this session — say "expected, not yet re-measured" in a viva, do not assert a specific percentage.]</w:t>
      </w:r>
    </w:p>
    <w:p>
      <w:pPr>
        <w:pStyle w:val="ListParagraph"/>
        <w:numPr>
          <w:ilvl w:val="0"/>
          <w:numId w:val="2"/>
        </w:numPr>
        <w:spacing w:after="60" w:before="60" w:line="260"/>
      </w:pPr>
      <w:r>
        <w:rPr>
          <w:rFonts w:ascii="Arial" w:cs="Arial" w:eastAsia="Arial" w:hAnsi="Arial"/>
          <w:b w:val="false"/>
          <w:bCs w:val="false"/>
          <w:color w:val="374151"/>
          <w:sz w:val="20"/>
          <w:szCs w:val="20"/>
        </w:rPr>
        <w:t>The next fallback is structurally larger, not verified faster or slower: the Degree-2 path (Module 3.6) requires an auc_dispatch.py AUC gate of ≥0.96 to accept, and produces ~5× larger ciphertexts (n=16384 vs 8192) — but on the current dataset the primary path's 0.9794 AUC never triggers it, so it has never been exercised end to end, and there is no measured latency number for it. Say "unmeasured" for this path's latency in a viva, and cite Module 3.6 — do not quote a specific millisecond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Golden Interview Answer</w:t>
            </w:r>
          </w:p>
          <w:p>
            <w:pPr>
              <w:spacing w:after="0" w:before="0"/>
            </w:pPr>
            <w:r>
              <w:rPr>
                <w:rFonts w:ascii="Arial" w:cs="Arial" w:eastAsia="Arial" w:hAnsi="Arial"/>
                <w:color w:val="374151"/>
                <w:sz w:val="19"/>
                <w:szCs w:val="19"/>
              </w:rPr>
              <w:t>The linearization cost on our dataset (ULB creditcard.csv, 256-feature expanded contract) is +0.0041 AUC (xgb_test_auc=0.9835, lr_test_auc=0.9794 — CONFIRMED-RAN, artifacts/linearization_cost.json), not the 0.04 figure sometimes quoted for a different (IEEE-CIS) dataset in earlier drafts of this system. We justify accepting it on three grounds: first, sending plaintext to the vendor is legally impermissible under PCI-DSS and GDPR; second, at a 0.4-point AUC gap, threshold-level precision/recall degradation is smaller still (not yet re-measured on this dataset); and third, the next alternative — the Degree-2 polynomial-feature fallback — requires an even higher AUC gate (≥0.96) and produces ~5× larger ciphertexts, and has never actually been exercised end to end on this codebase, so we cannot claim it is faster or slower without running it first.</w:t>
            </w:r>
          </w:p>
        </w:tc>
      </w:tr>
    </w:tbl>
    <w:p>
      <w:pPr>
        <w:spacing w:after="80" w:before="200"/>
      </w:pPr>
    </w:p>
    <w:p>
      <w:pPr>
        <w:pStyle w:val="Heading3"/>
        <w:spacing w:after="100" w:before="200"/>
      </w:pPr>
      <w:r>
        <w:rPr>
          <w:rFonts w:ascii="Arial" w:cs="Arial" w:eastAsia="Arial" w:hAnsi="Arial"/>
          <w:b/>
          <w:bCs/>
          <w:color w:val="2563EB"/>
          <w:sz w:val="24"/>
          <w:szCs w:val="24"/>
        </w:rPr>
        <w:t xml:space="preserve">2.3 The Depth-1 Thesis: Why "Depth-1" is the Magic Number?</w:t>
      </w:r>
    </w:p>
    <w:p>
      <w:pPr>
        <w:spacing w:after="100" w:before="80" w:line="276"/>
      </w:pPr>
      <w:r>
        <w:rPr>
          <w:rFonts w:ascii="Arial" w:cs="Arial" w:eastAsia="Arial" w:hAnsi="Arial"/>
          <w:b w:val="false"/>
          <w:bCs w:val="false"/>
          <w:i w:val="false"/>
          <w:iCs w:val="false"/>
          <w:color w:val="374151"/>
          <w:sz w:val="20"/>
          <w:szCs w:val="20"/>
        </w:rPr>
        <w:t xml:space="preserve">Depth-1 is the theoretical minimum for any linear inference circuit — you need at least one multiplication to apply model weights. Any model requiring depth 2 (polynomial, interaction terms, neural layer) forces a parameter upgrade. We designed the linearization process specifically to stay at depth 1.</w:t>
      </w:r>
    </w:p>
    <w:p>
      <w:pPr>
        <w:pStyle w:val="Heading4"/>
        <w:spacing w:after="80" w:before="160"/>
      </w:pPr>
      <w:r>
        <w:rPr>
          <w:rFonts w:ascii="Arial" w:cs="Arial" w:eastAsia="Arial" w:hAnsi="Arial"/>
          <w:b/>
          <w:bCs/>
          <w:color w:val="374151"/>
          <w:sz w:val="22"/>
          <w:szCs w:val="22"/>
        </w:rPr>
        <w:t xml:space="preserve">What Happens If Depth Increases to 3?</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Depth-3 requires coeff_modulus with ≥5 primes: {60, 40, 40, 40, 60} = 240 bits total.</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To maintain 128-bit LWE security with 240-bit modulus, n must increase to 16,384.</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Ciphertext size: ~1 MB (vs 384 KB) — 2.6× increase.</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Each NTT now operates on 16,384 coefficients instead of 8,192 — each NTT is ~2× slower.</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hoisted_tree_sum now needs 9 rotations (log₂(512)) if features increase, or 8 at higher per-NTT cost.</w:t>
      </w:r>
    </w:p>
    <w:p>
      <w:pPr>
        <w:pStyle w:val="ListParagraph"/>
        <w:numPr>
          <w:ilvl w:val="0"/>
          <w:numId w:val="2"/>
        </w:numPr>
        <w:spacing w:after="60" w:before="60" w:line="260"/>
      </w:pPr>
      <w:r>
        <w:rPr>
          <w:rFonts w:ascii="Arial" w:cs="Arial" w:eastAsia="Arial" w:hAnsi="Arial"/>
          <w:b w:val="false"/>
          <w:bCs w:val="false"/>
          <w:color w:val="374151"/>
          <w:sz w:val="20"/>
          <w:szCs w:val="20"/>
        </w:rPr>
        <w:t xml:space="preserve">End-to-end latency estimate: 150–300 ms — far outside the 15 ms client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Depth-1 is the theoretical minimum for any linear inference circuit — you need at least one scalar multiplication to apply model weights. Our linearization process is designed to produce a model expressible as a single multiply_plain followed by a tree-sum of additions. Increasing depth to 3 would require n=16384 (security constraint), increasing ciphertext size from 384 KB to ~1 MB and NTT cost ~4×, pushing end-to-end latency above 150 ms. We treat depth-1 as a hard system constraint, not a goal.</w:t>
            </w:r>
          </w:p>
        </w:tc>
      </w:tr>
    </w:tbl>
    <w:p>
      <w:pPr>
        <w:pageBreakBefore/>
        <w:spacing w:after="0" w:before="0"/>
      </w:pPr>
    </w:p>
    <w:p>
      <w:pPr>
        <w:pStyle w:val="Heading2"/>
        <w:spacing w:after="120" w:before="240"/>
      </w:pPr>
      <w:r>
        <w:rPr>
          <w:rFonts w:ascii="Arial" w:cs="Arial" w:eastAsia="Arial" w:hAnsi="Arial"/>
          <w:b/>
          <w:bCs/>
          <w:color w:val="1A2B4A"/>
          <w:sz w:val="28"/>
          <w:szCs w:val="28"/>
        </w:rPr>
        <w:t xml:space="preserve">MODULE 3: THE SYSTEMS ARCHITECTURE (THE ENGINEERING)</w:t>
      </w:r>
    </w:p>
    <w:p>
      <w:pPr>
        <w:spacing w:after="100" w:before="80" w:line="276"/>
      </w:pPr>
      <w:r>
        <w:rPr>
          <w:rFonts w:ascii="Arial" w:cs="Arial" w:eastAsia="Arial" w:hAnsi="Arial"/>
          <w:b w:val="false"/>
          <w:bCs w:val="false"/>
          <w:i/>
          <w:iCs/>
          <w:color w:val="6B7280"/>
          <w:sz w:val="20"/>
          <w:szCs w:val="20"/>
        </w:rPr>
        <w:t xml:space="preserve">This module distinguishes a systems engineer from a programmer. Every design decision in the spec has a reason. Know the reason.</w:t>
      </w:r>
    </w:p>
    <w:p>
      <w:pPr>
        <w:spacing w:after="80" w:before="200"/>
      </w:pPr>
    </w:p>
    <w:p>
      <w:pPr>
        <w:pStyle w:val="Heading3"/>
        <w:spacing w:after="100" w:before="200"/>
      </w:pPr>
      <w:r>
        <w:rPr>
          <w:rFonts w:ascii="Arial" w:cs="Arial" w:eastAsia="Arial" w:hAnsi="Arial"/>
          <w:b/>
          <w:bCs/>
          <w:color w:val="2563EB"/>
          <w:sz w:val="24"/>
          <w:szCs w:val="24"/>
        </w:rPr>
        <w:t xml:space="preserve">3.1 The gRPC Choice: Why gRPC/Protobuf Over REST/JSON?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Criterion</w:t>
            </w:r>
          </w:p>
        </w:tc>
        <w:tc>
          <w:tcPr>
            <w:tcW w:type="dxa" w:w="3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REST/JSON</w:t>
            </w:r>
          </w:p>
        </w:tc>
        <w:tc>
          <w:tcPr>
            <w:tcW w:type="dxa" w:w="39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gRPC/Protobuf</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Binary encoding for 384 KB blob</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Base64: 512 KB payload (+33% overhead)</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Raw bytes: 384 KB — zero encoding overhead</w:t>
            </w:r>
          </w:p>
        </w:tc>
      </w:tr>
      <w:tr>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Parsing cost</w:t>
            </w:r>
          </w:p>
        </w:tc>
        <w:tc>
          <w:tcPr>
            <w:tcW w:type="dxa" w:w="3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UTF-8 text parser + JSON tokeniser + key-value lookup</w:t>
            </w:r>
          </w:p>
        </w:tc>
        <w:tc>
          <w:tcPr>
            <w:tcW w:type="dxa" w:w="39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Length-prefix + raw memcpy — trivial</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API contract enforcement</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Runtime (schema drift undetected at compile)</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Compile-time (protoc generates type-safe stubs)</w:t>
            </w:r>
          </w:p>
        </w:tc>
      </w:tr>
      <w:tr>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Transport</w:t>
            </w:r>
          </w:p>
        </w:tc>
        <w:tc>
          <w:tcPr>
            <w:tcW w:type="dxa" w:w="3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HTTP/1.1 (one request per TCP connection)</w:t>
            </w:r>
          </w:p>
        </w:tc>
        <w:tc>
          <w:tcPr>
            <w:tcW w:type="dxa" w:w="39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HTTP/2 (multiplexed streams over one connection)</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Code generation</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Manual (swagger/OpenAPI, error-prone)</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Automatic (protoc from single .proto source)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gRPC with Protobuf is the correct choice for transferring 384 KB binary ciphertexts because Protobuf's bytes type requires zero encoding overhead — it serializes as a length prefix plus raw bytes. REST/JSON would require Base64 encoding, inflating the payload 33% to ~512 KB and adding CPU cost for encode/decode. Additionally, gRPC's generated stubs enforce the API contract at compile time, preventing the runtime type mismatches that plague JSON-based APIs.</w:t>
            </w:r>
          </w:p>
        </w:tc>
      </w:tr>
    </w:tbl>
    <w:p>
      <w:pPr>
        <w:spacing w:after="80" w:before="200"/>
      </w:pPr>
    </w:p>
    <w:p>
      <w:pPr>
        <w:pStyle w:val="Heading3"/>
        <w:spacing w:after="100" w:before="200"/>
      </w:pPr>
      <w:r>
        <w:rPr>
          <w:rFonts w:ascii="Arial" w:cs="Arial" w:eastAsia="Arial" w:hAnsi="Arial"/>
          <w:b/>
          <w:bCs/>
          <w:color w:val="2563EB"/>
          <w:sz w:val="24"/>
          <w:szCs w:val="24"/>
        </w:rPr>
        <w:t xml:space="preserve">3.2 The Pybind11 Boundary: Cost and Zero-Copy Buffer Strategy</w:t>
      </w:r>
    </w:p>
    <w:p>
      <w:pPr>
        <w:spacing w:after="100" w:before="80" w:line="276"/>
      </w:pPr>
      <w:r>
        <w:rPr>
          <w:rFonts w:ascii="Arial" w:cs="Arial" w:eastAsia="Arial" w:hAnsi="Arial"/>
          <w:b w:val="false"/>
          <w:bCs w:val="false"/>
          <w:i w:val="false"/>
          <w:iCs w:val="false"/>
          <w:color w:val="374151"/>
          <w:sz w:val="20"/>
          <w:szCs w:val="20"/>
        </w:rPr>
        <w:t xml:space="preserve">Naïvely crossing the Python-C++ boundary means copying data. For a 4096-element array (32 KB) this is manageable; for a 384 KB ciphertext result, unnecessary copies matter.</w:t>
      </w:r>
    </w:p>
    <w:p>
      <w:pPr>
        <w:pStyle w:val="Heading4"/>
        <w:spacing w:after="80" w:before="160"/>
      </w:pPr>
      <w:r>
        <w:rPr>
          <w:rFonts w:ascii="Arial" w:cs="Arial" w:eastAsia="Arial" w:hAnsi="Arial"/>
          <w:b/>
          <w:bCs/>
          <w:color w:val="374151"/>
          <w:sz w:val="22"/>
          <w:szCs w:val="22"/>
        </w:rPr>
        <w:t xml:space="preserve">The Zero-Copy Protocol — Input side (numpy → C++)</w:t>
      </w:r>
    </w:p>
    <w:p>
      <w:pPr>
        <w:shd w:fill="F3F4F6" w:val="clear"/>
        <w:spacing w:after="60" w:before="60"/>
      </w:pPr>
      <w:r>
        <w:rPr>
          <w:rFonts w:ascii="Courier New" w:cs="Courier New" w:eastAsia="Courier New" w:hAnsi="Courier New"/>
          <w:color w:val="1F2937"/>
          <w:sz w:val="17"/>
          <w:szCs w:val="17"/>
        </w:rPr>
        <w:t xml:space="preserve">py::buffer_info buf = features.request();</w:t>
      </w:r>
    </w:p>
    <w:p>
      <w:pPr>
        <w:shd w:fill="F3F4F6" w:val="clear"/>
        <w:spacing w:after="60" w:before="60"/>
      </w:pPr>
      <w:r>
        <w:rPr>
          <w:rFonts w:ascii="Courier New" w:cs="Courier New" w:eastAsia="Courier New" w:hAnsi="Courier New"/>
          <w:color w:val="1F2937"/>
          <w:sz w:val="17"/>
          <w:szCs w:val="17"/>
        </w:rPr>
        <w:t xml:space="preserve">const double* data_ptr = static_cast&lt;const double*&gt;(buf.ptr); // raw pointer into numpy memory</w:t>
      </w:r>
    </w:p>
    <w:p>
      <w:pPr>
        <w:spacing w:after="100" w:before="80" w:line="276"/>
      </w:pPr>
      <w:r>
        <w:rPr>
          <w:rFonts w:ascii="Arial" w:cs="Arial" w:eastAsia="Arial" w:hAnsi="Arial"/>
          <w:b w:val="false"/>
          <w:bCs w:val="false"/>
          <w:i w:val="false"/>
          <w:iCs w:val="false"/>
          <w:color w:val="374151"/>
          <w:sz w:val="20"/>
          <w:szCs w:val="20"/>
        </w:rPr>
        <w:t xml:space="preserve">This gives C++ a raw pointer into the numpy array — no copy. The subsequent std::vector&lt;double&gt; construction is a one-time 32 KB copy, unavoidable because CKKSEncoder::encode() requires a vector. The spec acknowledges and explicitly documents this.</w:t>
      </w:r>
    </w:p>
    <w:p>
      <w:pPr>
        <w:pStyle w:val="Heading4"/>
        <w:spacing w:after="80" w:before="160"/>
      </w:pPr>
      <w:r>
        <w:rPr>
          <w:rFonts w:ascii="Arial" w:cs="Arial" w:eastAsia="Arial" w:hAnsi="Arial"/>
          <w:b/>
          <w:bCs/>
          <w:color w:val="374151"/>
          <w:sz w:val="22"/>
          <w:szCs w:val="22"/>
        </w:rPr>
        <w:t xml:space="preserve">The Zero-Copy Protocol — Output side (C++ → Python)</w:t>
      </w:r>
    </w:p>
    <w:p>
      <w:pPr>
        <w:shd w:fill="F3F4F6" w:val="clear"/>
        <w:spacing w:after="60" w:before="60"/>
      </w:pPr>
      <w:r>
        <w:rPr>
          <w:rFonts w:ascii="Courier New" w:cs="Courier New" w:eastAsia="Courier New" w:hAnsi="Courier New"/>
          <w:color w:val="1F2937"/>
          <w:sz w:val="17"/>
          <w:szCs w:val="17"/>
        </w:rPr>
        <w:t xml:space="preserve">const std::size_t ct_size = ct.save_size(seal::compr_mode_type::none);</w:t>
      </w:r>
    </w:p>
    <w:p>
      <w:pPr>
        <w:shd w:fill="F3F4F6" w:val="clear"/>
        <w:spacing w:after="60" w:before="60"/>
      </w:pPr>
      <w:r>
        <w:rPr>
          <w:rFonts w:ascii="Courier New" w:cs="Courier New" w:eastAsia="Courier New" w:hAnsi="Courier New"/>
          <w:color w:val="1F2937"/>
          <w:sz w:val="17"/>
          <w:szCs w:val="17"/>
        </w:rPr>
        <w:t xml:space="preserve">py::bytes result = py::reinterpret_steal&lt;py::bytes&gt;(PyBytes_FromStringAndSize(nullptr, ct_size));</w:t>
      </w:r>
    </w:p>
    <w:p>
      <w:pPr>
        <w:shd w:fill="F3F4F6" w:val="clear"/>
        <w:spacing w:after="60" w:before="60"/>
      </w:pPr>
      <w:r>
        <w:rPr>
          <w:rFonts w:ascii="Courier New" w:cs="Courier New" w:eastAsia="Courier New" w:hAnsi="Courier New"/>
          <w:color w:val="1F2937"/>
          <w:sz w:val="17"/>
          <w:szCs w:val="17"/>
        </w:rPr>
        <w:t xml:space="preserve">ct.save(PyBytes_AS_STRING(result.ptr()), ct_size, seal::compr_mode_type::none);</w:t>
      </w:r>
    </w:p>
    <w:p>
      <w:pPr>
        <w:spacing w:after="100" w:before="80" w:line="276"/>
      </w:pPr>
      <w:r>
        <w:rPr>
          <w:rFonts w:ascii="Arial" w:cs="Arial" w:eastAsia="Arial" w:hAnsi="Arial"/>
          <w:b w:val="false"/>
          <w:bCs w:val="false"/>
          <w:i w:val="false"/>
          <w:iCs w:val="false"/>
          <w:color w:val="374151"/>
          <w:sz w:val="20"/>
          <w:szCs w:val="20"/>
        </w:rPr>
        <w:t xml:space="preserve">SEAL serializes the ciphertext directly into the pre-allocated Python bytes object. No intermediate std::string, no second allocation. Total: 3 allocations, 0 redundant copies of the 384 KB ciphertext.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The Pybind11 boundary presents two risks: redundant copies of the 384 KB ciphertext, and GIL contention. We use the pybind11 buffer protocol to obtain a zero-copy pointer into the numpy array for input, and serialize the output SEAL ciphertext directly into a pre-allocated Python bytes object using PyBytes_FromStringAndSize. This reduces the ciphertext copy count from 5 (the naive stringstream path) to 0 redundant copies, saving approximately 1 ms of serialization latency per inference.</w:t>
            </w:r>
          </w:p>
        </w:tc>
      </w:tr>
    </w:tbl>
    <w:p>
      <w:pPr>
        <w:spacing w:after="80" w:before="200"/>
      </w:pPr>
    </w:p>
    <w:p>
      <w:pPr>
        <w:pStyle w:val="Heading3"/>
        <w:spacing w:after="100" w:before="200"/>
      </w:pPr>
      <w:r>
        <w:rPr>
          <w:rFonts w:ascii="Arial" w:cs="Arial" w:eastAsia="Arial" w:hAnsi="Arial"/>
          <w:b/>
          <w:bCs/>
          <w:color w:val="2563EB"/>
          <w:sz w:val="24"/>
          <w:szCs w:val="24"/>
        </w:rPr>
        <w:t xml:space="preserve">3.3 Rotation Hoisting: "Decompose-once, Apply-many" and the 6× Speedup</w:t>
      </w:r>
    </w:p>
    <w:p>
      <w:pPr>
        <w:spacing w:after="100" w:before="80" w:line="276"/>
      </w:pPr>
      <w:r>
        <w:rPr>
          <w:rFonts w:ascii="Arial" w:cs="Arial" w:eastAsia="Arial" w:hAnsi="Arial"/>
          <w:b w:val="false"/>
          <w:bCs w:val="false"/>
          <w:i w:val="false"/>
          <w:iCs w:val="false"/>
          <w:color w:val="374151"/>
          <w:sz w:val="20"/>
          <w:szCs w:val="20"/>
        </w:rPr>
        <w:t xml:space="preserve">To sum 256 values using a binary tree approach, you perform 8 rotate-and-add operations (log₂(256) = 8 steps). The naive approach rotates by every step from 1 to 255 — 255 operations, each requiring a Galois key. Our approach uses only the 8 power-of-2 step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000"/>
        <w:gridCol w:w="1760"/>
        <w:gridCol w:w="1600"/>
      </w:tblGrid>
      <w:tr>
        <w:trPr>
          <w:tblHeader/>
        </w:trPr>
        <w:tc>
          <w:tcPr>
            <w:tcW w:type="dxa" w:w="25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Approach</w:t>
            </w:r>
          </w:p>
        </w:tc>
        <w:tc>
          <w:tcPr>
            <w:tcW w:type="dxa" w:w="25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Rotation Steps</w:t>
            </w:r>
          </w:p>
        </w:tc>
        <w:tc>
          <w:tcPr>
            <w:tcW w:type="dxa" w:w="2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Galois Keys Required</w:t>
            </w:r>
          </w:p>
        </w:tc>
        <w:tc>
          <w:tcPr>
            <w:tcW w:type="dxa" w:w="17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NTT Operations</w:t>
            </w:r>
          </w:p>
        </w:tc>
        <w:tc>
          <w:tcPr>
            <w:tcW w:type="dxa" w:w="16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Key Storage</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Naive (naive_tree_sum)</w:t>
            </w:r>
          </w:p>
        </w:tc>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Steps 1 through 255</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255 keys</w:t>
            </w:r>
          </w:p>
        </w:tc>
        <w:tc>
          <w:tcPr>
            <w:tcW w:type="dxa" w:w="1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~255 NTTs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Multiple GB</w:t>
            </w:r>
          </w:p>
        </w:tc>
      </w:tr>
      <w:tr>
        <w:tc>
          <w:tcPr>
            <w:tcW w:type="dxa" w:w="25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Hoisted (hoisted_tree_sum)</w:t>
            </w:r>
          </w:p>
        </w:tc>
        <w:tc>
          <w:tcPr>
            <w:tcW w:type="dxa" w:w="25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Steps {1,2,4,8,16,32,64,128}</w:t>
            </w:r>
          </w:p>
        </w:tc>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8 keys</w:t>
            </w:r>
          </w:p>
        </w:tc>
        <w:tc>
          <w:tcPr>
            <w:tcW w:type="dxa" w:w="17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8 NTTs</w:t>
            </w:r>
          </w:p>
        </w:tc>
        <w:tc>
          <w:tcPr>
            <w:tcW w:type="dxa" w:w="16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~30 MB</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Speedup ratio</w:t>
            </w:r>
          </w:p>
        </w:tc>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32×</w:t>
            </w:r>
          </w:p>
        </w:tc>
        <w:tc>
          <w:tcPr>
            <w:tcW w:type="dxa" w:w="1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~6× measured</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~90% reduction</w:t>
            </w:r>
          </w:p>
        </w:tc>
      </w:tr>
    </w:tbl>
    <w:p>
      <w:pPr>
        <w:spacing w:after="80" w:before="120"/>
      </w:pPr>
    </w:p>
    <w:p>
      <w:pPr>
        <w:spacing w:after="100" w:before="80" w:line="276"/>
      </w:pPr>
      <w:r>
        <w:rPr>
          <w:rFonts w:ascii="Arial" w:cs="Arial" w:eastAsia="Arial" w:hAnsi="Arial"/>
          <w:b w:val="false"/>
          <w:bCs w:val="false"/>
          <w:i w:val="false"/>
          <w:iCs w:val="false"/>
          <w:color w:val="374151"/>
          <w:sz w:val="20"/>
          <w:szCs w:val="20"/>
        </w:rPr>
        <w:t xml:space="preserve">The measured ~6× speedup (not the theoretical 32×) is due to memory/cache effects: 8 warm-cache NTTs are faster than 255 NTTs with cache thrashing. The Catch2 gate requires ≥2× speedup; the production target is 5–6×, documented in ablation_hoisting.csv.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xml:space="preserve">🏆 Golden Interview Answer</w:t>
            </w:r>
          </w:p>
          <w:p>
            <w:pPr>
              <w:spacing w:after="0" w:before="0"/>
            </w:pPr>
            <w:r>
              <w:rPr>
                <w:rFonts w:ascii="Arial" w:cs="Arial" w:eastAsia="Arial" w:hAnsi="Arial"/>
                <w:color w:val="374151"/>
                <w:sz w:val="19"/>
                <w:szCs w:val="19"/>
              </w:rPr>
              <w:t xml:space="preserve">Rotation hoisting uses a restricted Galois key set of 8 powers-of-2 sufficient for the log₂(256)=8-step binary tree-sum. The naive approach rotates by all 255 steps, requiring 255 NTT operations. Our approach requires 8. The measured speedup is 5–6× rather than the theoretical 32× because NTT cost is dominated by memory access patterns, not pure arithmetic, and cache behavior improves significantly with fewer sequential operations.</w:t>
            </w:r>
          </w:p>
        </w:tc>
      </w:tr>
    </w:tbl>
    <w:p>
      <w:pPr>
        <w:spacing w:after="80" w:before="200"/>
      </w:pPr>
    </w:p>
    <w:p>
      <w:pPr>
        <w:pStyle w:val="Heading3"/>
        <w:spacing w:after="100" w:before="200"/>
      </w:pPr>
      <w:r>
        <w:rPr>
          <w:rFonts w:ascii="Arial" w:cs="Arial" w:eastAsia="Arial" w:hAnsi="Arial"/>
          <w:b/>
          <w:bCs/>
          <w:color w:val="2563EB"/>
          <w:sz w:val="24"/>
          <w:szCs w:val="24"/>
        </w:rPr>
        <w:t>3.4 The Trust Boundary: Provisioning + Canary, Not an HSM Shim</w:t>
      </w:r>
    </w:p>
    <w:p>
      <w:pPr>
        <w:spacing w:after="100" w:before="80" w:line="276"/>
      </w:pPr>
      <w:r>
        <w:rPr>
          <w:rFonts w:ascii="Arial" w:cs="Arial" w:eastAsia="Arial" w:hAnsi="Arial"/>
          <w:b w:val="false"/>
          <w:bCs w:val="false"/>
          <w:i w:val="false"/>
          <w:iCs w:val="false"/>
          <w:color w:val="374151"/>
          <w:sz w:val="20"/>
          <w:szCs w:val="20"/>
        </w:rPr>
        <w:t>There is no Hardware Security Module or PKCS#11 shim anywhere in this codebase — that was aspirational language in an earlier draft of this guide, and no source file, script, or dependency in this repo implements or calls one. The real trust boundary is structural and protocol-level: the deployed vendor server's C++ type has no field, constructor path, or code path that can ever hold a secret key — not even in a dev build — and a bank-driven provisioning + canary handshake (§3.7 below) is what proves the keys it does receive are safe to use, without the secret key ever crossing the wire.</w:t>
      </w:r>
    </w:p>
    <w:p>
      <w:pPr>
        <w:pStyle w:val="Heading4"/>
        <w:spacing w:after="80" w:before="160"/>
      </w:pPr>
      <w:r>
        <w:rPr>
          <w:rFonts w:ascii="Arial" w:cs="Arial" w:eastAsia="Arial" w:hAnsi="Arial"/>
          <w:b/>
          <w:bCs/>
          <w:color w:val="374151"/>
          <w:sz w:val="22"/>
          <w:szCs w:val="22"/>
        </w:rPr>
        <w:t>The Real Trust Architecture</w:t>
      </w:r>
    </w:p>
    <w:p>
      <w:pPr>
        <w:shd w:fill="F3F4F6" w:val="clear"/>
        <w:spacing w:after="60" w:before="60"/>
      </w:pPr>
      <w:r>
        <w:rPr>
          <w:rFonts w:ascii="Courier New" w:cs="Courier New" w:eastAsia="Courier New" w:hAnsi="Courier New"/>
          <w:color w:val="1F2937"/>
          <w:sz w:val="17"/>
          <w:szCs w:val="17"/>
        </w:rPr>
        <w:t>Bank Process (Python, BankClient)</w:t>
      </w:r>
    </w:p>
    <w:p>
      <w:pPr>
        <w:shd w:fill="F3F4F6" w:val="clear"/>
        <w:spacing w:after="60" w:before="60"/>
      </w:pPr>
      <w:r>
        <w:rPr>
          <w:rFonts w:ascii="Courier New" w:cs="Courier New" w:eastAsia="Courier New" w:hAnsi="Courier New"/>
          <w:color w:val="1F2937"/>
          <w:sz w:val="17"/>
          <w:szCs w:val="17"/>
        </w:rPr>
        <w:t>├── SecretKey  ← generated + held ONLY here (compiler/gen_keys_160.py)</w:t>
      </w:r>
    </w:p>
    <w:p>
      <w:pPr>
        <w:shd w:fill="F3F4F6" w:val="clear"/>
        <w:spacing w:after="60" w:before="60"/>
      </w:pPr>
      <w:r>
        <w:rPr>
          <w:rFonts w:ascii="Courier New" w:cs="Courier New" w:eastAsia="Courier New" w:hAnsi="Courier New"/>
          <w:color w:val="1F2937"/>
          <w:sz w:val="17"/>
          <w:szCs w:val="17"/>
        </w:rPr>
        <w:t>├── PublicKey  ← used only by the bank itself, to encrypt its own queries</w:t>
      </w:r>
    </w:p>
    <w:p>
      <w:pPr>
        <w:shd w:fill="F3F4F6" w:val="clear"/>
        <w:spacing w:after="60" w:before="60"/>
      </w:pPr>
      <w:r>
        <w:rPr>
          <w:rFonts w:ascii="Courier New" w:cs="Courier New" w:eastAsia="Courier New" w:hAnsi="Courier New"/>
          <w:color w:val="1F2937"/>
          <w:sz w:val="17"/>
          <w:szCs w:val="17"/>
        </w:rPr>
        <w:t>└── GaloisKeys ← the ONLY key material ever sent to the vendor</w:t>
      </w:r>
    </w:p>
    <w:p>
      <w:pPr>
        <w:shd w:fill="F3F4F6" w:val="clear"/>
        <w:spacing w:after="60" w:before="60"/>
      </w:pPr>
      <w:r>
        <w:rPr>
          <w:rFonts w:ascii="Courier New" w:cs="Courier New" w:eastAsia="Courier New" w:hAnsi="Courier New"/>
          <w:color w:val="1F2937"/>
          <w:sz w:val="17"/>
          <w:szCs w:val="17"/>
        </w:rPr>
      </w:r>
    </w:p>
    <w:p>
      <w:pPr>
        <w:shd w:fill="F3F4F6" w:val="clear"/>
        <w:spacing w:after="60" w:before="60"/>
      </w:pPr>
      <w:r>
        <w:rPr>
          <w:rFonts w:ascii="Courier New" w:cs="Courier New" w:eastAsia="Courier New" w:hAnsi="Courier New"/>
          <w:color w:val="1F2937"/>
          <w:sz w:val="17"/>
          <w:szCs w:val="17"/>
        </w:rPr>
        <w:t>Vendor Process (C++, vendor_server_160 / EvalContext160)</w:t>
      </w:r>
    </w:p>
    <w:p>
      <w:pPr>
        <w:shd w:fill="F3F4F6" w:val="clear"/>
        <w:spacing w:after="60" w:before="60"/>
      </w:pPr>
      <w:r>
        <w:rPr>
          <w:rFonts w:ascii="Courier New" w:cs="Courier New" w:eastAsia="Courier New" w:hAnsi="Courier New"/>
          <w:color w:val="1F2937"/>
          <w:sz w:val="17"/>
          <w:szCs w:val="17"/>
        </w:rPr>
        <w:t>├── NO seal::SecretKey field — absent from the type, not just unused</w:t>
      </w:r>
    </w:p>
    <w:p>
      <w:pPr>
        <w:shd w:fill="F3F4F6" w:val="clear"/>
        <w:spacing w:after="60" w:before="60"/>
      </w:pPr>
      <w:r>
        <w:rPr>
          <w:rFonts w:ascii="Courier New" w:cs="Courier New" w:eastAsia="Courier New" w:hAnsi="Courier New"/>
          <w:color w:val="1F2937"/>
          <w:sz w:val="17"/>
          <w:szCs w:val="17"/>
        </w:rPr>
        <w:t>├── NO seal::Decryptor, NO seal::KeyGenerator, NO seal::Encryptor/PublicKey</w:t>
      </w:r>
    </w:p>
    <w:p>
      <w:pPr>
        <w:shd w:fill="F3F4F6" w:val="clear"/>
        <w:spacing w:after="60" w:before="60"/>
      </w:pPr>
      <w:r>
        <w:rPr>
          <w:rFonts w:ascii="Courier New" w:cs="Courier New" w:eastAsia="Courier New" w:hAnsi="Courier New"/>
          <w:color w:val="1F2937"/>
          <w:sz w:val="17"/>
          <w:szCs w:val="17"/>
        </w:rPr>
        <w:t>└── Holds only: provisioned GaloisKeys + the plaintext model weights</w:t>
      </w:r>
    </w:p>
    <w:p>
      <w:pPr>
        <w:spacing w:after="100" w:before="80" w:line="276"/>
      </w:pPr>
      <w:r>
        <w:rPr>
          <w:rFonts w:ascii="Arial" w:cs="Arial" w:eastAsia="Arial" w:hAnsi="Arial"/>
          <w:b w:val="false"/>
          <w:bCs w:val="false"/>
          <w:i w:val="false"/>
          <w:iCs w:val="false"/>
          <w:color w:val="374151"/>
          <w:sz w:val="20"/>
          <w:szCs w:val="20"/>
        </w:rPr>
        <w:t>This is a stronger property than an HSM shim: a shim still requires trusting that the application process never accidentally holds the key in a stray variable or a core dump. Here, EvalContext160 (vendor_server/include/eval_context_160.h) has no seal::SecretKey member at all — not null-initialized, not present-but-unused — so there is no line of code in the vendor process that could leak it [CONFIRMED-SOURCE: vendor_server/src/eval_context_160.cpp, lines ~113–116]. A second, structurally different binary (vendor_server_main / CKKSContext, and the standalone benchmark_160 / CKKSContext160 tools) DOES hold a secret key — but these are explicitly out-of-TCB, self-timing research/ablation tools, never linked into the deployed Dockerfile.server target, and are not what "the vendor" means anywhere else in this guide [CONFIRMED-SOURCE: README.md "Trust Boundary &amp; Security Architecture"; docs/spec.md §6.9].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Golden Interview Answer</w:t>
            </w:r>
          </w:p>
          <w:p>
            <w:pPr>
              <w:spacing w:after="0" w:before="0"/>
            </w:pPr>
            <w:r>
              <w:rPr>
                <w:rFonts w:ascii="Arial" w:cs="Arial" w:eastAsia="Arial" w:hAnsi="Arial"/>
                <w:color w:val="374151"/>
                <w:sz w:val="19"/>
                <w:szCs w:val="19"/>
              </w:rPr>
              <w:t>There is no HSM or PKCS#11 shim in this system, and the vendor never holds the secret key — not in production, not in a dev build, not even transiently during construction. This is enforced structurally: EvalContext160, the deployed server's context type, has no seal::SecretKey, seal::Decryptor, seal::KeyGenerator, or seal::Encryptor field at all [CONFIRMED-SOURCE: eval_context_160.cpp]. Trust is instead established by a provisioning + canary protocol (§3.7): the bank pushes only Galois keys (eval-only key material), and a canary round-trip proves those keys are cryptographically consistent with the bank's own secret key — without that secret key ever leaving the bank. A separate, explicitly out-of-TCB binary (vendor_server_main) does hold a secret key for self-ablation benchmarking only, and is never part of any deployment.</w:t>
            </w:r>
          </w:p>
        </w:tc>
      </w:tr>
    </w:tbl>
    <w:p>
      <w:pPr>
        <w:spacing w:after="160" w:before="160"/>
      </w:pPr>
    </w:p>
    <w:p>
      <w:pPr>
        <w:pStyle w:val="Heading3"/>
        <w:spacing w:after="100" w:before="200"/>
      </w:pPr>
      <w:r>
        <w:rPr>
          <w:rFonts w:ascii="Arial" w:cs="Arial" w:eastAsia="Arial" w:hAnsi="Arial"/>
          <w:b/>
          <w:bCs/>
          <w:color w:val="2563EB"/>
          <w:sz w:val="24"/>
          <w:szCs w:val="24"/>
        </w:rPr>
        <w:t>3.5 Variant Strategy: 200-bit Baseline vs. 160-bit Deployed</w:t>
      </w:r>
    </w:p>
    <w:p>
      <w:pPr>
        <w:pStyle w:val="Heading4"/>
        <w:spacing w:after="80" w:before="160"/>
      </w:pPr>
      <w:r>
        <w:rPr>
          <w:rFonts w:ascii="Arial" w:cs="Arial" w:eastAsia="Arial" w:hAnsi="Arial"/>
          <w:b/>
          <w:bCs/>
          <w:color w:val="374151"/>
          <w:sz w:val="22"/>
          <w:szCs w:val="22"/>
        </w:rPr>
        <w:t>Plain English (The Analogy)</w:t>
      </w:r>
    </w:p>
    <w:p>
      <w:pPr>
        <w:spacing w:after="100" w:before="80" w:line="276"/>
      </w:pPr>
      <w:r>
        <w:rPr>
          <w:rFonts w:ascii="Arial" w:cs="Arial" w:eastAsia="Arial" w:hAnsi="Arial"/>
          <w:b w:val="false"/>
          <w:bCs w:val="false"/>
          <w:i w:val="false"/>
          <w:iCs w:val="false"/>
          <w:color w:val="374151"/>
          <w:sz w:val="20"/>
          <w:szCs w:val="20"/>
        </w:rPr>
        <w:t>Think of the modulus chain as a stack of poker chips you're allowed to spend, one per multiplication. The 200-bit baseline stacks four chips {60,40,40,60}; the 160-bit deployed variant stacks three {60,40,60}. Both stacks sit under the same table-imposed limit, so neither is "more secure" than the other — the 160-bit stack just has one fewer spare chip left over after our single depth-1 spend.</w:t>
      </w:r>
    </w:p>
    <w:p>
      <w:pPr>
        <w:pStyle w:val="Heading4"/>
        <w:spacing w:after="80" w:before="160"/>
      </w:pPr>
      <w:r>
        <w:rPr>
          <w:rFonts w:ascii="Arial" w:cs="Arial" w:eastAsia="Arial" w:hAnsi="Arial"/>
          <w:b/>
          <w:bCs/>
          <w:color w:val="374151"/>
          <w:sz w:val="22"/>
          <w:szCs w:val="22"/>
        </w:rPr>
        <w:t>Technical Terms</w:t>
      </w:r>
    </w:p>
    <w:p>
      <w:pPr>
        <w:spacing w:after="100" w:before="80" w:line="276"/>
      </w:pPr>
      <w:r>
        <w:rPr>
          <w:rFonts w:ascii="Arial" w:cs="Arial" w:eastAsia="Arial" w:hAnsi="Arial"/>
          <w:b w:val="false"/>
          <w:bCs w:val="false"/>
          <w:i w:val="false"/>
          <w:iCs w:val="false"/>
          <w:color w:val="374151"/>
          <w:sz w:val="20"/>
          <w:szCs w:val="20"/>
        </w:rPr>
        <w:t>Both variants use poly_modulus_degree=8192 and sec_level_type::tc128 (128-bit classical security). HomomorphicEncryption.org's Security Standard v1.1, Table 2, caps total coeff_modulus bits at 218 for n=8192/tc128 — both 200 and 160 bits sit under that cap, so the security level is identical, not traded off. The 200-bit KEY chain {60,40,40,60} drops its 60-bit special key-switching prime to a {60,40,40}=140-bit DATA chain; one rescale drops the next 40-bit prime, leaving {60,40}=100 bits = 1 spare multiplicative level, with 18 bits of margin under the 218-bit bound [CONFIRMED-SOURCE: ckks_context.cpp]. The 160-bit KEY chain {60,40,60} drops its 60-bit special prime to a {60,40}=100-bit DATA chain; the same one rescale drops the 40-bit prime, leaving {60}=60 bits = 0 spare levels, with 58 bits of margin under the same bound [CONFIRMED-SOURCE: eval_context_160.cpp]. Both provision the identical restricted Galois key set {1,2,4,8,16,32,64,128}. vendor_server_160 (the deployed default) is EvalContext160; the 200-bit vendor_server_main is kept only as the Type-1 self-ablation reference (Module 4.1) — a structurally different, secret-key-holding codebase, not a config flag on the same binary.</w:t>
      </w:r>
    </w:p>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000"/>
        <w:gridCol w:w="1760"/>
        <w:gridCol w:w="1600"/>
      </w:tblGrid>
      <w:tr>
        <w:trPr>
          <w:tblHeader/>
        </w:trPr>
        <w:tc>
          <w:tcPr>
            <w:tcW w:type="dxa" w:w="25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Variant</w:t>
            </w:r>
          </w:p>
        </w:tc>
        <w:tc>
          <w:tcPr>
            <w:tcW w:type="dxa" w:w="25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coeff_modulus</w:t>
            </w:r>
          </w:p>
        </w:tc>
        <w:tc>
          <w:tcPr>
            <w:tcW w:type="dxa" w:w="20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Total bits</w:t>
            </w:r>
          </w:p>
        </w:tc>
        <w:tc>
          <w:tcPr>
            <w:tcW w:type="dxa" w:w="17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Spare levels after depth-1</w:t>
            </w:r>
          </w:p>
        </w:tc>
        <w:tc>
          <w:tcPr>
            <w:tcW w:type="dxa" w:w="16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Status</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200-bit baseline</w:t>
            </w:r>
          </w:p>
        </w:tc>
        <w:tc>
          <w:tcPr>
            <w:tcW w:type="dxa" w:w="2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{60,40,40,60}</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200</w:t>
            </w:r>
          </w:p>
        </w:tc>
        <w:tc>
          <w:tcPr>
            <w:tcW w:type="dxa" w:w="1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1</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Self-ablation reference only (vendor_server_main)</w:t>
            </w:r>
          </w:p>
        </w:tc>
      </w:tr>
      <w:tr>
        <w:tc>
          <w:tcPr>
            <w:tcW w:type="dxa" w:w="25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160-bit reduced</w:t>
            </w:r>
          </w:p>
        </w:tc>
        <w:tc>
          <w:tcPr>
            <w:tcW w:type="dxa" w:w="25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{60,40,60}</w:t>
            </w:r>
          </w:p>
        </w:tc>
        <w:tc>
          <w:tcPr>
            <w:tcW w:type="dxa" w:w="20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160</w:t>
            </w:r>
          </w:p>
        </w:tc>
        <w:tc>
          <w:tcPr>
            <w:tcW w:type="dxa" w:w="17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0</w:t>
            </w:r>
          </w:p>
        </w:tc>
        <w:tc>
          <w:tcPr>
            <w:tcW w:type="dxa" w:w="16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Deployed default (vendor_server_160)</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Golden Interview Answer</w:t>
            </w:r>
          </w:p>
          <w:p>
            <w:pPr>
              <w:spacing w:after="0" w:before="0"/>
            </w:pPr>
            <w:r>
              <w:rPr>
                <w:rFonts w:ascii="Arial" w:cs="Arial" w:eastAsia="Arial" w:hAnsi="Arial"/>
                <w:color w:val="374151"/>
                <w:sz w:val="19"/>
                <w:szCs w:val="19"/>
              </w:rPr>
              <w:t>Both variants sit at the identical 128-bit classical security level — n=8192/tc128 permits up to 218 total coeff_modulus bits per the HE standard, and both 200 (baseline) and 160 (deployed) bits are under that cap. The trade-off is purely operational: the 200-bit chain has one spare multiplicative level after our depth-1 circuit (18 bits of margin), useful for a future circuit-depth increase without regenerating keys; the 160-bit chain has zero spare levels (58 bits of margin) but a measurably smaller ciphertext and faster hot path — see Module 4.1's Type-1 self-ablation for the actual measured delta. We deploy 160-bit by default and keep 200-bit only as the apples-to-apples reference for that comparison.</w:t>
            </w:r>
          </w:p>
        </w:tc>
      </w:tr>
    </w:tbl>
    <w:p>
      <w:pPr>
        <w:spacing w:after="160" w:before="160"/>
      </w:pPr>
    </w:p>
    <w:p>
      <w:pPr>
        <w:pStyle w:val="Heading3"/>
        <w:spacing w:after="100" w:before="200"/>
      </w:pPr>
      <w:r>
        <w:rPr>
          <w:rFonts w:ascii="Arial" w:cs="Arial" w:eastAsia="Arial" w:hAnsi="Arial"/>
          <w:b/>
          <w:bCs/>
          <w:color w:val="2563EB"/>
          <w:sz w:val="24"/>
          <w:szCs w:val="24"/>
        </w:rPr>
        <w:t>3.6 The Degree-2 Fallback: Now Implemented (With One Open Bug)</w:t>
      </w:r>
    </w:p>
    <w:p>
      <w:pPr>
        <w:pStyle w:val="Heading4"/>
        <w:spacing w:after="80" w:before="160"/>
      </w:pPr>
      <w:r>
        <w:rPr>
          <w:rFonts w:ascii="Arial" w:cs="Arial" w:eastAsia="Arial" w:hAnsi="Arial"/>
          <w:b/>
          <w:bCs/>
          <w:color w:val="374151"/>
          <w:sz w:val="22"/>
          <w:szCs w:val="22"/>
        </w:rPr>
        <w:t>Plain English (The Analogy)</w:t>
      </w:r>
    </w:p>
    <w:p>
      <w:pPr>
        <w:spacing w:after="100" w:before="80" w:line="276"/>
      </w:pPr>
      <w:r>
        <w:rPr>
          <w:rFonts w:ascii="Arial" w:cs="Arial" w:eastAsia="Arial" w:hAnsi="Arial"/>
          <w:b w:val="false"/>
          <w:bCs w:val="false"/>
          <w:i w:val="false"/>
          <w:iCs w:val="false"/>
          <w:color w:val="374151"/>
          <w:sz w:val="20"/>
          <w:szCs w:val="20"/>
        </w:rPr>
        <w:t>The old audit flagged this as a locked door with no key cut yet — a documented plan, nothing you could actually walk through. That door has since been built: there's a real n=16384 CKKS context, a real weight loader, a real gate script deciding when to open it. But building a door doesn't mean nobody's tripped on the threshold — and this session, while verifying the claim that the path is "implemented," I tried walking through it and found a step that isn't there.</w:t>
      </w:r>
    </w:p>
    <w:p>
      <w:pPr>
        <w:pStyle w:val="Heading4"/>
        <w:spacing w:after="80" w:before="160"/>
      </w:pPr>
      <w:r>
        <w:rPr>
          <w:rFonts w:ascii="Arial" w:cs="Arial" w:eastAsia="Arial" w:hAnsi="Arial"/>
          <w:b/>
          <w:bCs/>
          <w:color w:val="374151"/>
          <w:sz w:val="22"/>
          <w:szCs w:val="22"/>
        </w:rPr>
        <w:t>Technical Terms</w:t>
      </w:r>
    </w:p>
    <w:p>
      <w:pPr>
        <w:spacing w:after="100" w:before="80" w:line="276"/>
      </w:pPr>
      <w:r>
        <w:rPr>
          <w:rFonts w:ascii="Arial" w:cs="Arial" w:eastAsia="Arial" w:hAnsi="Arial"/>
          <w:b w:val="false"/>
          <w:bCs w:val="false"/>
          <w:i w:val="false"/>
          <w:iCs w:val="false"/>
          <w:color w:val="374151"/>
          <w:sz w:val="20"/>
          <w:szCs w:val="20"/>
        </w:rPr>
        <w:t>compiler/auc_dispatch.py runs the Depth-1 LR's AUC gate: ≥0.94 stays on the primary path; [0.92,0.94) is a borderline SMOTE-retune retry; &lt;0.92 calls degree2_linearizer.linearize_degree2(). The CKKS side is real: vendor_server/src/ckks_context_depth2.cpp constructs n=16384, coeff_modulus={60,40,40,40,60} (240 bits), and its own sanity check performs exactly one multiply_plain_inplace + one rescale_to_next_inplace [CONFIRMED-SOURCE] — i.e. the HE circuit stays Depth-1 in the strict sense; the added expressivity is meant to come entirely from a 512-wide bank-side plaintext feature vector (top-256 linear terms + top-32-feature pairwise interactions), not from a deeper HE circuit. serialize_degree2_weights.py and the C++ weight_loader_degree2 round-trip a 4108-byte (4+8+512×8) binary contract correctly [CONFIRMED-RAN: artifacts/degree2_weights.bin is exactly 4108 bytes].</w:t>
      </w:r>
    </w:p>
    <w:p>
      <w:pPr>
        <w:spacing w:after="100" w:before="80" w:line="276"/>
      </w:pPr>
      <w:r>
        <w:rPr>
          <w:rFonts w:ascii="Arial" w:cs="Arial" w:eastAsia="Arial" w:hAnsi="Arial"/>
          <w:b w:val="false"/>
          <w:bCs w:val="false"/>
          <w:i w:val="false"/>
          <w:iCs w:val="false"/>
          <w:color w:val="374151"/>
          <w:sz w:val="20"/>
          <w:szCs w:val="20"/>
        </w:rPr>
        <w:t>However: compiler/degree2_linearizer.py's build_degree2_features computes pad_cols = np.zeros((n, N_FEATURES_D2 − N_TOP_LINEAR − N_INTERACT)) = np.zeros((n, 512 − 256 − 496)) = np.zeros((n, −240)) — a negative array dimension. [CONFIRMED-RAN this session]: calling linearize_degree2('artifacts') raises "ValueError: negative dimensions are not allowed" immediately, before any weights are fit. On the current dataset the Depth-1 LR clears 0.9794 ≫ 0.94, so auc_dispatch.py has never taken this branch in production and the bug has never been hit — but if it is ever exercised, it will crash auc_dispatch.py's fallback branch (the call is unwrapped, no try/except). This is a genuine, unresolved implementation gap — more concrete than the old audit's "no code exists yet" finding, because the code exists and this session is the first time anyone actually ran it. See Module 6 (Open Weaknesses) below.</w:t>
      </w:r>
    </w:p>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rPr>
          <w:tblHeader/>
        </w:trPr>
        <w:tc>
          <w:tcPr>
            <w:tcW w:type="dxa" w:w="4500"/>
            <w:tcBorders>
              <w:top w:val="single" w:color="1E3A5F" w:sz="1"/>
              <w:left w:val="single" w:color="1E3A5F" w:sz="1"/>
              <w:bottom w:val="single" w:color="1E3A5F" w:sz="1"/>
              <w:right w:val="single" w:color="1E3A5F" w:sz="1"/>
            </w:tcBorders>
            <w:shd w:fill="1A2B4A" w:val="clear"/>
            <w:tcMar>
              <w:top w:type="dxa" w:w="100"/>
              <w:left w:type="dxa" w:w="160"/>
              <w:bottom w:type="dxa" w:w="100"/>
              <w:right w:type="dxa" w:w="120"/>
            </w:tcMar>
          </w:tcPr>
          <w:p>
            <w:r>
              <w:rPr>
                <w:rFonts w:ascii="Arial" w:cs="Arial" w:eastAsia="Arial" w:hAnsi="Arial"/>
                <w:b/>
                <w:bCs/>
                <w:color w:val="FFFFFF"/>
                <w:sz w:val="19"/>
                <w:szCs w:val="19"/>
              </w:rPr>
              <w:t>Degree-2 Parameter</w:t>
            </w:r>
          </w:p>
        </w:tc>
        <w:tc>
          <w:tcPr>
            <w:tcW w:type="dxa" w:w="4860"/>
            <w:tcBorders>
              <w:top w:val="single" w:color="1E3A5F" w:sz="1"/>
              <w:left w:val="single" w:color="1E3A5F" w:sz="1"/>
              <w:bottom w:val="single" w:color="1E3A5F" w:sz="1"/>
              <w:right w:val="single" w:color="1E3A5F" w:sz="1"/>
            </w:tcBorders>
            <w:shd w:fill="1A2B4A" w:val="clear"/>
            <w:tcMar>
              <w:top w:type="dxa" w:w="100"/>
              <w:left w:type="dxa" w:w="160"/>
              <w:bottom w:type="dxa" w:w="100"/>
              <w:right w:type="dxa" w:w="120"/>
            </w:tcMar>
          </w:tcPr>
          <w:p>
            <w:r>
              <w:rPr>
                <w:rFonts w:ascii="Arial" w:cs="Arial" w:eastAsia="Arial" w:hAnsi="Arial"/>
                <w:b/>
                <w:bCs/>
                <w:color w:val="FFFFFF"/>
                <w:sz w:val="19"/>
                <w:szCs w:val="19"/>
              </w:rPr>
              <w:t>Value</w:t>
            </w:r>
          </w:p>
        </w:tc>
      </w:tr>
      <w:tr>
        <w:tc>
          <w:tcPr>
            <w:tcW w:type="dxa" w:w="4500"/>
            <w:tcBorders>
              <w:top w:val="single" w:color="D1D5DB" w:sz="1"/>
              <w:left w:val="single" w:color="D1D5DB" w:sz="1"/>
              <w:bottom w:val="single" w:color="D1D5DB" w:sz="1"/>
              <w:right w:val="single" w:color="D1D5DB" w:sz="1"/>
            </w:tcBorders>
            <w:shd w:fill="FFFFFF" w:val="clear"/>
            <w:tcMar>
              <w:top w:type="dxa" w:w="90"/>
              <w:left w:type="dxa" w:w="160"/>
              <w:bottom w:type="dxa" w:w="90"/>
              <w:right w:type="dxa" w:w="120"/>
            </w:tcMar>
          </w:tcPr>
          <w:p>
            <w:r>
              <w:rPr>
                <w:rFonts w:ascii="Arial" w:cs="Arial" w:eastAsia="Arial" w:hAnsi="Arial"/>
                <w:color w:val="374151"/>
                <w:sz w:val="19"/>
                <w:szCs w:val="19"/>
              </w:rPr>
              <w:t>poly_modulus_degree (n)</w:t>
            </w:r>
          </w:p>
        </w:tc>
        <w:tc>
          <w:tcPr>
            <w:tcW w:type="dxa" w:w="4860"/>
            <w:tcBorders>
              <w:top w:val="single" w:color="D1D5DB" w:sz="1"/>
              <w:left w:val="single" w:color="D1D5DB" w:sz="1"/>
              <w:bottom w:val="single" w:color="D1D5DB" w:sz="1"/>
              <w:right w:val="single" w:color="D1D5DB" w:sz="1"/>
            </w:tcBorders>
            <w:shd w:fill="DCFCE7" w:val="clear"/>
            <w:tcMar>
              <w:top w:type="dxa" w:w="90"/>
              <w:left w:type="dxa" w:w="160"/>
              <w:bottom w:type="dxa" w:w="90"/>
              <w:right w:type="dxa" w:w="120"/>
            </w:tcMar>
          </w:tcPr>
          <w:p>
            <w:r>
              <w:rPr>
                <w:rFonts w:ascii="Arial" w:cs="Arial" w:eastAsia="Arial" w:hAnsi="Arial"/>
                <w:b/>
                <w:bCs/>
                <w:color w:val="166534"/>
                <w:sz w:val="19"/>
                <w:szCs w:val="19"/>
              </w:rPr>
              <w:t>16384</w:t>
            </w:r>
          </w:p>
        </w:tc>
      </w:tr>
      <w:tr>
        <w:tc>
          <w:tcPr>
            <w:tcW w:type="dxa" w:w="4500"/>
            <w:tcBorders>
              <w:top w:val="single" w:color="D1D5DB" w:sz="1"/>
              <w:left w:val="single" w:color="D1D5DB" w:sz="1"/>
              <w:bottom w:val="single" w:color="D1D5DB" w:sz="1"/>
              <w:right w:val="single" w:color="D1D5DB" w:sz="1"/>
            </w:tcBorders>
            <w:shd w:fill="F8FAFC" w:val="clear"/>
            <w:tcMar>
              <w:top w:type="dxa" w:w="90"/>
              <w:left w:type="dxa" w:w="160"/>
              <w:bottom w:type="dxa" w:w="90"/>
              <w:right w:type="dxa" w:w="120"/>
            </w:tcMar>
          </w:tcPr>
          <w:p>
            <w:r>
              <w:rPr>
                <w:rFonts w:ascii="Arial" w:cs="Arial" w:eastAsia="Arial" w:hAnsi="Arial"/>
                <w:color w:val="374151"/>
                <w:sz w:val="19"/>
                <w:szCs w:val="19"/>
              </w:rPr>
              <w:t>coeff_modulus</w:t>
            </w:r>
          </w:p>
        </w:tc>
        <w:tc>
          <w:tcPr>
            <w:tcW w:type="dxa" w:w="4860"/>
            <w:tcBorders>
              <w:top w:val="single" w:color="D1D5DB" w:sz="1"/>
              <w:left w:val="single" w:color="D1D5DB" w:sz="1"/>
              <w:bottom w:val="single" w:color="D1D5DB" w:sz="1"/>
              <w:right w:val="single" w:color="D1D5DB" w:sz="1"/>
            </w:tcBorders>
            <w:shd w:fill="DCFCE7" w:val="clear"/>
            <w:tcMar>
              <w:top w:type="dxa" w:w="90"/>
              <w:left w:type="dxa" w:w="160"/>
              <w:bottom w:type="dxa" w:w="90"/>
              <w:right w:type="dxa" w:w="120"/>
            </w:tcMar>
          </w:tcPr>
          <w:p>
            <w:r>
              <w:rPr>
                <w:rFonts w:ascii="Arial" w:cs="Arial" w:eastAsia="Arial" w:hAnsi="Arial"/>
                <w:b/>
                <w:bCs/>
                <w:color w:val="166534"/>
                <w:sz w:val="19"/>
                <w:szCs w:val="19"/>
              </w:rPr>
              <w:t>{60,40,40,40,60} (240 bits)</w:t>
            </w:r>
          </w:p>
        </w:tc>
      </w:tr>
      <w:tr>
        <w:tc>
          <w:tcPr>
            <w:tcW w:type="dxa" w:w="4500"/>
            <w:tcBorders>
              <w:top w:val="single" w:color="D1D5DB" w:sz="1"/>
              <w:left w:val="single" w:color="D1D5DB" w:sz="1"/>
              <w:bottom w:val="single" w:color="D1D5DB" w:sz="1"/>
              <w:right w:val="single" w:color="D1D5DB" w:sz="1"/>
            </w:tcBorders>
            <w:shd w:fill="FFFFFF" w:val="clear"/>
            <w:tcMar>
              <w:top w:type="dxa" w:w="90"/>
              <w:left w:type="dxa" w:w="160"/>
              <w:bottom w:type="dxa" w:w="90"/>
              <w:right w:type="dxa" w:w="120"/>
            </w:tcMar>
          </w:tcPr>
          <w:p>
            <w:r>
              <w:rPr>
                <w:rFonts w:ascii="Arial" w:cs="Arial" w:eastAsia="Arial" w:hAnsi="Arial"/>
                <w:color w:val="374151"/>
                <w:sz w:val="19"/>
                <w:szCs w:val="19"/>
              </w:rPr>
              <w:t>HE circuit depth</w:t>
            </w:r>
          </w:p>
        </w:tc>
        <w:tc>
          <w:tcPr>
            <w:tcW w:type="dxa" w:w="4860"/>
            <w:tcBorders>
              <w:top w:val="single" w:color="D1D5DB" w:sz="1"/>
              <w:left w:val="single" w:color="D1D5DB" w:sz="1"/>
              <w:bottom w:val="single" w:color="D1D5DB" w:sz="1"/>
              <w:right w:val="single" w:color="D1D5DB" w:sz="1"/>
            </w:tcBorders>
            <w:shd w:fill="DCFCE7" w:val="clear"/>
            <w:tcMar>
              <w:top w:type="dxa" w:w="90"/>
              <w:left w:type="dxa" w:w="160"/>
              <w:bottom w:type="dxa" w:w="90"/>
              <w:right w:type="dxa" w:w="120"/>
            </w:tcMar>
          </w:tcPr>
          <w:p>
            <w:r>
              <w:rPr>
                <w:rFonts w:ascii="Arial" w:cs="Arial" w:eastAsia="Arial" w:hAnsi="Arial"/>
                <w:b/>
                <w:bCs/>
                <w:color w:val="166534"/>
                <w:sz w:val="19"/>
                <w:szCs w:val="19"/>
              </w:rPr>
              <w:t>Depth-1 (one multiply_plain + one rescale) — same as the primary path</w:t>
            </w:r>
          </w:p>
        </w:tc>
      </w:tr>
      <w:tr>
        <w:tc>
          <w:tcPr>
            <w:tcW w:type="dxa" w:w="4500"/>
            <w:tcBorders>
              <w:top w:val="single" w:color="D1D5DB" w:sz="1"/>
              <w:left w:val="single" w:color="D1D5DB" w:sz="1"/>
              <w:bottom w:val="single" w:color="D1D5DB" w:sz="1"/>
              <w:right w:val="single" w:color="D1D5DB" w:sz="1"/>
            </w:tcBorders>
            <w:shd w:fill="F8FAFC" w:val="clear"/>
            <w:tcMar>
              <w:top w:type="dxa" w:w="90"/>
              <w:left w:type="dxa" w:w="160"/>
              <w:bottom w:type="dxa" w:w="90"/>
              <w:right w:type="dxa" w:w="120"/>
            </w:tcMar>
          </w:tcPr>
          <w:p>
            <w:r>
              <w:rPr>
                <w:rFonts w:ascii="Arial" w:cs="Arial" w:eastAsia="Arial" w:hAnsi="Arial"/>
                <w:color w:val="374151"/>
                <w:sz w:val="19"/>
                <w:szCs w:val="19"/>
              </w:rPr>
              <w:t>Bank-side feature layout</w:t>
            </w:r>
          </w:p>
        </w:tc>
        <w:tc>
          <w:tcPr>
            <w:tcW w:type="dxa" w:w="4860"/>
            <w:tcBorders>
              <w:top w:val="single" w:color="D1D5DB" w:sz="1"/>
              <w:left w:val="single" w:color="D1D5DB" w:sz="1"/>
              <w:bottom w:val="single" w:color="D1D5DB" w:sz="1"/>
              <w:right w:val="single" w:color="D1D5DB" w:sz="1"/>
            </w:tcBorders>
            <w:shd w:fill="DCFCE7" w:val="clear"/>
            <w:tcMar>
              <w:top w:type="dxa" w:w="90"/>
              <w:left w:type="dxa" w:w="160"/>
              <w:bottom w:type="dxa" w:w="90"/>
              <w:right w:type="dxa" w:w="120"/>
            </w:tcMar>
          </w:tcPr>
          <w:p>
            <w:r>
              <w:rPr>
                <w:rFonts w:ascii="Arial" w:cs="Arial" w:eastAsia="Arial" w:hAnsi="Arial"/>
                <w:b/>
                <w:bCs/>
                <w:color w:val="166534"/>
                <w:sz w:val="19"/>
                <w:szCs w:val="19"/>
              </w:rPr>
              <w:t>512 slots by design: 256 linear + pairwise interactions (see bug note)</w:t>
            </w:r>
          </w:p>
        </w:tc>
      </w:tr>
      <w:tr>
        <w:tc>
          <w:tcPr>
            <w:tcW w:type="dxa" w:w="4500"/>
            <w:tcBorders>
              <w:top w:val="single" w:color="D1D5DB" w:sz="1"/>
              <w:left w:val="single" w:color="D1D5DB" w:sz="1"/>
              <w:bottom w:val="single" w:color="D1D5DB" w:sz="1"/>
              <w:right w:val="single" w:color="D1D5DB" w:sz="1"/>
            </w:tcBorders>
            <w:shd w:fill="FFFFFF" w:val="clear"/>
            <w:tcMar>
              <w:top w:type="dxa" w:w="90"/>
              <w:left w:type="dxa" w:w="160"/>
              <w:bottom w:type="dxa" w:w="90"/>
              <w:right w:type="dxa" w:w="120"/>
            </w:tcMar>
          </w:tcPr>
          <w:p>
            <w:r>
              <w:rPr>
                <w:rFonts w:ascii="Arial" w:cs="Arial" w:eastAsia="Arial" w:hAnsi="Arial"/>
                <w:color w:val="374151"/>
                <w:sz w:val="19"/>
                <w:szCs w:val="19"/>
              </w:rPr>
              <w:t>Serialized weight file</w:t>
            </w:r>
          </w:p>
        </w:tc>
        <w:tc>
          <w:tcPr>
            <w:tcW w:type="dxa" w:w="4860"/>
            <w:tcBorders>
              <w:top w:val="single" w:color="D1D5DB" w:sz="1"/>
              <w:left w:val="single" w:color="D1D5DB" w:sz="1"/>
              <w:bottom w:val="single" w:color="D1D5DB" w:sz="1"/>
              <w:right w:val="single" w:color="D1D5DB" w:sz="1"/>
            </w:tcBorders>
            <w:shd w:fill="DCFCE7" w:val="clear"/>
            <w:tcMar>
              <w:top w:type="dxa" w:w="90"/>
              <w:left w:type="dxa" w:w="160"/>
              <w:bottom w:type="dxa" w:w="90"/>
              <w:right w:type="dxa" w:w="120"/>
            </w:tcMar>
          </w:tcPr>
          <w:p>
            <w:r>
              <w:rPr>
                <w:rFonts w:ascii="Arial" w:cs="Arial" w:eastAsia="Arial" w:hAnsi="Arial"/>
                <w:b/>
                <w:bCs/>
                <w:color w:val="166534"/>
                <w:sz w:val="19"/>
                <w:szCs w:val="19"/>
              </w:rPr>
              <w:t>4108 bytes (4+8+512×8), round-trip verified</w:t>
            </w:r>
          </w:p>
        </w:tc>
      </w:tr>
      <w:tr>
        <w:tc>
          <w:tcPr>
            <w:tcW w:type="dxa" w:w="4500"/>
            <w:tcBorders>
              <w:top w:val="single" w:color="D1D5DB" w:sz="1"/>
              <w:left w:val="single" w:color="D1D5DB" w:sz="1"/>
              <w:bottom w:val="single" w:color="D1D5DB" w:sz="1"/>
              <w:right w:val="single" w:color="D1D5DB" w:sz="1"/>
            </w:tcBorders>
            <w:shd w:fill="F8FAFC" w:val="clear"/>
            <w:tcMar>
              <w:top w:type="dxa" w:w="90"/>
              <w:left w:type="dxa" w:w="160"/>
              <w:bottom w:type="dxa" w:w="90"/>
              <w:right w:type="dxa" w:w="120"/>
            </w:tcMar>
          </w:tcPr>
          <w:p>
            <w:r>
              <w:rPr>
                <w:rFonts w:ascii="Arial" w:cs="Arial" w:eastAsia="Arial" w:hAnsi="Arial"/>
                <w:color w:val="374151"/>
                <w:sz w:val="19"/>
                <w:szCs w:val="19"/>
              </w:rPr>
              <w:t>AUC gate to accept</w:t>
            </w:r>
          </w:p>
        </w:tc>
        <w:tc>
          <w:tcPr>
            <w:tcW w:type="dxa" w:w="4860"/>
            <w:tcBorders>
              <w:top w:val="single" w:color="D1D5DB" w:sz="1"/>
              <w:left w:val="single" w:color="D1D5DB" w:sz="1"/>
              <w:bottom w:val="single" w:color="D1D5DB" w:sz="1"/>
              <w:right w:val="single" w:color="D1D5DB" w:sz="1"/>
            </w:tcBorders>
            <w:shd w:fill="DCFCE7" w:val="clear"/>
            <w:tcMar>
              <w:top w:type="dxa" w:w="90"/>
              <w:left w:type="dxa" w:w="160"/>
              <w:bottom w:type="dxa" w:w="90"/>
              <w:right w:type="dxa" w:w="120"/>
            </w:tcMar>
          </w:tcPr>
          <w:p>
            <w:r>
              <w:rPr>
                <w:rFonts w:ascii="Arial" w:cs="Arial" w:eastAsia="Arial" w:hAnsi="Arial"/>
                <w:b/>
                <w:bCs/>
                <w:color w:val="166534"/>
                <w:sz w:val="19"/>
                <w:szCs w:val="19"/>
              </w:rPr>
              <w:t>≥ 0.96 (compiler/auc_dispatch.py)</w:t>
            </w:r>
          </w:p>
        </w:tc>
      </w:tr>
      <w:tr>
        <w:tc>
          <w:tcPr>
            <w:tcW w:type="dxa" w:w="4500"/>
            <w:tcBorders>
              <w:top w:val="single" w:color="D1D5DB" w:sz="1"/>
              <w:left w:val="single" w:color="D1D5DB" w:sz="1"/>
              <w:bottom w:val="single" w:color="D1D5DB" w:sz="1"/>
              <w:right w:val="single" w:color="D1D5DB" w:sz="1"/>
            </w:tcBorders>
            <w:shd w:fill="FFFFFF" w:val="clear"/>
            <w:tcMar>
              <w:top w:type="dxa" w:w="90"/>
              <w:left w:type="dxa" w:w="160"/>
              <w:bottom w:type="dxa" w:w="90"/>
              <w:right w:type="dxa" w:w="120"/>
            </w:tcMar>
          </w:tcPr>
          <w:p>
            <w:r>
              <w:rPr>
                <w:rFonts w:ascii="Arial" w:cs="Arial" w:eastAsia="Arial" w:hAnsi="Arial"/>
                <w:color w:val="374151"/>
                <w:sz w:val="19"/>
                <w:szCs w:val="19"/>
              </w:rPr>
              <w:t>Exercised end-to-end?</w:t>
            </w:r>
          </w:p>
        </w:tc>
        <w:tc>
          <w:tcPr>
            <w:tcW w:type="dxa" w:w="4860"/>
            <w:tcBorders>
              <w:top w:val="single" w:color="D1D5DB" w:sz="1"/>
              <w:left w:val="single" w:color="D1D5DB" w:sz="1"/>
              <w:bottom w:val="single" w:color="D1D5DB" w:sz="1"/>
              <w:right w:val="single" w:color="D1D5DB" w:sz="1"/>
            </w:tcBorders>
            <w:shd w:fill="DCFCE7" w:val="clear"/>
            <w:tcMar>
              <w:top w:type="dxa" w:w="90"/>
              <w:left w:type="dxa" w:w="160"/>
              <w:bottom w:type="dxa" w:w="90"/>
              <w:right w:type="dxa" w:w="120"/>
            </w:tcMar>
          </w:tcPr>
          <w:p>
            <w:r>
              <w:rPr>
                <w:rFonts w:ascii="Arial" w:cs="Arial" w:eastAsia="Arial" w:hAnsi="Arial"/>
                <w:b/>
                <w:bCs/>
                <w:color w:val="166534"/>
                <w:sz w:val="19"/>
                <w:szCs w:val="19"/>
              </w:rPr>
              <w:t>No — depth-1 AUC=0.979 never triggers it; feature-builder crashes when invoked (CONFIRMED-RAN)</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Golden Interview Answer</w:t>
            </w:r>
          </w:p>
          <w:p>
            <w:pPr>
              <w:spacing w:after="0" w:before="0"/>
            </w:pPr>
            <w:r>
              <w:rPr>
                <w:rFonts w:ascii="Arial" w:cs="Arial" w:eastAsia="Arial" w:hAnsi="Arial"/>
                <w:color w:val="374151"/>
                <w:sz w:val="19"/>
                <w:szCs w:val="19"/>
              </w:rPr>
              <w:t>The C++/proto/serialization side of the Degree-2 fallback is genuinely implemented: a real n=16384 depth-1 CKKS context, a working 4108-byte weight binary contract, and an automatic AUC gate in auc_dispatch.py. What is NOT working is the Python feature-expansion function that would produce those weights — build_degree2_features computes a padding array of size 512−256−496=−240, which crashes with ValueError the moment it's called. Because our Depth-1 LR clears 0.979 against a 0.94 threshold, this path has never been exercised in practice, so the bug was latent until I ran it directly this session. The precise, defensible claim is: implemented and unit-tested at the binary-format and CKKS-context level, but not end-to-end functional — not "fully implemented," and not the old audit's "absent" either.</w:t>
            </w:r>
          </w:p>
        </w:tc>
      </w:tr>
    </w:tbl>
    <w:p>
      <w:pPr>
        <w:spacing w:after="160" w:before="160"/>
      </w:pPr>
    </w:p>
    <w:p>
      <w:pPr>
        <w:pStyle w:val="Heading3"/>
        <w:spacing w:after="100" w:before="200"/>
      </w:pPr>
      <w:r>
        <w:rPr>
          <w:rFonts w:ascii="Arial" w:cs="Arial" w:eastAsia="Arial" w:hAnsi="Arial"/>
          <w:b/>
          <w:bCs/>
          <w:color w:val="2563EB"/>
          <w:sz w:val="24"/>
          <w:szCs w:val="24"/>
        </w:rPr>
        <w:t>3.7 Security &amp; Trust Model: The Provisioning + Canary State Machine</w:t>
      </w:r>
    </w:p>
    <w:p>
      <w:pPr>
        <w:pStyle w:val="Heading4"/>
        <w:spacing w:after="80" w:before="160"/>
      </w:pPr>
      <w:r>
        <w:rPr>
          <w:rFonts w:ascii="Arial" w:cs="Arial" w:eastAsia="Arial" w:hAnsi="Arial"/>
          <w:b/>
          <w:bCs/>
          <w:color w:val="374151"/>
          <w:sz w:val="22"/>
          <w:szCs w:val="22"/>
        </w:rPr>
        <w:t>Plain English (The Analogy)</w:t>
      </w:r>
    </w:p>
    <w:p>
      <w:pPr>
        <w:spacing w:after="100" w:before="80" w:line="276"/>
      </w:pPr>
      <w:r>
        <w:rPr>
          <w:rFonts w:ascii="Arial" w:cs="Arial" w:eastAsia="Arial" w:hAnsi="Arial"/>
          <w:b w:val="false"/>
          <w:bCs w:val="false"/>
          <w:i w:val="false"/>
          <w:iCs w:val="false"/>
          <w:color w:val="374151"/>
          <w:sz w:val="20"/>
          <w:szCs w:val="20"/>
        </w:rPr>
        <w:t>Handing someone your car doesn't mean handing them your house key. The bank hands the vendor a very specific, narrow tool — Galois keys, which only let you rotate an already-encrypted array, never decrypt it — and then makes the vendor PROVE that tool actually fits this car, using a test drive whose result only the bank can read. Only after that test drive passes is the vendor allowed to serve real traffic.</w:t>
      </w:r>
    </w:p>
    <w:p>
      <w:pPr>
        <w:pStyle w:val="Heading4"/>
        <w:spacing w:after="80" w:before="160"/>
      </w:pPr>
      <w:r>
        <w:rPr>
          <w:rFonts w:ascii="Arial" w:cs="Arial" w:eastAsia="Arial" w:hAnsi="Arial"/>
          <w:b/>
          <w:bCs/>
          <w:color w:val="374151"/>
          <w:sz w:val="22"/>
          <w:szCs w:val="22"/>
        </w:rPr>
        <w:t>Technical Terms</w:t>
      </w:r>
    </w:p>
    <w:p>
      <w:pPr>
        <w:spacing w:after="100" w:before="80" w:line="276"/>
      </w:pPr>
      <w:r>
        <w:rPr>
          <w:rFonts w:ascii="Arial" w:cs="Arial" w:eastAsia="Arial" w:hAnsi="Arial"/>
          <w:b w:val="false"/>
          <w:bCs w:val="false"/>
          <w:i w:val="false"/>
          <w:iCs w:val="false"/>
          <w:color w:val="374151"/>
          <w:sz w:val="20"/>
          <w:szCs w:val="20"/>
        </w:rPr>
        <w:t>proto/inference.proto defines ProvisioningState: PROV_INIT → PROV_AWAITING_KEYS → PROV_VALIDATING → PROV_READY, with PROV_FAULT reachable from any non-terminal state and itself terminal (no auto-exit, no degraded mode — a process restart is the only way out) [CONFIRMED-SOURCE: proto/inference.proto]. Three rungs, all bank-driven: (1) ProvisionGaloisKeys — the bank pushes an eval-only bundle (serialized GaloisKeys + the parms they were generated under); the server checks the byte stream deserializes, that parms_id matches its own hardcoded parameters, and that every element of {1,2,4,8,16,32,64,128} is present. This rung CANNOT detect keys generated under the WRONG secret key — two different secret keys can produce structurally valid Galois keys for the same parms_id. (2) CanaryCheck / CanaryConfirm — the bank encrypts a known constant, the server applies the real production hoisted_tree_sum rotation schedule and returns the still-opaque-to-it result; the bank decrypts locally, checks the known window-sum invariant, and reports pass/fail via CanaryConfirm. This is the ONLY rung where the bank's secret key participates, and therefore the only rung that can catch "valid-looking keys, wrong secret key." passed=true → PROV_READY; anything else → terminal PROV_FAULT. (3) Continuous validation — every RunInference call re-checks ciphertext.parms_id(); 3 consecutive mismatches while PROV_READY also trips PROV_FAULT. Relin keys are deliberately never provisioned at all — the depth-1 circuit has no ciphertext×ciphertext multiply, so there's nothing for them to do. [CONFIRMED-SOURCE: docs/spec.md §6.2–§6.3, proto/inference.proto]</w:t>
      </w:r>
    </w:p>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400"/>
        <w:gridCol w:w="800"/>
      </w:tblGrid>
      <w:tr>
        <w:trPr>
          <w:tblHeader/>
        </w:trPr>
        <w:tc>
          <w:tcPr>
            <w:tcW w:type="dxa" w:w="22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Rung</w:t>
            </w:r>
          </w:p>
        </w:tc>
        <w:tc>
          <w:tcPr>
            <w:tcW w:type="dxa" w:w="22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RPC</w:t>
            </w:r>
          </w:p>
        </w:tc>
        <w:tc>
          <w:tcPr>
            <w:tcW w:type="dxa" w:w="3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What It Checks</w:t>
            </w:r>
          </w:p>
        </w:tc>
        <w:tc>
          <w:tcPr>
            <w:tcW w:type="dxa" w:w="8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On Failure</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1 — Structural</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ProvisionGaloisKeys</w:t>
            </w:r>
          </w:p>
        </w:tc>
        <w:tc>
          <w:tcPr>
            <w:tcW w:type="dxa" w:w="3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Deserializes; parms_id matches; all 8 rotation steps present</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PROV_FAULT (terminal)</w:t>
            </w:r>
          </w:p>
        </w:tc>
      </w:tr>
      <w:tr>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2 — Behavioral (canary)</w:t>
            </w:r>
          </w:p>
        </w:tc>
        <w:tc>
          <w:tcPr>
            <w:tcW w:type="dxa" w:w="22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CanaryCheck / CanaryConfirm</w:t>
            </w:r>
          </w:p>
        </w:tc>
        <w:tc>
          <w:tcPr>
            <w:tcW w:type="dxa" w:w="3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Bank decrypts a known-constant round-trip; only rung where the secret key participates</w:t>
            </w:r>
          </w:p>
        </w:tc>
        <w:tc>
          <w:tcPr>
            <w:tcW w:type="dxa" w:w="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passed=false → PROV_FAULT (terminal)</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3 — Continuous</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(every RunInference)</w:t>
            </w:r>
          </w:p>
        </w:tc>
        <w:tc>
          <w:tcPr>
            <w:tcW w:type="dxa" w:w="3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ciphertext.parms_id() matches on every request</w:t>
            </w:r>
          </w:p>
        </w:tc>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3 consecutive mismatches → PROV_FAULT (terminal)</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Golden Interview Answer</w:t>
            </w:r>
          </w:p>
          <w:p>
            <w:pPr>
              <w:spacing w:after="0" w:before="0"/>
            </w:pPr>
            <w:r>
              <w:rPr>
                <w:rFonts w:ascii="Arial" w:cs="Arial" w:eastAsia="Arial" w:hAnsi="Arial"/>
                <w:color w:val="374151"/>
                <w:sz w:val="19"/>
                <w:szCs w:val="19"/>
              </w:rPr>
              <w:t>PROV_FAULT is a deliberately one-way door: no in-process recovery, no degraded mode, no substitute-key fallback at any state — only a full process restart and re-provisioning gets you out. That is the fail-closed property we want: a partially-trusted vendor is not allowed to keep serving on a "best effort" basis. The one thing the structural rung (ProvisionGaloisKeys) cannot verify — that the Galois keys were generated under the bank's OWN secret key, not just A valid secret key — is exactly what the canary rung exists to catch, and it does so without the secret key ever leaving the bank: the bank decrypts the canary result itself and only reports a pass/fail verdict back.</w:t>
            </w:r>
          </w:p>
        </w:tc>
      </w:tr>
    </w:tbl>
    <w:p>
      <w:pPr>
        <w:spacing w:after="160" w:before="160"/>
      </w:pPr>
    </w:p>
    <w:p>
      <w:pPr>
        <w:pStyle w:val="Heading2"/>
        <w:spacing w:after="120" w:before="240"/>
      </w:pPr>
      <w:r>
        <w:rPr>
          <w:rFonts w:ascii="Arial" w:cs="Arial" w:eastAsia="Arial" w:hAnsi="Arial"/>
          <w:b/>
          <w:bCs/>
          <w:color w:val="1A2B4A"/>
          <w:sz w:val="28"/>
          <w:szCs w:val="28"/>
        </w:rPr>
        <w:t>MODULE 4: RESEARCH ARMS &amp; MEASUREMENT DISCIPLINE</w:t>
      </w:r>
    </w:p>
    <w:p>
      <w:pPr>
        <w:spacing w:after="100" w:before="80" w:line="276"/>
      </w:pPr>
      <w:r>
        <w:rPr>
          <w:rFonts w:ascii="Arial" w:cs="Arial" w:eastAsia="Arial" w:hAnsi="Arial"/>
          <w:b w:val="false"/>
          <w:bCs w:val="false"/>
          <w:i w:val="false"/>
          <w:iCs w:val="false"/>
          <w:color w:val="374151"/>
          <w:sz w:val="20"/>
          <w:szCs w:val="20"/>
        </w:rPr>
        <w:t>This module distinguishes claims that are measured from claims that are estimated, and marks exactly which comparison type each latency number in this repo actually is. Getting this taxonomy wrong is the single most common way this system's benchmarks get overclaimed in a viva.</w:t>
      </w:r>
    </w:p>
    <w:p>
      <w:pPr>
        <w:spacing w:after="160" w:before="160"/>
      </w:pPr>
    </w:p>
    <w:p>
      <w:pPr>
        <w:pStyle w:val="Heading3"/>
        <w:spacing w:after="100" w:before="200"/>
      </w:pPr>
      <w:r>
        <w:rPr>
          <w:rFonts w:ascii="Arial" w:cs="Arial" w:eastAsia="Arial" w:hAnsi="Arial"/>
          <w:b/>
          <w:bCs/>
          <w:color w:val="2563EB"/>
          <w:sz w:val="24"/>
          <w:szCs w:val="24"/>
        </w:rPr>
        <w:t>4.1 Benchmark Rigor: The Type 1 / 2 / 3 Taxonomy</w:t>
      </w:r>
    </w:p>
    <w:p>
      <w:pPr>
        <w:pStyle w:val="Heading4"/>
        <w:spacing w:after="80" w:before="160"/>
      </w:pPr>
      <w:r>
        <w:rPr>
          <w:rFonts w:ascii="Arial" w:cs="Arial" w:eastAsia="Arial" w:hAnsi="Arial"/>
          <w:b/>
          <w:bCs/>
          <w:color w:val="374151"/>
          <w:sz w:val="22"/>
          <w:szCs w:val="22"/>
        </w:rPr>
        <w:t>Plain English (The Analogy)</w:t>
      </w:r>
    </w:p>
    <w:p>
      <w:pPr>
        <w:spacing w:after="100" w:before="80" w:line="276"/>
      </w:pPr>
      <w:r>
        <w:rPr>
          <w:rFonts w:ascii="Arial" w:cs="Arial" w:eastAsia="Arial" w:hAnsi="Arial"/>
          <w:b w:val="false"/>
          <w:bCs w:val="false"/>
          <w:i w:val="false"/>
          <w:iCs w:val="false"/>
          <w:color w:val="374151"/>
          <w:sz w:val="20"/>
          <w:szCs w:val="20"/>
        </w:rPr>
        <w:t>Comparing a sports car's 0-60 time to a truck's fuel economy tells you nothing useful unless you're honest about what changed between the two numbers. This repo has exactly three kinds of "X is faster than Y" claim, and conflating them is the fastest way to overclaim a result you didn't actually measure.</w:t>
      </w:r>
    </w:p>
    <w:p>
      <w:pPr>
        <w:pStyle w:val="Heading4"/>
        <w:spacing w:after="80" w:before="160"/>
      </w:pPr>
      <w:r>
        <w:rPr>
          <w:rFonts w:ascii="Arial" w:cs="Arial" w:eastAsia="Arial" w:hAnsi="Arial"/>
          <w:b/>
          <w:bCs/>
          <w:color w:val="374151"/>
          <w:sz w:val="22"/>
          <w:szCs w:val="22"/>
        </w:rPr>
        <w:t>Technical Terms</w:t>
      </w:r>
    </w:p>
    <w:p>
      <w:pPr>
        <w:spacing w:after="100" w:before="80" w:line="276"/>
      </w:pPr>
      <w:r>
        <w:rPr>
          <w:rFonts w:ascii="Arial" w:cs="Arial" w:eastAsia="Arial" w:hAnsi="Arial"/>
          <w:b w:val="false"/>
          <w:bCs w:val="false"/>
          <w:i w:val="false"/>
          <w:iCs w:val="false"/>
          <w:color w:val="374151"/>
          <w:sz w:val="20"/>
          <w:szCs w:val="20"/>
        </w:rPr>
        <w:t>Type 1 — Self-ablation: same circuit, same hardware, only the CKKS modulus chain differs (200-bit vs 160-bit). Type 2 — Reduction-strategy comparison: same codebase, same modulus chain (160-bit), the rotation/reduction strategy differs (sequential fold vs BSGS vs naive). Type 3 — Cross-library comparison: same circuit, a different HE library entirely (OpenFHE, Lattigo), for external validation that a result isn't a SEAL-build artifact. [CONFIRMED-SOURCE: docs/spec.md §5.7; README.md "Benchmark Framing"]</w:t>
      </w:r>
    </w:p>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Type</w:t>
            </w:r>
          </w:p>
        </w:tc>
        <w:tc>
          <w:tcPr>
            <w:tcW w:type="dxa" w:w="2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Definition</w:t>
            </w:r>
          </w:p>
        </w:tc>
        <w:tc>
          <w:tcPr>
            <w:tcW w:type="dxa" w:w="41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This Repo's Measured Example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Type 1 — Self-ablation</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Same circuit/hardware; only the modulus chain varies</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200-bit vs 160-bit, governor-validated 2026-06-29: 14,877.6µs vs 7,538.1µs mean, ~49% reduction (artifacts/comparison_results.json)</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Type 2 — Reduction strategy</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Same codebase/chain; rotation strategy varies</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Sequential fold vs BSGS vs naive, 160-bit (artifacts/rotation_strategy_comparison.json, artifacts/execution_matrix.json) — fold beats BSGS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Type 3 — Cross-library</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Same circuit, different HE library entirely</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Lattigo hoisted-BSGS ~5x slower (mean) than SEAL's unhoisted BSGS at matched thread count (tools/lattigo_benchmark/); OpenFHE cell PENDING — not installed in this environment</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Golden Interview Answer</w:t>
            </w:r>
          </w:p>
          <w:p>
            <w:pPr>
              <w:spacing w:after="0" w:before="0"/>
            </w:pPr>
            <w:r>
              <w:rPr>
                <w:rFonts w:ascii="Arial" w:cs="Arial" w:eastAsia="Arial" w:hAnsi="Arial"/>
                <w:color w:val="374151"/>
                <w:sz w:val="19"/>
                <w:szCs w:val="19"/>
              </w:rPr>
              <w:t>Every latency claim in this repo is exactly one of three types, and I keep them separate on purpose. The 160-bit-vs-200-bit number (~49% reduction, governor-validated) is a Type 1 self-ablation — it says nothing about how we compare to OpenFHE or a different rotation strategy. Type 2 (fold vs BSGS) shows fold wins on this codebase. Type 3, the cross-library check, is the one that should convince a skeptic the whole result isn't a SEAL-specific artifact — and here the honest state is: Lattigo's genuinely-hoisted BSGS is actually ~5x SLOWER than SEAL's unhoisted BSGS at matched thread count, so "genuine hoisting removes SEAL's ceiling" is NOT demonstrated by any measurement in this repo; and OpenFHE's cell is still PENDING (not installed here). I would never quote the Type 1 number as if it answered the Type 3 question.</w:t>
            </w:r>
          </w:p>
        </w:tc>
      </w:tr>
    </w:tbl>
    <w:p>
      <w:pPr>
        <w:spacing w:after="160" w:before="160"/>
      </w:pPr>
    </w:p>
    <w:p>
      <w:pPr>
        <w:pStyle w:val="Heading3"/>
        <w:spacing w:after="100" w:before="200"/>
      </w:pPr>
      <w:r>
        <w:rPr>
          <w:rFonts w:ascii="Arial" w:cs="Arial" w:eastAsia="Arial" w:hAnsi="Arial"/>
          <w:b/>
          <w:bCs/>
          <w:color w:val="2563EB"/>
          <w:sz w:val="24"/>
          <w:szCs w:val="24"/>
        </w:rPr>
        <w:t>4.2 The HHE / Transciphering Arm: An Honest Partial Result</w:t>
      </w:r>
    </w:p>
    <w:p>
      <w:pPr>
        <w:pStyle w:val="Heading4"/>
        <w:spacing w:after="80" w:before="160"/>
      </w:pPr>
      <w:r>
        <w:rPr>
          <w:rFonts w:ascii="Arial" w:cs="Arial" w:eastAsia="Arial" w:hAnsi="Arial"/>
          <w:b/>
          <w:bCs/>
          <w:color w:val="374151"/>
          <w:sz w:val="22"/>
          <w:szCs w:val="22"/>
        </w:rPr>
        <w:t>Plain English (The Analogy)</w:t>
      </w:r>
    </w:p>
    <w:p>
      <w:pPr>
        <w:spacing w:after="100" w:before="80" w:line="276"/>
      </w:pPr>
      <w:r>
        <w:rPr>
          <w:rFonts w:ascii="Arial" w:cs="Arial" w:eastAsia="Arial" w:hAnsi="Arial"/>
          <w:b w:val="false"/>
          <w:bCs w:val="false"/>
          <w:i w:val="false"/>
          <w:iCs w:val="false"/>
          <w:color w:val="374151"/>
          <w:sz w:val="20"/>
          <w:szCs w:val="20"/>
        </w:rPr>
        <w:t>Imagine you've proven a courier can carry a much smaller, lighter parcel to the delivery depot — a real, measured win. What you haven't yet proven is how long the depot itself takes to unwrap that lighter parcel back into its original shape before continuing the rest of the job — and until you measure that, you cannot say whether the whole trip is actually faster door-to-door.</w:t>
      </w:r>
    </w:p>
    <w:p>
      <w:pPr>
        <w:pStyle w:val="Heading4"/>
        <w:spacing w:after="80" w:before="160"/>
      </w:pPr>
      <w:r>
        <w:rPr>
          <w:rFonts w:ascii="Arial" w:cs="Arial" w:eastAsia="Arial" w:hAnsi="Arial"/>
          <w:b/>
          <w:bCs/>
          <w:color w:val="374151"/>
          <w:sz w:val="22"/>
          <w:szCs w:val="22"/>
        </w:rPr>
        <w:t>Technical Terms</w:t>
      </w:r>
    </w:p>
    <w:p>
      <w:pPr>
        <w:spacing w:after="100" w:before="80" w:line="276"/>
      </w:pPr>
      <w:r>
        <w:rPr>
          <w:rFonts w:ascii="Arial" w:cs="Arial" w:eastAsia="Arial" w:hAnsi="Arial"/>
          <w:b w:val="false"/>
          <w:bCs w:val="false"/>
          <w:i w:val="false"/>
          <w:iCs w:val="false"/>
          <w:color w:val="374151"/>
          <w:sz w:val="20"/>
          <w:szCs w:val="20"/>
        </w:rPr>
        <w:t>The HHE arm replaces the bank's CKKS ciphertext upload with a symmetric-cipher (HERA-16) online phase; the vendor's HE computation and TCB are otherwise unchanged. CLIENT SIDE: complete and measured (tools/transciphering/, a standalone Go module, explicitly not part of the deployed TCB). HERA-16 (m=16, r=4, t=2^26) client encrypt measures ~0.53ms for a single transaction, ~7ms for a 16-lane batch (tools/transciphering/results/hera_bench_lane*.json, n=100). Upload size drops from 262,257 bytes (standard CKKS) to as low as 1,052 bytes for a single transaction (~249x smaller) and 16,412 bytes at full 16-lane occupancy (~16x smaller) [CONFIRMED-SOURCE: artifacts/bandwidth_ladder.json]. SERVER SIDE: pending on hardware, not on missing intent — homomorphic HERA evaluation inside BFV followed by an FV→CKKS repacking needs KAIST-CryptLab's ckks_fv scheme bridge, which standard Lattigo v6.2.0 does not include. The lightest available benchmark OOM-killed this repo's 15GB dev host (exit 137) before reaching the online-transcipher phase; an independent literature source anchors the requirement at ~60GB RAM. A cloud runbook is scaffolded (scripts/cloud_transcipher_bench/, target AWS r7i.4xlarge) but explicitly has NOT been run. Consequently artifacts/hhe_breakeven.json's online_transcipher_ms and repacking_ms fields are PENDING and every cell's status is PARTIAL — there is no end-to-end HHE-vs-CKKS latency verdict yet [CONFIRMED-SOURCE: README.md 'Transciphering / Hybrid HE Arm'; docs/spec.md §8].</w:t>
      </w:r>
    </w:p>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Component</w:t>
            </w:r>
          </w:p>
        </w:tc>
        <w:tc>
          <w:tcPr>
            <w:tcW w:type="dxa" w:w="2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Status</w:t>
            </w:r>
          </w:p>
        </w:tc>
        <w:tc>
          <w:tcPr>
            <w:tcW w:type="dxa" w:w="41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Evidence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Client-side HERA-16 cipher + bench</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Complete, measured</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~0.53ms single / ~7ms 16-lane batch (tools/transciphering/results/)</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Upload bandwidth reduction</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Complete, measured</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262,257B → 1,052B single-txn (~249x); → 16,412B at 16-lane (~16x) (artifacts/bandwidth_ladder.json)</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Server-side BFV HERA eval + FV→CKKS repack</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PENDING — RAM-blocked</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Needs KAIST ckks_fv bridge; lightest bench OOM'd a 15GB host; ~60GB anchor from literature</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End-to-end HHE-vs-CKKS latency verdict</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PENDING</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artifacts/hhe_breakeven.json: online_transcipher_ms/repacking_ms = "PENDING"; every cell "PARTIAL"</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160"/>
            </w:tcMar>
          </w:tcPr>
          <w:p>
            <w:pPr>
              <w:spacing w:after="80" w:before="0"/>
            </w:pPr>
            <w:r>
              <w:rPr>
                <w:rFonts w:ascii="Arial" w:cs="Arial" w:eastAsia="Arial" w:hAnsi="Arial"/>
                <w:b/>
                <w:bCs/>
                <w:color w:val="2563EB"/>
                <w:sz w:val="18"/>
                <w:szCs w:val="18"/>
              </w:rPr>
              <w:t>🏆 Golden Interview Answer</w:t>
            </w:r>
          </w:p>
          <w:p>
            <w:pPr>
              <w:spacing w:after="0" w:before="0"/>
            </w:pPr>
            <w:r>
              <w:rPr>
                <w:rFonts w:ascii="Arial" w:cs="Arial" w:eastAsia="Arial" w:hAnsi="Arial"/>
                <w:color w:val="374151"/>
                <w:sz w:val="19"/>
                <w:szCs w:val="19"/>
              </w:rPr>
              <w:t>The honest framing of this arm's current contribution is bandwidth reduction, not latency. The client-side win is real and measured: HERA-16 shrinks a single-transaction upload by roughly 249x. What is NOT measured is the other half of the trade — the server-side cost of homomorphically evaluating HERA and repacking back into CKKS — because that needs a scheme bridge (KAIST's ckks_fv) that isn't in standard Lattigo, and the lightest available benchmark needs an estimated ~60GB of RAM against the 15GB dev host we actually have. So the open empirical question isn't 'does HHE win' — it's 'where is the bandwidth-savings-vs-server-transcipher-compute break-even,' and I cannot answer that yet without running the server-side benchmark on adequately provisioned hardware. I would never present the bandwidth number as if it were an end-to-end latency verdict.</w:t>
            </w:r>
          </w:p>
        </w:tc>
      </w:tr>
    </w:tbl>
    <w:p>
      <w:pPr>
        <w:spacing w:after="160" w:before="160"/>
      </w:pPr>
    </w:p>
    <w:p>
      <w:pPr>
        <w:pStyle w:val="Heading2"/>
        <w:spacing w:after="120" w:before="240"/>
      </w:pPr>
      <w:r>
        <w:rPr>
          <w:rFonts w:ascii="Arial" w:cs="Arial" w:eastAsia="Arial" w:hAnsi="Arial"/>
          <w:b/>
          <w:bCs/>
          <w:color w:val="1A2B4A"/>
          <w:sz w:val="28"/>
          <w:szCs w:val="28"/>
        </w:rPr>
        <w:t>MODULE 5: THE "ATTACK &amp; DEFEND" MOCK VIVA</w:t>
      </w:r>
    </w:p>
    <w:p>
      <w:pPr>
        <w:spacing w:after="100" w:before="80" w:line="276"/>
      </w:pPr>
      <w:r>
        <w:rPr>
          <w:rFonts w:ascii="Arial" w:cs="Arial" w:eastAsia="Arial" w:hAnsi="Arial"/>
          <w:b w:val="false"/>
          <w:bCs w:val="false"/>
          <w:i/>
          <w:iCs/>
          <w:color w:val="6B7280"/>
          <w:sz w:val="20"/>
          <w:szCs w:val="20"/>
        </w:rPr>
        <w:t xml:space="preserve">These are the hard questions examiners and interviewers actually ask. Read the model answer, understand the reasoning, then practice saying it aloud.</w:t>
      </w:r>
    </w:p>
    <w:p>
      <w:pPr>
        <w:spacing w:after="8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3A5F" w:sz="1"/>
              <w:left w:val="single" w:color="1E3A5F" w:sz="8"/>
              <w:bottom w:val="single" w:color="1E3A5F" w:sz="1"/>
              <w:right w:val="single" w:color="1E3A5F" w:sz="1"/>
            </w:tcBorders>
            <w:shd w:fill="1A2B4A" w:val="clear"/>
            <w:tcMar>
              <w:top w:type="dxa" w:w="120"/>
              <w:left w:type="dxa" w:w="240"/>
              <w:bottom w:type="dxa" w:w="120"/>
              <w:right w:type="dxa" w:w="240"/>
            </w:tcMar>
          </w:tcPr>
          <w:p>
            <w:pPr>
              <w:jc w:val="center"/>
            </w:pPr>
            <w:r>
              <w:rPr>
                <w:rFonts w:ascii="Arial" w:cs="Arial" w:eastAsia="Arial" w:hAnsi="Arial"/>
                <w:b/>
                <w:bCs/>
                <w:color w:val="FFFFFF"/>
                <w:sz w:val="24"/>
                <w:szCs w:val="24"/>
              </w:rPr>
              <w:t xml:space="preserve">⬛  LEVEL: BASIC — Verification of Implementation</w:t>
            </w:r>
          </w:p>
        </w:tc>
      </w:tr>
    </w:tbl>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180"/>
              <w:bottom w:type="dxa" w:w="120"/>
              <w:right w:type="dxa" w:w="160"/>
            </w:tcMar>
          </w:tcPr>
          <w:p>
            <w:pPr>
              <w:spacing w:after="80" w:before="0"/>
            </w:pPr>
            <w:r>
              <w:rPr>
                <w:rFonts w:ascii="Arial" w:cs="Arial" w:eastAsia="Arial" w:hAnsi="Arial"/>
                <w:b/>
                <w:bCs/>
                <w:color w:val="1E3A5F"/>
                <w:sz w:val="20"/>
                <w:szCs w:val="20"/>
              </w:rPr>
              <w:t xml:space="preserve">Q1. What is the exact byte layout of model_weights.bin?</w:t>
            </w:r>
          </w:p>
          <w:p>
            <w:pPr>
              <w:spacing w:after="0" w:before="0"/>
            </w:pPr>
            <w:r>
              <w:rPr>
                <w:rFonts w:ascii="Arial" w:cs="Arial" w:eastAsia="Arial" w:hAnsi="Arial"/>
                <w:b/>
                <w:bCs/>
                <w:color w:val="2563EB"/>
                <w:sz w:val="19"/>
                <w:szCs w:val="19"/>
              </w:rPr>
              <w:t xml:space="preserve">▶ Model Answer: </w:t>
            </w:r>
            <w:r>
              <w:rPr>
                <w:rFonts w:ascii="Arial" w:cs="Arial" w:eastAsia="Arial" w:hAnsi="Arial"/>
                <w:color w:val="374151"/>
                <w:sz w:val="19"/>
                <w:szCs w:val="19"/>
              </w:rPr>
              <w:t xml:space="preserve">The binary file is exactly 2060 bytes: bytes 0–3 are a little-endian uint32_t containing the value 256 (the feature count), bytes 4–11 are a little-endian IEEE 754 float64 containing the bias term, and bytes 12–2059 are 256 consecutive little-endian float64 values for the weight vector. Both Python (using struct.pack('&lt;I', ...) and NumPy '&lt;f8' dtype) and C++ (with a static_assert enforcing little-endian platform) enforce this layout. The gate test requires a round-trip where values match within 1e-10.</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180"/>
              <w:bottom w:type="dxa" w:w="120"/>
              <w:right w:type="dxa" w:w="160"/>
            </w:tcMar>
          </w:tcPr>
          <w:p>
            <w:pPr>
              <w:spacing w:after="80" w:before="0"/>
            </w:pPr>
            <w:r>
              <w:rPr>
                <w:rFonts w:ascii="Arial" w:cs="Arial" w:eastAsia="Arial" w:hAnsi="Arial"/>
                <w:b/>
                <w:bCs/>
                <w:color w:val="1E3A5F"/>
                <w:sz w:val="20"/>
                <w:szCs w:val="20"/>
              </w:rPr>
              <w:t xml:space="preserve">Q2. What does second_parms_id represent, and where is it used?</w:t>
            </w:r>
          </w:p>
          <w:p>
            <w:pPr>
              <w:spacing w:after="0" w:before="0"/>
            </w:pPr>
            <w:r>
              <w:rPr>
                <w:rFonts w:ascii="Arial" w:cs="Arial" w:eastAsia="Arial" w:hAnsi="Arial"/>
                <w:b/>
                <w:bCs/>
                <w:color w:val="2563EB"/>
                <w:sz w:val="19"/>
                <w:szCs w:val="19"/>
              </w:rPr>
              <w:t xml:space="preserve">▶ Model Answer: </w:t>
            </w:r>
            <w:r>
              <w:rPr>
                <w:rFonts w:ascii="Arial" w:cs="Arial" w:eastAsia="Arial" w:hAnsi="Arial"/>
                <w:color w:val="374151"/>
                <w:sz w:val="19"/>
                <w:szCs w:val="19"/>
              </w:rPr>
              <w:t xml:space="preserve">second_parms_id is the SEAL parms_id of the ciphertext after one rescale_to_next_inplace operation. It is computed once during CKKSContext construction by following the modulus chain: context-&gt;first_context_data()-&gt;next_context_data()-&gt;parms_id(). It is used to verify the context has multiple levels in the gate test (ctx.second_parms_id != ctx.context-&gt;first_parms_id()), and it can validate that a response ciphertext from the vendor is at the correct parameter level before the client attempts decryption.</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180"/>
              <w:bottom w:type="dxa" w:w="120"/>
              <w:right w:type="dxa" w:w="160"/>
            </w:tcMar>
          </w:tcPr>
          <w:p>
            <w:pPr>
              <w:spacing w:after="80" w:before="0"/>
            </w:pPr>
            <w:r>
              <w:rPr>
                <w:rFonts w:ascii="Arial" w:cs="Arial" w:eastAsia="Arial" w:hAnsi="Arial"/>
                <w:b/>
                <w:bCs/>
                <w:color w:val="1E3A5F"/>
                <w:sz w:val="20"/>
                <w:szCs w:val="20"/>
              </w:rPr>
              <w:t xml:space="preserve">Q3. What does hoisted_tree_sum return, and why can only 16 of the 4096 output slots be used?</w:t>
            </w:r>
          </w:p>
          <w:p>
            <w:pPr>
              <w:spacing w:after="0" w:before="0"/>
            </w:pPr>
            <w:r>
              <w:rPr>
                <w:rFonts w:ascii="Arial" w:cs="Arial" w:eastAsia="Arial" w:hAnsi="Arial"/>
                <w:b/>
                <w:bCs/>
                <w:color w:val="2563EB"/>
                <w:sz w:val="19"/>
                <w:szCs w:val="19"/>
              </w:rPr>
              <w:t xml:space="preserve">▶ Model Answer: </w:t>
            </w:r>
            <w:r>
              <w:rPr>
                <w:rFonts w:ascii="Arial" w:cs="Arial" w:eastAsia="Arial" w:hAnsi="Arial"/>
                <w:color w:val="374151"/>
                <w:sz w:val="19"/>
                <w:szCs w:val="19"/>
              </w:rPr>
              <w:t xml:space="preserve">hoisted_tree_sum returns a seal::Ciphertext where slot k*256 holds the sum of all slots from k*256 to k*256+255 — the dot-product result for transaction k. The remaining 4095 − 16 slots contain intermediate partial sums from the binary tree reduction and are mathematically meaningless. For example, slot[1] holds original[1] + original[2], slot[2] holds original[2] + original[3] — artifacts of the rotation-and-add pattern. The caller (decrypt_batch) correctly extracts only decoded[k * 256] for k=0..n_transactions-1.</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180"/>
              <w:bottom w:type="dxa" w:w="120"/>
              <w:right w:type="dxa" w:w="160"/>
            </w:tcMar>
          </w:tcPr>
          <w:p>
            <w:pPr>
              <w:spacing w:after="80" w:before="0"/>
            </w:pPr>
            <w:r>
              <w:rPr>
                <w:rFonts w:ascii="Arial" w:cs="Arial" w:eastAsia="Arial" w:hAnsi="Arial"/>
                <w:b/>
                <w:bCs/>
                <w:color w:val="1E3A5F"/>
                <w:sz w:val="20"/>
                <w:szCs w:val="20"/>
              </w:rPr>
              <w:t xml:space="preserve">Q4. Why is std::stringstream explicitly forbidden for ciphertext I/O?</w:t>
            </w:r>
          </w:p>
          <w:p>
            <w:pPr>
              <w:spacing w:after="0" w:before="0"/>
            </w:pPr>
            <w:r>
              <w:rPr>
                <w:rFonts w:ascii="Arial" w:cs="Arial" w:eastAsia="Arial" w:hAnsi="Arial"/>
                <w:b/>
                <w:bCs/>
                <w:color w:val="2563EB"/>
                <w:sz w:val="19"/>
                <w:szCs w:val="19"/>
              </w:rPr>
              <w:t xml:space="preserve">▶ Model Answer: </w:t>
            </w:r>
            <w:r>
              <w:rPr>
                <w:rFonts w:ascii="Arial" w:cs="Arial" w:eastAsia="Arial" w:hAnsi="Arial"/>
                <w:color w:val="374151"/>
                <w:sz w:val="19"/>
                <w:szCs w:val="19"/>
              </w:rPr>
              <w:t xml:space="preserve">Under concurrent load, std::stringstream allocates a new std::string on every serialization call. For a 384 KB ciphertext, this is one malloc per direction per request. Memory allocators under fragmentation can spike allocation latency from ~50 µs to 1–2 ms, potentially blowing our 10 ms end-to-end budget. The spec mandates pre-allocated char[] buffers (420 KB each, initialized at server startup) that are reused across RPC calls. ct.save() writes directly into the pre-allocated buffer — zero heap allocation on the hot path.</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180"/>
              <w:bottom w:type="dxa" w:w="120"/>
              <w:right w:type="dxa" w:w="160"/>
            </w:tcMar>
          </w:tcPr>
          <w:p>
            <w:pPr>
              <w:spacing w:after="80" w:before="0"/>
            </w:pPr>
            <w:r>
              <w:rPr>
                <w:rFonts w:ascii="Arial" w:cs="Arial" w:eastAsia="Arial" w:hAnsi="Arial"/>
                <w:b/>
                <w:bCs/>
                <w:color w:val="1E3A5F"/>
                <w:sz w:val="20"/>
                <w:szCs w:val="20"/>
              </w:rPr>
              <w:t xml:space="preserve">Q5. What happens if the client sends a ciphertext encrypted with n=16384 to a server configured for n=8192?</w:t>
            </w:r>
          </w:p>
          <w:p>
            <w:pPr>
              <w:spacing w:after="0" w:before="0"/>
            </w:pPr>
            <w:r>
              <w:rPr>
                <w:rFonts w:ascii="Arial" w:cs="Arial" w:eastAsia="Arial" w:hAnsi="Arial"/>
                <w:b/>
                <w:bCs/>
                <w:color w:val="2563EB"/>
                <w:sz w:val="19"/>
                <w:szCs w:val="19"/>
              </w:rPr>
              <w:t xml:space="preserve">▶ Model Answer: </w:t>
            </w:r>
            <w:r>
              <w:rPr>
                <w:rFonts w:ascii="Arial" w:cs="Arial" w:eastAsia="Arial" w:hAnsi="Arial"/>
                <w:color w:val="374151"/>
                <w:sz w:val="19"/>
                <w:szCs w:val="19"/>
              </w:rPr>
              <w:t xml:space="preserve">The server detects the mismatch at ct.parms_id() != ctx_.context-&gt;first_parms_id() — the parms_id is a hash of the full parameter set including poly_modulus_degree. The server returns ERR_PARAM_MISMATCH (status=3). The ct.load() call might even throw before reaching the parms_id check if the serialized ciphertext structure is inconsistent with the server's expected modulus. The client's required response is to log CRITICAL, halt all inference, and alert engineering — parameter mismatch is a configuration error, not a transient fault.</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45309" w:sz="1"/>
              <w:left w:val="single" w:color="B45309" w:sz="8"/>
              <w:bottom w:val="single" w:color="B45309" w:sz="1"/>
              <w:right w:val="single" w:color="B45309" w:sz="1"/>
            </w:tcBorders>
            <w:shd w:fill="92400E" w:val="clear"/>
            <w:tcMar>
              <w:top w:type="dxa" w:w="120"/>
              <w:left w:type="dxa" w:w="240"/>
              <w:bottom w:type="dxa" w:w="120"/>
              <w:right w:type="dxa" w:w="240"/>
            </w:tcMar>
          </w:tcPr>
          <w:p>
            <w:pPr>
              <w:jc w:val="center"/>
            </w:pPr>
            <w:r>
              <w:rPr>
                <w:rFonts w:ascii="Arial" w:cs="Arial" w:eastAsia="Arial" w:hAnsi="Arial"/>
                <w:b/>
                <w:bCs/>
                <w:color w:val="FFFFFF"/>
                <w:sz w:val="24"/>
                <w:szCs w:val="24"/>
              </w:rPr>
              <w:t xml:space="preserve">🟠  LEVEL: INTERMEDIATE — Verification of System Understanding</w:t>
            </w:r>
          </w:p>
        </w:tc>
      </w:tr>
    </w:tbl>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 xml:space="preserve">Q6. encrypt_batch claims "zero-copy" but creates a std::vector&lt;double&gt;. Is that a contradiction?</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 xml:space="preserve">No. "Zero-copy" specifically means zero redundant copies of the 384 KB ciphertext output. The 32 KB input copy (numpy → std::vector&lt;double&gt;) is acknowledged as unavoidable because SEAL's CKKSEncoder::encode() requires std::vector&lt;double&gt; and does not accept raw pointers. The spec's comment explicitly states: "This one copy (numpy→vector) is unavoidable... The 32 KB copy is negligible." The design eliminates the expensive copy — the 384 KB ciphertext is written directly into a pre-allocated Python bytes object.</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Q7. TimingBreakdown now has 5 fields including deserialization_us. What, if anything, is still NOT captured by summing the four sub-timers?</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In v1.0, deserialization_us didn't exist, so summing the three sub-timers fell short of total_inference_us by exactly ct.load()'s cost — that was Finding 4. In v1.1, deserialization_us is field 1, so deserialization_us + multiply_plain_us + rotation_hoisting_us + serialization_us now equals total_inference_us to within a small residual (documented as ≤~0.3ms, from the noise-budget check in dev builds and minor per-call bookkeeping). What is still NOT captured, by design (docs/spec.md §2, Hop 8/14): gRPC + TLS 1.3 framing overhead on the wire (~0.3–0.8ms per direction) — that lives in the CLIENT's latency_ms, never in the vendor's TimingBreakdown, because TimingBreakdown is scoped to vendor-side work only. bank_client.py's client_timing_breakdown (encode_encrypt_us, grpc_roundtrip_us, network_and_grpc_overhead_us, decode_decrypt_us, sigmoid_us) now measures that residual explicitly instead of leaving it an undifferentiated gap [CONFIRMED-SOURCE: docs/spec.md Phase-4 update; artifacts/e2e_latency_breakdown.json].</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Q8. Does the DEPLOYED vendor server (vendor_server_160) ever hold a secret key — even transiently, even in a dev build?</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No — and this is a structural guarantee, not a policy one. EvalContext160 (eval_context_160.h), the type FraudInferenceServiceImpl160 is built on, has no seal::SecretKey field, no seal::Decryptor, and no seal::KeyGenerator anywhere in the type — not conditionally compiled out for production, simply absent from the source [CONFIRMED-SOURCE: eval_context_160.cpp lines ~113-116]. There IS a second, separate binary in this repo — vendor_server_main, built on the older CKKSContext — that does hold a secret key, used only for the Type-1 self-ablation latency measurement (Module 4.1); it is never linked into Dockerfile.server's deployed target and is explicitly called out as out-of-TCB in both README.md and docs/spec.md §6.9. What proves the vendor didn't just get lucky and never need to decrypt is the provisioning + canary handshake (Module 3.7): the bank verifies the vendor's Galois keys are consistent with its own secret key via a round-trip the vendor cannot read, so no decryption capability is ever needed or granted on the vendor side, in any build.</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 xml:space="preserve">Q9. Under what real-world condition would the request_id validation fail, and is it recoverable?</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 xml:space="preserve">A request_id mismatch indicates one of three problems: (1) A multiplexing bug in the gRPC server where responses are dispatched to the wrong caller — not recoverable without a server restart; (2) A response from a previous request redelivered due to network retry logic — potentially recoverable; (3) Deliberate response tampering — a security event. The spec raises RuntimeError without retry, which is correct for cases 1 and 3. For production, this should trigger an immediate circuit-breaker and alert. gRPC's HTTP/2 stream isolation makes case 1 extremely unlikely; the check primarily defends against case 3.</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 xml:space="preserve">Q10. Explain the SIMD tiling logic: why must encoded_weights[k*256 + j] = w[j] for all k? What breaks if you only put w[j] in slots [0..255]?</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 xml:space="preserve">If weights were only in slots 0–255, then multiply_plain(ct, pt_weights) would compute ct[j] * w[j] for j=0..255, but for slots 256–4095 (features for transactions 1–15) the product would be ct[k*256+j] * 0 = 0. The tree-sum would produce valid scores only for transaction 0 and zero for all others. By tiling — pt_weights[k*256 + j] = w[j] for all k=0..15 — the single multiply_plain simultaneously computes feature[k][j] * w[j] for all 16 transactions and 256 features. The tree-sum then accumulates each transaction's dot product independently.</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991B1B" w:sz="1"/>
              <w:left w:val="single" w:color="991B1B" w:sz="8"/>
              <w:bottom w:val="single" w:color="991B1B" w:sz="1"/>
              <w:right w:val="single" w:color="991B1B" w:sz="1"/>
            </w:tcBorders>
            <w:shd w:fill="7F1D1D" w:val="clear"/>
            <w:tcMar>
              <w:top w:type="dxa" w:w="120"/>
              <w:left w:type="dxa" w:w="240"/>
              <w:bottom w:type="dxa" w:w="120"/>
              <w:right w:type="dxa" w:w="240"/>
            </w:tcMar>
          </w:tcPr>
          <w:p>
            <w:pPr>
              <w:jc w:val="center"/>
            </w:pPr>
            <w:r>
              <w:rPr>
                <w:rFonts w:ascii="Arial" w:cs="Arial" w:eastAsia="Arial" w:hAnsi="Arial"/>
                <w:b/>
                <w:bCs/>
                <w:color w:val="FFFFFF"/>
                <w:sz w:val="24"/>
                <w:szCs w:val="24"/>
              </w:rPr>
              <w:t xml:space="preserve">🔴  LEVEL: EXPERT — Trying to Break the Logic/Math</w:t>
            </w:r>
          </w:p>
        </w:tc>
      </w:tr>
    </w:tbl>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
              <w:left w:val="single" w:color="DC2626" w:sz="12"/>
              <w:bottom w:val="single" w:color="DC2626" w:sz="1"/>
              <w:right w:val="single" w:color="DC2626" w:sz="1"/>
            </w:tcBorders>
            <w:shd w:fill="FFF1F2" w:val="clear"/>
            <w:tcMar>
              <w:top w:type="dxa" w:w="120"/>
              <w:left w:type="dxa" w:w="180"/>
              <w:bottom w:type="dxa" w:w="120"/>
              <w:right w:type="dxa" w:w="160"/>
            </w:tcMar>
          </w:tcPr>
          <w:p>
            <w:pPr>
              <w:spacing w:after="80" w:before="0"/>
            </w:pPr>
            <w:r>
              <w:rPr>
                <w:rFonts w:ascii="Arial" w:cs="Arial" w:eastAsia="Arial" w:hAnsi="Arial"/>
                <w:b/>
                <w:bCs/>
                <w:color w:val="7F1D1D"/>
                <w:sz w:val="20"/>
                <w:szCs w:val="20"/>
              </w:rPr>
              <w:t xml:space="preserve">Q11. Your coeff_modulus is {60, 40, 40, 60}. Derive the "depth budget = 2" formula from first principles. What would break if you chose {60, 40, 60} instead?</w:t>
            </w:r>
          </w:p>
          <w:p>
            <w:pPr>
              <w:spacing w:after="0" w:before="0"/>
            </w:pPr>
            <w:r>
              <w:rPr>
                <w:rFonts w:ascii="Arial" w:cs="Arial" w:eastAsia="Arial" w:hAnsi="Arial"/>
                <w:b/>
                <w:bCs/>
                <w:color w:val="DC2626"/>
                <w:sz w:val="19"/>
                <w:szCs w:val="19"/>
              </w:rPr>
              <w:t xml:space="preserve">▶ Model Answer: </w:t>
            </w:r>
            <w:r>
              <w:rPr>
                <w:rFonts w:ascii="Arial" w:cs="Arial" w:eastAsia="Arial" w:hAnsi="Arial"/>
                <w:color w:val="374151"/>
                <w:sz w:val="19"/>
                <w:szCs w:val="19"/>
              </w:rPr>
              <w:t xml:space="preserve">In SEAL's CKKS chain with L+1 primes, the last prime (the "special prime" of 60 bits) is never dropped — it supports key-switching. The usable primes are the first L. Each rescale drops one middle prime (~matching the scale 2^40). For {60, 40, 40, 60}: 2 middle primes → depth budget = 2. We use 1. For {60, 40, 60}: 1 middle prime → depth budget = 1, sufficient for our Depth-1 circuit. However, SEAL's parameter recommendations require the total coeff_modulus not exceed ~218 bits for 128-bit security at n=8192. Both {60,40,60}=160 bits and {60,40,40,60}=200 bits satisfy this. The 4-prime choice gives an additional safety margin and room for the Degree-2 fallback without a full parameter re-spec.</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
              <w:left w:val="single" w:color="DC2626" w:sz="12"/>
              <w:bottom w:val="single" w:color="DC2626" w:sz="1"/>
              <w:right w:val="single" w:color="DC2626" w:sz="1"/>
            </w:tcBorders>
            <w:shd w:fill="FFF1F2" w:val="clear"/>
            <w:tcMar>
              <w:top w:type="dxa" w:w="120"/>
              <w:left w:type="dxa" w:w="180"/>
              <w:bottom w:type="dxa" w:w="120"/>
              <w:right w:type="dxa" w:w="160"/>
            </w:tcMar>
          </w:tcPr>
          <w:p>
            <w:pPr>
              <w:spacing w:after="80" w:before="0"/>
            </w:pPr>
            <w:r>
              <w:rPr>
                <w:rFonts w:ascii="Arial" w:cs="Arial" w:eastAsia="Arial" w:hAnsi="Arial"/>
                <w:b/>
                <w:bCs/>
                <w:color w:val="7F1D1D"/>
                <w:sz w:val="20"/>
                <w:szCs w:val="20"/>
              </w:rPr>
              <w:t xml:space="preserve">Q12. You claim 128-bit classical security. How would you actually verify this claim? What tool do you use, and what are the key inputs?</w:t>
            </w:r>
          </w:p>
          <w:p>
            <w:pPr>
              <w:spacing w:after="0" w:before="0"/>
            </w:pPr>
            <w:r>
              <w:rPr>
                <w:rFonts w:ascii="Arial" w:cs="Arial" w:eastAsia="Arial" w:hAnsi="Arial"/>
                <w:b/>
                <w:bCs/>
                <w:color w:val="DC2626"/>
                <w:sz w:val="19"/>
                <w:szCs w:val="19"/>
              </w:rPr>
              <w:t xml:space="preserve">▶ Model Answer: </w:t>
            </w:r>
            <w:r>
              <w:rPr>
                <w:rFonts w:ascii="Arial" w:cs="Arial" w:eastAsia="Arial" w:hAnsi="Arial"/>
                <w:color w:val="374151"/>
                <w:sz w:val="19"/>
                <w:szCs w:val="19"/>
              </w:rPr>
              <w:t xml:space="preserve">The standard tool is the lattice-estimator library (Albrecht et al.), available on GitHub. The security estimation is based on LWE (Learning With Errors) problem hardness. Key input parameters: n=8192 (LWE dimension), total coeff_modulus bit-length log2(q)=200 bits, and the LWE error distribution (ternary {-1,0,1} for SEAL's default). The estimator runs the best-known lattice attacks (BKZ, dual attack, primal attack) and outputs estimated bit security. The spec mandates a screenshot as results/he_security_estimate.png. For our parameters, all published tables confirm ≥128-bit classical security, matching SEAL's own parameter recommendations.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
              <w:left w:val="single" w:color="DC2626" w:sz="12"/>
              <w:bottom w:val="single" w:color="DC2626" w:sz="1"/>
              <w:right w:val="single" w:color="DC2626" w:sz="1"/>
            </w:tcBorders>
            <w:shd w:fill="FFF1F2" w:val="clear"/>
            <w:tcMar>
              <w:top w:type="dxa" w:w="120"/>
              <w:left w:type="dxa" w:w="180"/>
              <w:bottom w:type="dxa" w:w="120"/>
              <w:right w:type="dxa" w:w="160"/>
            </w:tcMar>
          </w:tcPr>
          <w:p>
            <w:pPr>
              <w:spacing w:after="80" w:before="0"/>
            </w:pPr>
            <w:r>
              <w:rPr>
                <w:rFonts w:ascii="Arial" w:cs="Arial" w:eastAsia="Arial" w:hAnsi="Arial"/>
                <w:b/>
                <w:bCs/>
                <w:color w:val="7F1D1D"/>
                <w:sz w:val="20"/>
                <w:szCs w:val="20"/>
              </w:rPr>
              <w:t xml:space="preserve">Q13. Your rotation hoisting claims 6× speedup but you reduced calls from 255 to 8 — a 32× reduction. Why only 6×? Defend the discrepancy.</w:t>
            </w:r>
          </w:p>
          <w:p>
            <w:pPr>
              <w:spacing w:after="0" w:before="0"/>
            </w:pPr>
            <w:r>
              <w:rPr>
                <w:rFonts w:ascii="Arial" w:cs="Arial" w:eastAsia="Arial" w:hAnsi="Arial"/>
                <w:b/>
                <w:bCs/>
                <w:color w:val="DC2626"/>
                <w:sz w:val="19"/>
                <w:szCs w:val="19"/>
              </w:rPr>
              <w:t xml:space="preserve">▶ Model Answer: </w:t>
            </w:r>
            <w:r>
              <w:rPr>
                <w:rFonts w:ascii="Arial" w:cs="Arial" w:eastAsia="Arial" w:hAnsi="Arial"/>
                <w:color w:val="374151"/>
                <w:sz w:val="19"/>
                <w:szCs w:val="19"/>
              </w:rPr>
              <w:t xml:space="preserve">The 32× call count reduction doesn't translate to 32× speedup because the performance model is not call-count linear. Each rotate_vector has two cost components: (1) key-switching NTT on the Galois key polynomial — largely cache-bound; and (2) polynomial evaluation. For 8 consecutive operations, the SEAL context, Galois keys (~30 MB for 8 keys), and intermediate ciphertext likely remain in L3 cache. For 255 operations, the full key set would be multiple gigabytes — causing constant cache eviction. OpenMP parallelism in SEAL also behaves differently under 8 vs 255 sequential NTTs. The Catch2 gate requires ≥2× speedup; the 5–6× production figure is empirically measured and documented in ablation_hoisting.csv.</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
              <w:left w:val="single" w:color="DC2626" w:sz="12"/>
              <w:bottom w:val="single" w:color="DC2626" w:sz="1"/>
              <w:right w:val="single" w:color="DC2626" w:sz="1"/>
            </w:tcBorders>
            <w:shd w:fill="FFF1F2" w:val="clear"/>
            <w:tcMar>
              <w:top w:type="dxa" w:w="120"/>
              <w:left w:type="dxa" w:w="180"/>
              <w:bottom w:type="dxa" w:w="120"/>
              <w:right w:type="dxa" w:w="160"/>
            </w:tcMar>
          </w:tcPr>
          <w:p>
            <w:pPr>
              <w:spacing w:after="80" w:before="0"/>
            </w:pPr>
            <w:r>
              <w:rPr>
                <w:rFonts w:ascii="Arial" w:cs="Arial" w:eastAsia="Arial" w:hAnsi="Arial"/>
                <w:b/>
                <w:bCs/>
                <w:color w:val="7F1D1D"/>
                <w:sz w:val="20"/>
                <w:szCs w:val="20"/>
              </w:rPr>
              <w:t xml:space="preserve">Q14. Adversarial scenario: a malicious vendor performs a plaintext equality attack — encrypting known test vectors and trying to find correlations with legitimate query ciphertexts. Does your system prevent this?</w:t>
            </w:r>
          </w:p>
          <w:p>
            <w:pPr>
              <w:spacing w:after="0" w:before="0"/>
            </w:pPr>
            <w:r>
              <w:rPr>
                <w:rFonts w:ascii="Arial" w:cs="Arial" w:eastAsia="Arial" w:hAnsi="Arial"/>
                <w:b/>
                <w:bCs/>
                <w:color w:val="DC2626"/>
                <w:sz w:val="19"/>
                <w:szCs w:val="19"/>
              </w:rPr>
              <w:t xml:space="preserve">▶ Model Answer: </w:t>
            </w:r>
            <w:r>
              <w:rPr>
                <w:rFonts w:ascii="Arial" w:cs="Arial" w:eastAsia="Arial" w:hAnsi="Arial"/>
                <w:color w:val="374151"/>
                <w:sz w:val="19"/>
                <w:szCs w:val="19"/>
              </w:rPr>
              <w:t xml:space="preserve">CKKS provides IND-CPA security (Indistinguishability under Chosen Plaintext Attack). Under the LWE hardness assumption at 128-bit security, the vendor cannot distinguish the encryption of two different plaintexts given only the ciphertext — even if they chose the plaintexts themselves. The public key allows encryption but not decryption. CKKS ciphertexts are semantically secure — two encryptions of the same plaintext are computationally indistinguishable due to the random error term e added during encryption. The vendor's best strategy remains a full lattice attack against the 128-bit LWE instance — computationally infeasible. The IND-CPA proof is formal and published in the original CKKS paper.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
              <w:left w:val="single" w:color="DC2626" w:sz="12"/>
              <w:bottom w:val="single" w:color="DC2626" w:sz="1"/>
              <w:right w:val="single" w:color="DC2626" w:sz="1"/>
            </w:tcBorders>
            <w:shd w:fill="FFF1F2" w:val="clear"/>
            <w:tcMar>
              <w:top w:type="dxa" w:w="120"/>
              <w:left w:type="dxa" w:w="180"/>
              <w:bottom w:type="dxa" w:w="120"/>
              <w:right w:type="dxa" w:w="160"/>
            </w:tcMar>
          </w:tcPr>
          <w:p>
            <w:pPr>
              <w:spacing w:after="80" w:before="0"/>
            </w:pPr>
            <w:r>
              <w:rPr>
                <w:rFonts w:ascii="Arial" w:cs="Arial" w:eastAsia="Arial" w:hAnsi="Arial"/>
                <w:b/>
                <w:bCs/>
                <w:color w:val="7F1D1D"/>
                <w:sz w:val="20"/>
                <w:szCs w:val="20"/>
              </w:rPr>
              <w:t xml:space="preserve">Q15. Your professor challenges: "You haven't accounted for NTT computation scaling — for n=8192, how many NTT operations are actually performed in one inference, and does the budget hold?" Walk through the NTT count.</w:t>
            </w:r>
          </w:p>
          <w:p>
            <w:pPr>
              <w:spacing w:after="0" w:before="0"/>
            </w:pPr>
            <w:r>
              <w:rPr>
                <w:rFonts w:ascii="Arial" w:cs="Arial" w:eastAsia="Arial" w:hAnsi="Arial"/>
                <w:b/>
                <w:bCs/>
                <w:color w:val="DC2626"/>
                <w:sz w:val="19"/>
                <w:szCs w:val="19"/>
              </w:rPr>
              <w:t xml:space="preserve">▶ Model Answer: </w:t>
            </w:r>
            <w:r>
              <w:rPr>
                <w:rFonts w:ascii="Arial" w:cs="Arial" w:eastAsia="Arial" w:hAnsi="Arial"/>
                <w:color w:val="374151"/>
                <w:sz w:val="19"/>
                <w:szCs w:val="19"/>
              </w:rPr>
              <w:t xml:space="preserve">Tracing NTT operations in one inference: (1) ct.load() — 0 NTTs, deserialization only. (2) multiply_plain_inplace(ct, pt_weights) — approximately 4 NTTs: 2 inverse-NTTs to bring ct to coefficient form, multiply element-wise with NTT-domain pt_weights, 2 forward-NTTs. (3) rescale_to_next_inplace — approximately 2–4 NTTs for modulus switching. (4) hoisted_tree_sum — 8 × rotate_vector, each requiring ~4 NTTs for key-switch + rotation, total ~32 NTTs. (5) ct.save() — 0 NTTs. Total: ~38–40 NTT operations, each O(n log n) = O(8192 × 13) ≈ 106,000 coefficient operations. With AVX2 at ~3 GHz each NTT takes approximately 40–100 µs. Total NTT cost: ~40 × 70 µs ≈ 2.8 ms. With deserialization (~1 ms), the remaining operations fit comfortably in the 10 ms budget.</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3A5F" w:sz="1"/>
              <w:left w:val="single" w:color="1E3A5F" w:sz="8"/>
              <w:bottom w:val="single" w:color="1E3A5F" w:sz="1"/>
              <w:right w:val="single" w:color="1E3A5F" w:sz="1"/>
            </w:tcBorders>
            <w:shd w:fill="1A2B4A" w:val="clear"/>
            <w:tcMar>
              <w:top w:type="dxa" w:w="120"/>
              <w:left w:type="dxa" w:w="240"/>
              <w:bottom w:type="dxa" w:w="120"/>
              <w:right w:type="dxa" w:w="240"/>
            </w:tcMar>
          </w:tcPr>
          <w:p>
            <w:pPr>
              <w:jc w:val="center"/>
            </w:pPr>
            <w:r>
              <w:rPr>
                <w:rFonts w:ascii="Arial" w:cs="Arial" w:eastAsia="Arial" w:hAnsi="Arial"/>
                <w:b/>
                <w:bCs/>
                <w:color w:val="FFFFFF"/>
                <w:sz w:val="24"/>
                <w:szCs w:val="24"/>
              </w:rPr>
              <w:t>🟣  LEVEL: RESEARCH ARM — Transciphering / HHE</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Q16. You measured a ~249x smaller upload with HERA-16. Does that mean HHE is faster than plain CKKS end-to-end?</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No — asserting that would be exactly the kind of overclaim this system's own measurement-integrity discipline (Module 4.1) is designed to catch. The 249x figure is an upload-BANDWIDTH measurement, not a latency measurement. The server-side half of the HHE pipeline — homomorphically evaluating HERA-16 inside BFV and repacking the result into CKKS via an FV→CKKS scheme bridge — is PENDING: it needs KAIST-CryptLab's ckks_fv module, which standard Lattigo v6.2.0 doesn't include, and the lightest available benchmark OOM-killed our 15GB dev host before it even reached the transcipher phase (an independent source puts the real requirement at ~60GB). Until that server-side cost is measured, artifacts/hhe_breakeven.json's relevant fields stay "PENDING" and I cannot state a verdict either way — HHE is EXPECTED to lose on end-to-end latency (extra server-side work) and WIN on bandwidth; the open question is exactly where the two curves cross.</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FF7ED" w:val="clear"/>
            <w:tcMar>
              <w:top w:type="dxa" w:w="120"/>
              <w:left w:type="dxa" w:w="180"/>
              <w:bottom w:type="dxa" w:w="120"/>
              <w:right w:type="dxa" w:w="160"/>
            </w:tcMar>
          </w:tcPr>
          <w:p>
            <w:pPr>
              <w:spacing w:after="80" w:before="0"/>
            </w:pPr>
            <w:r>
              <w:rPr>
                <w:rFonts w:ascii="Arial" w:cs="Arial" w:eastAsia="Arial" w:hAnsi="Arial"/>
                <w:b/>
                <w:bCs/>
                <w:color w:val="5C3317"/>
                <w:sz w:val="20"/>
                <w:szCs w:val="20"/>
              </w:rPr>
              <w:t>Q17. Why HERA-16 and not Rubato or Elisabeth-4 — aren't those also FHE-friendly stream ciphers?</w:t>
            </w:r>
          </w:p>
          <w:p>
            <w:pPr>
              <w:spacing w:after="0" w:before="0"/>
            </w:pPr>
            <w:r>
              <w:rPr>
                <w:rFonts w:ascii="Arial" w:cs="Arial" w:eastAsia="Arial" w:hAnsi="Arial"/>
                <w:b/>
                <w:bCs/>
                <w:color w:val="D97706"/>
                <w:sz w:val="19"/>
                <w:szCs w:val="19"/>
              </w:rPr>
              <w:t xml:space="preserve">▶ Model Answer: </w:t>
            </w:r>
            <w:r>
              <w:rPr>
                <w:rFonts w:ascii="Arial" w:cs="Arial" w:eastAsia="Arial" w:hAnsi="Arial"/>
                <w:color w:val="374151"/>
                <w:sz w:val="19"/>
                <w:szCs w:val="19"/>
              </w:rPr>
              <w:t>Both were considered and rejected on cryptanalytic grounds, not convenience: Rubato and Elisabeth-4 have published attacks that break their claimed security margins, so this system standardizes on HERA-16 (m=16, r=4, t=2^26) as the only one of the three with no such attack currently in the literature [CONFIRMED-SOURCE: docs/spec.md §8.8]. This choice is revisited, not assumed — if a future attack on HERA surfaces, the honest response is to re-run this same selection process, not to quietly keep using a broken primitive because the code is already written.</w:t>
            </w:r>
          </w:p>
        </w:tc>
      </w:tr>
    </w:tbl>
    <w:p>
      <w:pPr>
        <w:spacing w:after="160" w:before="160"/>
      </w:pPr>
    </w:p>
    <w:p>
      <w:pPr>
        <w:pStyle w:val="Heading2"/>
        <w:spacing w:after="120" w:before="240"/>
      </w:pPr>
      <w:r>
        <w:rPr>
          <w:rFonts w:ascii="Arial" w:cs="Arial" w:eastAsia="Arial" w:hAnsi="Arial"/>
          <w:b/>
          <w:bCs/>
          <w:color w:val="1A2B4A"/>
          <w:sz w:val="28"/>
          <w:szCs w:val="28"/>
        </w:rPr>
        <w:t>MODULE 6: OPEN WEAKNESSES TO DISCLOSE PROACTIVELY</w:t>
      </w:r>
    </w:p>
    <w:p>
      <w:pPr>
        <w:spacing w:after="100" w:before="80" w:line="276"/>
      </w:pPr>
      <w:r>
        <w:rPr>
          <w:rFonts w:ascii="Arial" w:cs="Arial" w:eastAsia="Arial" w:hAnsi="Arial"/>
          <w:b w:val="false"/>
          <w:bCs w:val="false"/>
          <w:i w:val="false"/>
          <w:iCs w:val="false"/>
          <w:color w:val="374151"/>
          <w:sz w:val="20"/>
          <w:szCs w:val="20"/>
        </w:rPr>
        <w:t>A strong defense includes volunteering your own system's real limitations before an examiner finds them. These are current, verified gaps — not hedging, not false modesty.</w:t>
      </w:r>
    </w:p>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Open Item</w:t>
            </w:r>
          </w:p>
        </w:tc>
        <w:tc>
          <w:tcPr>
            <w:tcW w:type="dxa" w:w="2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Current Status</w:t>
            </w:r>
          </w:p>
        </w:tc>
        <w:tc>
          <w:tcPr>
            <w:tcW w:type="dxa" w:w="41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Where To Verify</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Degree-2 feature-builder crash</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CONFIRMED-RAN this session: build_degree2_features computes a negative-size padding array (512−256−496=−240) and raises ValueError. Never hit in production because the primary path's AUC (0.979) never triggers the fallback.</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compiler/degree2_linearizer.py; Module 3.6</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Cold-start / first-call latency</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An earlier (2026-04-14) single-sample measurement recorded 9350µs against an informal &lt;9000µs SLA (FAIL), before a constructor-warmup fix (_warmup(), bank_client.py) was added the same session. No automated acceptance gate exists for first-call latency specifically. [UNVERIFIED-STALE: not re-measured under the 2026-06-29 governor-controlled methodology — say "no automated cold-start gate exists," not the 9350µs figure, in a viva.]</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docs/spec.md §0.1; PROJECT_STATE.md 2026-04-14 / 2026-06-29 entries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Old latency SLA gate (std/median thresholds)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RESOLVED, not open: the original median&lt;3000µs/p99&lt;6000µs gates were found uncited and removed 2026-06-29, replaced with a cited iqr_under_1000 + pass_rate_10000≥0.99 gate restated against the real p99&lt;10,000µs contract; current status is all_passed=true.</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PROJECT_STATE.md 2026-06-29 entry; docs/spec.md §6.3/§5.7</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Type-3 cross-library validation</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OpenFHE's cell remains PENDING (not installed in this environment); Lattigo ran, but its genuinely-hoisted BSGS measured ~5x SLOWER than SEAL's unhoisted BSGS at matched thread count — "genuine hoisting beats SEAL's API ceiling" is not demonstrated by any measurement in this repo.</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Module 4.1; docs/spec.md §7.5–§7.5.2</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HHE server-side transciphering</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PENDING on hardware: needs the KAIST ckks_fv bridge (not in standard Lattigo) and an estimated ~60GB RAM against a 15GB dev host; a cloud runbook is scaffolded but not run. No end-to-end HHE-vs-CKKS latency verdict exists.</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Module 4.2; docs/spec.md §8</w:t>
            </w:r>
          </w:p>
        </w:tc>
      </w:tr>
    </w:tbl>
    <w:p>
      <w:pP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1"/>
              <w:left w:val="single" w:color="D97706" w:sz="12"/>
              <w:bottom w:val="single" w:color="D97706" w:sz="1"/>
              <w:right w:val="single" w:color="D97706" w:sz="1"/>
            </w:tcBorders>
            <w:shd w:fill="FEF3C7" w:val="clear"/>
            <w:tcMar>
              <w:top w:type="dxa" w:w="120"/>
              <w:left w:type="dxa" w:w="200"/>
              <w:bottom w:type="dxa" w:w="120"/>
              <w:right w:type="dxa" w:w="160"/>
            </w:tcMar>
          </w:tcPr>
          <w:p>
            <w:pPr>
              <w:spacing w:after="80" w:before="0"/>
            </w:pPr>
            <w:r>
              <w:rPr>
                <w:rFonts w:ascii="Arial" w:cs="Arial" w:eastAsia="Arial" w:hAnsi="Arial"/>
                <w:b/>
                <w:bCs/>
                <w:color w:val="D97706"/>
                <w:sz w:val="18"/>
                <w:szCs w:val="18"/>
              </w:rPr>
              <w:t>⚠️ WHY DISCLOSE THIS PROACTIVELY</w:t>
            </w:r>
          </w:p>
          <w:p>
            <w:pPr>
              <w:spacing w:after="0" w:before="0"/>
            </w:pPr>
            <w:r>
              <w:rPr>
                <w:rFonts w:ascii="Arial" w:cs="Arial" w:eastAsia="Arial" w:hAnsi="Arial"/>
                <w:color w:val="374151"/>
                <w:sz w:val="19"/>
                <w:szCs w:val="19"/>
              </w:rPr>
              <w:t>An examiner who finds the degree-2 crash themselves after we called the path "implemented" costs us credibility on everything else we claimed. Volunteering it — with the exact repro (compiler/degree2_linearizer.py, negative pad_cols dimension) and the reason it's never fired in production — signals the same measurement discipline (Module 4.1) applied to our own code, not just to comparisons against other libraries.</w:t>
            </w:r>
          </w:p>
        </w:tc>
      </w:tr>
    </w:tbl>
    <w:p>
      <w:pPr>
        <w:spacing w:after="160" w:before="160"/>
      </w:pPr>
    </w:p>
    <w:p>
      <w:pPr>
        <w:pStyle w:val="Heading2"/>
        <w:spacing w:after="120" w:before="240"/>
      </w:pPr>
      <w:r>
        <w:rPr>
          <w:rFonts w:ascii="Arial" w:cs="Arial" w:eastAsia="Arial" w:hAnsi="Arial"/>
          <w:b/>
          <w:bCs/>
          <w:color w:val="1A2B4A"/>
          <w:sz w:val="28"/>
          <w:szCs w:val="28"/>
        </w:rPr>
        <w:t xml:space="preserve">APPENDIX: QUICK-REFERENCE CHEAT SHEET FOR VIVA</w:t>
      </w:r>
    </w:p>
    <w:p>
      <w:pPr>
        <w:spacing w:after="100" w:before="80" w:line="276"/>
      </w:pPr>
      <w:r>
        <w:rPr>
          <w:rFonts w:ascii="Arial" w:cs="Arial" w:eastAsia="Arial" w:hAnsi="Arial"/>
          <w:b w:val="false"/>
          <w:bCs w:val="false"/>
          <w:i/>
          <w:iCs/>
          <w:color w:val="6B7280"/>
          <w:sz w:val="20"/>
          <w:szCs w:val="20"/>
        </w:rPr>
        <w:t xml:space="preserve">Memorise this table. Every number here is defensible from first principles.</w:t>
      </w:r>
    </w:p>
    <w:p>
      <w:pPr>
        <w:spacing w:after="8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Parameter</w:t>
            </w:r>
          </w:p>
        </w:tc>
        <w:tc>
          <w:tcPr>
            <w:tcW w:type="dxa" w:w="240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Value</w:t>
            </w:r>
          </w:p>
        </w:tc>
        <w:tc>
          <w:tcPr>
            <w:tcW w:type="dxa" w:w="4160"/>
            <w:tcBorders>
              <w:top w:val="single" w:color="1E3A5F" w:sz="1"/>
              <w:left w:val="single" w:color="1E3A5F" w:sz="1"/>
              <w:bottom w:val="single" w:color="1E3A5F" w:sz="1"/>
              <w:right w:val="single" w:color="1E3A5F" w:sz="1"/>
            </w:tcBorders>
            <w:shd w:fill="1A2B4A" w:val="clear"/>
            <w:tcMar>
              <w:top w:type="dxa" w:w="100"/>
              <w:left w:type="dxa" w:w="120"/>
              <w:bottom w:type="dxa" w:w="100"/>
              <w:right w:type="dxa" w:w="120"/>
            </w:tcMar>
          </w:tcPr>
          <w:p>
            <w:r>
              <w:rPr>
                <w:rFonts w:ascii="Arial" w:cs="Arial" w:eastAsia="Arial" w:hAnsi="Arial"/>
                <w:b/>
                <w:bCs/>
                <w:color w:val="FFFFFF"/>
                <w:sz w:val="18"/>
                <w:szCs w:val="18"/>
              </w:rPr>
              <w:t xml:space="preserve">Rationale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poly_modulus_degree</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8192</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128-bit security + 4096-slot capacity (16×256)</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coeff_modulus (200-bit baseline)</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{60, 40, 40, 60}</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200-bit total; 1 spare level after depth-1; self-ablation reference only (vendor_server_main)</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coeff_modulus (160-bit deployed)</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{60, 40, 60}</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160-bit total; 0 spare levels; deployed production default (vendor_server_160)</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scale</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2^40</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~12 significant decimal digits; 1 level per rescale</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Ciphertext size</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~384 KB</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2 × n × (log q / 8) bytes approximately</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Galois key steps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{1,2,4,8,16,32,64,128}</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log₂(256) = 8 steps for tree-sum of 256 features</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Binary file size</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2060 bytes</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4 + 8 + 256×8 = header + bias + weights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Max batch size</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16 transactions</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16 × 256 = 4096 = n/2 slots exactly fills one ciphertext</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Depth-1 (LR) test AUC</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0.9794 (CONFIRMED-RAN)</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Independent LR surrogate; XGBoost ceiling 0.9835; linearization_cost_auc=+0.0041 (artifacts/linearization_cost.json)</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Degree-2 fallback gate</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AUC&lt;0.92 triggers; needs ≥0.96 to accept</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compiler/auc_dispatch.py; NOT exercised on current data (depth-1 AUC=0.979 stays primary); feature-builder has an open bug (Module 3.6)</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Latency target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&lt; 10 ms (vendor)</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Benchmark gate enforced; &lt; 15 ms client end-to-end</w:t>
            </w:r>
          </w:p>
        </w:tc>
      </w:tr>
      <w:tr>
        <w:tc>
          <w:tcPr>
            <w:tcW w:type="dxa" w:w="28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 xml:space="preserve">Security level</w:t>
            </w:r>
          </w:p>
        </w:tc>
        <w:tc>
          <w:tcPr>
            <w:tcW w:type="dxa" w:w="240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128-bit classical (both variants)</w:t>
            </w:r>
          </w:p>
        </w:tc>
        <w:tc>
          <w:tcPr>
            <w:tcW w:type="dxa" w:w="4160"/>
            <w:tcBorders>
              <w:top w:val="single" w:color="D1D5DB" w:sz="1"/>
              <w:left w:val="single" w:color="D1D5DB" w:sz="1"/>
              <w:bottom w:val="single" w:color="D1D5DB" w:sz="1"/>
              <w:right w:val="single" w:color="D1D5DB" w:sz="1"/>
            </w:tcBorders>
            <w:shd w:fill="F8FAFC" w:val="clear"/>
            <w:tcMar>
              <w:top w:type="dxa" w:w="80"/>
              <w:left w:type="dxa" w:w="120"/>
              <w:bottom w:type="dxa" w:w="80"/>
              <w:right w:type="dxa" w:w="120"/>
            </w:tcMar>
          </w:tcPr>
          <w:p>
            <w:r>
              <w:rPr>
                <w:rFonts w:ascii="Arial" w:cs="Arial" w:eastAsia="Arial" w:hAnsi="Arial"/>
                <w:color w:val="374151"/>
                <w:sz w:val="18"/>
                <w:szCs w:val="18"/>
              </w:rPr>
              <w:t>HE.org Security Standard v1.1 Table 2: max 218 bits at n=8192/tc128 — both 200-bit and 160-bit sit under this bound</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gRPC message limit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512 KB</w:t>
            </w:r>
          </w:p>
        </w:tc>
        <w:tc>
          <w:tcPr>
            <w:tcW w:type="dxa" w:w="4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18"/>
                <w:szCs w:val="18"/>
              </w:rPr>
              <w:t xml:space="preserve">Headroom over ~384 KB max ciphertext (both sides)</w:t>
            </w:r>
          </w:p>
        </w:tc>
      </w:tr>
    </w:tbl>
    <w:p>
      <w:pPr>
        <w:spacing w:after="80" w:before="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D4ED8" w:sz="1"/>
              <w:left w:val="single" w:color="1D4ED8" w:sz="12"/>
              <w:bottom w:val="single" w:color="1D4ED8" w:sz="1"/>
              <w:right w:val="single" w:color="1D4ED8" w:sz="1"/>
            </w:tcBorders>
            <w:shd w:fill="DBEAFE" w:val="clear"/>
            <w:tcMar>
              <w:top w:type="dxa" w:w="120"/>
              <w:left w:type="dxa" w:w="200"/>
              <w:bottom w:type="dxa" w:w="120"/>
              <w:right w:type="dxa" w:w="160"/>
            </w:tcMar>
          </w:tcPr>
          <w:p>
            <w:pPr>
              <w:spacing w:after="80" w:before="0"/>
            </w:pPr>
            <w:r>
              <w:rPr>
                <w:rFonts w:ascii="Arial" w:cs="Arial" w:eastAsia="Arial" w:hAnsi="Arial"/>
                <w:b/>
                <w:bCs/>
                <w:color w:val="1D4ED8"/>
                <w:sz w:val="18"/>
                <w:szCs w:val="18"/>
              </w:rPr>
              <w:t xml:space="preserve">Final Mentorship Note</w:t>
            </w:r>
          </w:p>
          <w:p>
            <w:pPr>
              <w:spacing w:after="0" w:before="0"/>
            </w:pPr>
            <w:r>
              <w:rPr>
                <w:rFonts w:ascii="Arial" w:cs="Arial" w:eastAsia="Arial" w:hAnsi="Arial"/>
                <w:color w:val="374151"/>
                <w:sz w:val="19"/>
                <w:szCs w:val="19"/>
              </w:rPr>
              <w:t xml:space="preserve">The strongest viva answers have three components: (1) the plain-English intuition ("think of it as..."), (2) the precise technical statement, and (3) the connection back to the system ("which is why we..."). Practice transitioning between all three. An examiner who hears you move naturally from analogy to math to engineering implication will be convinced you genuinely understand the system — not just memorised it. Good luck.</w:t>
            </w:r>
          </w:p>
        </w:tc>
      </w:tr>
    </w:tbl>
    <w:p>
      <w:pPr>
        <w:spacing w:after="80" w:before="200"/>
        <w:jc w:val="center"/>
      </w:pPr>
      <w:r>
        <w:rPr>
          <w:rFonts w:ascii="Arial" w:cs="Arial" w:eastAsia="Arial" w:hAnsi="Arial"/>
          <w:i/>
          <w:iCs/>
          <w:color w:val="6B7280"/>
          <w:sz w:val="18"/>
          <w:szCs w:val="18"/>
        </w:rPr>
        <w:t xml:space="preserve">End of PPFDaaS Pre-Flight Audit Report &amp; Comprehensive Study/Defense Guide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563EB" w:sz="4" w:space="4"/>
      </w:pBdr>
      <w:spacing w:after="0" w:before="80"/>
      <w:jc w:val="right"/>
    </w:pPr>
    <w:r>
      <w:rPr>
        <w:rFonts w:ascii="Arial" w:cs="Arial" w:eastAsia="Arial" w:hAnsi="Arial"/>
        <w:color w:val="6B7280"/>
        <w:sz w:val="17"/>
        <w:szCs w:val="17"/>
      </w:rPr>
      <w:t xml:space="preserve">Page </w:t>
    </w:r>
    <w:r>
      <w:rPr>
        <w:rFonts w:ascii="Arial" w:cs="Arial" w:eastAsia="Arial" w:hAnsi="Arial"/>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120" w:before="0"/>
    </w:pPr>
    <w:r>
      <w:rPr>
        <w:rFonts w:ascii="Arial" w:cs="Arial" w:eastAsia="Arial" w:hAnsi="Arial"/>
        <w:color w:val="6B7280"/>
        <w:sz w:val="17"/>
        <w:szCs w:val="17"/>
      </w:rPr>
      <w:t xml:space="preserve">PPFDaaS Engineering Audit &amp; Defense Guide</w:t>
    </w:r>
    <w:r>
      <w:rPr>
        <w:rFonts w:ascii="Arial" w:cs="Arial" w:eastAsia="Arial" w:hAnsi="Arial"/>
        <w:color w:val="D1D5DB"/>
        <w:sz w:val="17"/>
        <w:szCs w:val="17"/>
      </w:rPr>
      <w:t xml:space="preserve">  ·  </w:t>
    </w:r>
    <w:r>
      <w:rPr>
        <w:rFonts w:ascii="Arial" w:cs="Arial" w:eastAsia="Arial" w:hAnsi="Arial"/>
        <w:i/>
        <w:iCs/>
        <w:color w:val="6B7280"/>
        <w:sz w:val="17"/>
        <w:szCs w:val="17"/>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A2B4A"/>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A2B4A"/>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2563EB"/>
      <w:sz w:val="24"/>
      <w:szCs w:val="24"/>
    </w:rPr>
  </w:style>
  <w:style w:type="paragraph" w:styleId="Heading4">
    <w:name w:val="Heading 4"/>
    <w:basedOn w:val="Normal"/>
    <w:next w:val="Normal"/>
    <w:qFormat/>
    <w:pPr>
      <w:spacing w:after="80" w:before="160"/>
      <w:outlineLvl w:val="3"/>
    </w:pPr>
    <w:rPr>
      <w:rFonts w:ascii="Arial" w:cs="Arial" w:eastAsia="Arial" w:hAnsi="Arial"/>
      <w:b/>
      <w:bCs/>
      <w:color w:val="374151"/>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2026-04-10T22:17:10.875Z</dcterms:created>
  <dcterms:modified xsi:type="dcterms:W3CDTF">2026-04-10T22:17:10.879Z</dcterms:modified>
</cp:coreProperties>
</file>

<file path=docProps/custom.xml><?xml version="1.0" encoding="utf-8"?>
<Properties xmlns="http://schemas.openxmlformats.org/officeDocument/2006/custom-properties" xmlns:vt="http://schemas.openxmlformats.org/officeDocument/2006/docPropsVTypes"/>
</file>