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B4A" w:val="clear"/>
            <w:tcMar>
              <w:top w:type="dxa" w:w="400"/>
              <w:left w:type="dxa" w:w="400"/>
              <w:bottom w:type="dxa" w:w="400"/>
              <w:right w:type="dxa" w:w="400"/>
            </w:tcMar>
          </w:tcPr>
          <w:p>
            <w:pPr>
              <w:spacing w:after="120" w:before="0"/>
              <w:jc w:val="center"/>
            </w:pPr>
            <w:r>
              <w:rPr>
                <w:rFonts w:ascii="Arial" w:cs="Arial" w:eastAsia="Arial" w:hAnsi="Arial"/>
                <w:b/>
                <w:bCs/>
                <w:color w:val="FFFFFF"/>
                <w:sz w:val="60"/>
                <w:szCs w:val="60"/>
              </w:rPr>
              <w:t xml:space="preserve">PPFDaaS</w:t>
            </w:r>
          </w:p>
          <w:p>
            <w:pPr>
              <w:spacing w:after="120" w:before="0"/>
              <w:jc w:val="center"/>
            </w:pPr>
            <w:r>
              <w:rPr>
                <w:rFonts w:ascii="Arial" w:cs="Arial" w:eastAsia="Arial" w:hAnsi="Arial"/>
                <w:i/>
                <w:iCs/>
                <w:color w:val="BFDBFE"/>
                <w:sz w:val="26"/>
                <w:szCs w:val="26"/>
              </w:rPr>
              <w:t xml:space="preserve">Privacy-Preserving Fraud Detection as a Service</w:t>
            </w:r>
          </w:p>
          <w:p>
            <w:pPr>
              <w:spacing w:after="0" w:before="160"/>
              <w:jc w:val="center"/>
            </w:pPr>
            <w:r>
              <w:rPr>
                <w:rFonts w:ascii="Arial" w:cs="Arial" w:eastAsia="Arial" w:hAnsi="Arial"/>
                <w:b/>
                <w:bCs/>
                <w:color w:val="60A5FA"/>
                <w:sz w:val="36"/>
                <w:szCs w:val="36"/>
              </w:rPr>
              <w:t xml:space="preserve">PRE-FLIGHT AUDIT REPORT</w:t>
            </w:r>
          </w:p>
          <w:p>
            <w:pPr>
              <w:spacing w:after="0" w:before="40"/>
              <w:jc w:val="center"/>
            </w:pPr>
            <w:r>
              <w:rPr>
                <w:rFonts w:ascii="Arial" w:cs="Arial" w:eastAsia="Arial" w:hAnsi="Arial"/>
                <w:color w:val="93C5FD"/>
                <w:sz w:val="28"/>
                <w:szCs w:val="28"/>
              </w:rPr>
              <w:t xml:space="preserve">&amp;</w:t>
            </w:r>
          </w:p>
          <w:p>
            <w:pPr>
              <w:spacing w:after="160" w:before="40"/>
              <w:jc w:val="center"/>
            </w:pPr>
            <w:r>
              <w:rPr>
                <w:rFonts w:ascii="Arial" w:cs="Arial" w:eastAsia="Arial" w:hAnsi="Arial"/>
                <w:b/>
                <w:bCs/>
                <w:color w:val="60A5FA"/>
                <w:sz w:val="36"/>
                <w:szCs w:val="36"/>
              </w:rPr>
              <w:t xml:space="preserve">COMPREHENSIVE STUDY &amp; DEFENSE GUIDE</w:t>
            </w:r>
          </w:p>
          <w:p>
            <w:pPr>
              <w:spacing w:after="0" w:before="160"/>
              <w:jc w:val="center"/>
            </w:pPr>
            <w:r>
              <w:rPr>
                <w:rFonts w:ascii="Arial" w:cs="Arial" w:eastAsia="Arial" w:hAnsi="Arial"/>
                <w:color w:val="FFFFFF"/>
                <w:sz w:val="22"/>
                <w:szCs w:val="22"/>
              </w:rPr>
              <w:t xml:space="preserve">B.Tech Viva Examination &amp; Internship Interview Preparation</w:t>
            </w:r>
          </w:p>
        </w:tc>
      </w:tr>
    </w:tbl>
    <w:p>
      <w:pPr>
        <w:spacing w:after="80" w:before="200"/>
        <w:jc w:val="center"/>
      </w:pPr>
      <w:r>
        <w:rPr>
          <w:rFonts w:ascii="Arial" w:cs="Arial" w:eastAsia="Arial" w:hAnsi="Arial"/>
          <w:i/>
          <w:iCs/>
          <w:color w:val="6B7280"/>
          <w:sz w:val="20"/>
          <w:szCs w:val="20"/>
        </w:rPr>
        <w:t xml:space="preserve">Prepared by: Principal Systems Architect &amp; Technical Mentor</w:t>
      </w:r>
    </w:p>
    <w:p>
      <w:pPr>
        <w:spacing w:after="80" w:before="0"/>
        <w:jc w:val="center"/>
      </w:pPr>
      <w:r>
        <w:rPr>
          <w:rFonts w:ascii="Arial" w:cs="Arial" w:eastAsia="Arial" w:hAnsi="Arial"/>
          <w:color w:val="6B7280"/>
          <w:sz w:val="18"/>
          <w:szCs w:val="18"/>
        </w:rPr>
        <w:t xml:space="preserve">Audit Scope: Engineering Specification v1.0 · Crypto Library: Microsoft SEAL 4.1.1</w:t>
      </w:r>
    </w:p>
    <w:p>
      <w:pPr>
        <w:pageBreakBefore/>
        <w:spacing w:after="0" w:before="0"/>
      </w:pPr>
    </w:p>
    <w:p>
      <w:pPr>
        <w:pStyle w:val="Heading1"/>
        <w:pBdr>
          <w:bottom w:val="single" w:color="2563EB" w:sz="6" w:space="6"/>
        </w:pBdr>
        <w:spacing w:after="160" w:before="300"/>
      </w:pPr>
      <w:r>
        <w:rPr>
          <w:rFonts w:ascii="Arial" w:cs="Arial" w:eastAsia="Arial" w:hAnsi="Arial"/>
          <w:b/>
          <w:bCs/>
          <w:color w:val="1A2B4A"/>
          <w:sz w:val="36"/>
          <w:szCs w:val="36"/>
        </w:rPr>
        <w:t xml:space="preserve">STAGE 1: THE PRE-FLIGHT ENGINEERING AUDIT</w:t>
      </w:r>
    </w:p>
    <w:p>
      <w:pPr>
        <w:spacing w:after="100" w:before="80" w:line="276"/>
      </w:pPr>
      <w:r>
        <w:rPr>
          <w:rFonts w:ascii="Arial" w:cs="Arial" w:eastAsia="Arial" w:hAnsi="Arial"/>
          <w:b w:val="false"/>
          <w:bCs w:val="false"/>
          <w:i/>
          <w:iCs/>
          <w:color w:val="6B7280"/>
          <w:sz w:val="20"/>
          <w:szCs w:val="20"/>
        </w:rPr>
        <w:t xml:space="preserve">Audit Scope: PPFDaaS Engineering Specification v1.0  |  Role: Principal Systems Architect</w:t>
      </w:r>
    </w:p>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66534" w:sz="1"/>
              <w:left w:val="single" w:color="166534" w:sz="12"/>
              <w:bottom w:val="single" w:color="166534" w:sz="1"/>
              <w:right w:val="single" w:color="166534" w:sz="1"/>
            </w:tcBorders>
            <w:shd w:fill="DCFCE7" w:val="clear"/>
            <w:tcMar>
              <w:top w:type="dxa" w:w="100"/>
              <w:left w:type="dxa" w:w="200"/>
              <w:bottom w:type="dxa" w:w="100"/>
              <w:right w:type="dxa" w:w="160"/>
            </w:tcMar>
          </w:tcPr>
          <w:p>
            <w:pPr>
              <w:spacing w:after="60" w:before="0"/>
            </w:pPr>
            <w:r>
              <w:rPr>
                <w:rFonts w:ascii="Arial" w:cs="Arial" w:eastAsia="Arial" w:hAnsi="Arial"/>
                <w:b/>
                <w:bCs/>
                <w:color w:val="14532D"/>
                <w:sz w:val="22"/>
                <w:szCs w:val="22"/>
              </w:rPr>
              <w:t xml:space="preserve">AUDIT FINDING 1: Proto-to-Code Alignment   </w:t>
            </w:r>
            <w:r>
              <w:rPr>
                <w:rFonts w:ascii="Arial" w:cs="Arial" w:eastAsia="Arial" w:hAnsi="Arial"/>
                <w:b/>
                <w:bCs/>
                <w:color w:val="166534"/>
                <w:sz w:val="20"/>
                <w:szCs w:val="20"/>
              </w:rPr>
              <w:t xml:space="preserve">✅ VALIDATED</w:t>
            </w:r>
          </w:p>
        </w:tc>
      </w:tr>
    </w:tbl>
    <w:p>
      <w:pPr>
        <w:spacing w:after="100" w:before="80" w:line="276"/>
      </w:pPr>
      <w:r>
        <w:rPr>
          <w:rFonts w:ascii="Arial" w:cs="Arial" w:eastAsia="Arial" w:hAnsi="Arial"/>
          <w:b w:val="false"/>
          <w:bCs w:val="false"/>
          <w:i w:val="false"/>
          <w:iCs w:val="false"/>
          <w:color w:val="374151"/>
          <w:sz w:val="20"/>
          <w:szCs w:val="20"/>
        </w:rPr>
        <w:t xml:space="preserve">Every field in inference.proto has a corresponding assignment in both inference_service.cpp and BankClient.py. The analysis is as follows:</w:t>
      </w:r>
    </w:p>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400"/>
        <w:gridCol w:w="800"/>
      </w:tblGrid>
      <w:tr>
        <w:trPr>
          <w:tblHeader/>
        </w:trPr>
        <w:tc>
          <w:tcPr>
            <w:tcW w:type="dxa" w:w="22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Component</w:t>
            </w:r>
          </w:p>
        </w:tc>
        <w:tc>
          <w:tcPr>
            <w:tcW w:type="dxa" w:w="22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Field</w:t>
            </w:r>
          </w:p>
        </w:tc>
        <w:tc>
          <w:tcPr>
            <w:tcW w:type="dxa" w:w="3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Assignment</w:t>
            </w:r>
          </w:p>
        </w:tc>
        <w:tc>
          <w:tcPr>
            <w:tcW w:type="dxa" w:w="8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Status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C++ Server (inference_service.cpp)</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multiply_plain_us</w:t>
            </w:r>
          </w:p>
        </w:tc>
        <w:tc>
          <w:tcPr>
            <w:tcW w:type="dxa" w:w="3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td-&gt;set_multiply_plain_us(duration_cast&lt;us&gt;(t_mul - t_loaded).count())</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C++ Server</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rotation_hoisting_us</w:t>
            </w:r>
          </w:p>
        </w:tc>
        <w:tc>
          <w:tcPr>
            <w:tcW w:type="dxa" w:w="3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td-&gt;set_rotation_hoisting_us(duration_cast&lt;us&gt;(t_rot - t_mul).count())</w:t>
            </w:r>
          </w:p>
        </w:tc>
        <w:tc>
          <w:tcPr>
            <w:tcW w:type="dxa" w:w="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C++ Server</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serialization_us</w:t>
            </w:r>
          </w:p>
        </w:tc>
        <w:tc>
          <w:tcPr>
            <w:tcW w:type="dxa" w:w="3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td-&gt;set_serialization_us(duration_cast&lt;us&gt;(t_end - t_rot).count())</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C++ Server</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total_inference_us</w:t>
            </w:r>
          </w:p>
        </w:tc>
        <w:tc>
          <w:tcPr>
            <w:tcW w:type="dxa" w:w="3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td-&gt;set_total_inference_us(duration_cast&lt;us&gt;(t_end - t_start).count())</w:t>
            </w:r>
          </w:p>
        </w:tc>
        <w:tc>
          <w:tcPr>
            <w:tcW w:type="dxa" w:w="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Python BankClient</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multiply_plain_us</w:t>
            </w:r>
          </w:p>
        </w:tc>
        <w:tc>
          <w:tcPr>
            <w:tcW w:type="dxa" w:w="3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resp.timing.multiply_plain_us (dict key 'multiply_plain_us')</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Python BankClient</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rotation_hoisting_us</w:t>
            </w:r>
          </w:p>
        </w:tc>
        <w:tc>
          <w:tcPr>
            <w:tcW w:type="dxa" w:w="3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resp.timing.rotation_hoisting_us</w:t>
            </w:r>
          </w:p>
        </w:tc>
        <w:tc>
          <w:tcPr>
            <w:tcW w:type="dxa" w:w="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Python BankClient</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serialization_us</w:t>
            </w:r>
          </w:p>
        </w:tc>
        <w:tc>
          <w:tcPr>
            <w:tcW w:type="dxa" w:w="3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resp.timing.serialization_us</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Python BankClient</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total_inference_us</w:t>
            </w:r>
          </w:p>
        </w:tc>
        <w:tc>
          <w:tcPr>
            <w:tcW w:type="dxa" w:w="3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resp.timing.total_inference_us</w:t>
            </w:r>
          </w:p>
        </w:tc>
        <w:tc>
          <w:tcPr>
            <w:tcW w:type="dxa" w:w="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BankClient</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request_id</w:t>
            </w:r>
          </w:p>
        </w:tc>
        <w:tc>
          <w:tcPr>
            <w:tcW w:type="dxa" w:w="3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req.request_id = str(uuid.uuid4()) then validates resp.request_id != request_id</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C++ Server</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request_id echo</w:t>
            </w:r>
          </w:p>
        </w:tc>
        <w:tc>
          <w:tcPr>
            <w:tcW w:type="dxa" w:w="3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resp-&gt;set_request_id(req-&gt;request_id()) on OK + all error paths</w:t>
            </w:r>
          </w:p>
        </w:tc>
        <w:tc>
          <w:tcPr>
            <w:tcW w:type="dxa" w:w="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w:t>
            </w:r>
          </w:p>
        </w:tc>
      </w:tr>
    </w:tbl>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ANNOTATION (Non-Critical)</w:t>
            </w:r>
          </w:p>
          <w:p>
            <w:pPr>
              <w:spacing w:after="0" w:before="0"/>
            </w:pPr>
            <w:r>
              <w:rPr>
                <w:rFonts w:ascii="Arial" w:cs="Arial" w:eastAsia="Arial" w:hAnsi="Arial"/>
                <w:color w:val="374151"/>
                <w:sz w:val="19"/>
                <w:szCs w:val="19"/>
              </w:rPr>
              <w:t xml:space="preserve">The client-side decryption time (decrypt_batch) is not tracked in TimingBreakdown — by design, since TimingBreakdown measures vendor-side work only. End-to-end client latency is correctly captured in the latency_ms field via time.perf_counter(). No gap, but worth noting for viva questions about timing scope boundaries.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66534" w:sz="1"/>
              <w:left w:val="single" w:color="166534" w:sz="12"/>
              <w:bottom w:val="single" w:color="166534" w:sz="1"/>
              <w:right w:val="single" w:color="166534" w:sz="1"/>
            </w:tcBorders>
            <w:shd w:fill="DCFCE7" w:val="clear"/>
            <w:tcMar>
              <w:top w:type="dxa" w:w="100"/>
              <w:left w:type="dxa" w:w="200"/>
              <w:bottom w:type="dxa" w:w="100"/>
              <w:right w:type="dxa" w:w="160"/>
            </w:tcMar>
          </w:tcPr>
          <w:p>
            <w:pPr>
              <w:spacing w:after="60" w:before="0"/>
            </w:pPr>
            <w:r>
              <w:rPr>
                <w:rFonts w:ascii="Arial" w:cs="Arial" w:eastAsia="Arial" w:hAnsi="Arial"/>
                <w:b/>
                <w:bCs/>
                <w:color w:val="14532D"/>
                <w:sz w:val="22"/>
                <w:szCs w:val="22"/>
              </w:rPr>
              <w:t xml:space="preserve">AUDIT FINDING 2: Memory Layout Validation   </w:t>
            </w:r>
            <w:r>
              <w:rPr>
                <w:rFonts w:ascii="Arial" w:cs="Arial" w:eastAsia="Arial" w:hAnsi="Arial"/>
                <w:b/>
                <w:bCs/>
                <w:color w:val="166534"/>
                <w:sz w:val="20"/>
                <w:szCs w:val="20"/>
              </w:rPr>
              <w:t xml:space="preserve">✅ VALIDATED</w:t>
            </w:r>
          </w:p>
        </w:tc>
      </w:tr>
    </w:tbl>
    <w:p>
      <w:pPr>
        <w:spacing w:after="100" w:before="80" w:line="276"/>
      </w:pPr>
      <w:r>
        <w:rPr>
          <w:rFonts w:ascii="Arial" w:cs="Arial" w:eastAsia="Arial" w:hAnsi="Arial"/>
          <w:b w:val="false"/>
          <w:bCs w:val="false"/>
          <w:i w:val="false"/>
          <w:iCs w:val="false"/>
          <w:color w:val="374151"/>
          <w:sz w:val="20"/>
          <w:szCs w:val="20"/>
        </w:rPr>
        <w:t xml:space="preserve">The binary layout is internally consistent. The Python serializer and C++ loader share an identical byte contract with no overflow or off-by-one risks.</w:t>
      </w:r>
    </w:p>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1200"/>
        <w:gridCol w:w="2200"/>
        <w:gridCol w:w="2200"/>
        <w:gridCol w:w="700"/>
      </w:tblGrid>
      <w:tr>
        <w:trPr>
          <w:tblHeader/>
        </w:trPr>
        <w:tc>
          <w:tcPr>
            <w:tcW w:type="dxa" w:w="7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Offset</w:t>
            </w:r>
          </w:p>
        </w:tc>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Field</w:t>
            </w:r>
          </w:p>
        </w:tc>
        <w:tc>
          <w:tcPr>
            <w:tcW w:type="dxa" w:w="12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Size</w:t>
            </w:r>
          </w:p>
        </w:tc>
        <w:tc>
          <w:tcPr>
            <w:tcW w:type="dxa" w:w="22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Python (write)</w:t>
            </w:r>
          </w:p>
        </w:tc>
        <w:tc>
          <w:tcPr>
            <w:tcW w:type="dxa" w:w="22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C++ (read)</w:t>
            </w:r>
          </w:p>
        </w:tc>
        <w:tc>
          <w:tcPr>
            <w:tcW w:type="dxa" w:w="7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Safe?</w:t>
            </w:r>
          </w:p>
        </w:tc>
      </w:tr>
      <w:tr>
        <w:tc>
          <w:tcPr>
            <w:tcW w:type="dxa" w:w="7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0</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n_features (uint32_t)</w:t>
            </w:r>
          </w:p>
        </w:tc>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4 bytes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struct.pack('&lt;I', 256)</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f.read(..., 4)</w:t>
            </w:r>
          </w:p>
        </w:tc>
        <w:tc>
          <w:tcPr>
            <w:tcW w:type="dxa" w:w="7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7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4</w:t>
            </w:r>
          </w:p>
        </w:tc>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bias (float64)</w:t>
            </w:r>
          </w:p>
        </w:tc>
        <w:tc>
          <w:tcPr>
            <w:tcW w:type="dxa" w:w="1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8 bytes</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struct.pack('&lt;d', bias)</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f.read(..., 8)</w:t>
            </w:r>
          </w:p>
        </w:tc>
        <w:tc>
          <w:tcPr>
            <w:tcW w:type="dxa" w:w="7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7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12</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weights[0..255] (float64[])</w:t>
            </w:r>
          </w:p>
        </w:tc>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2048 bytes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w_le.tobytes() where w_le = weights.astype('&lt;f8')</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f.read(w.data(), n_features * sizeof(double))</w:t>
            </w:r>
          </w:p>
        </w:tc>
        <w:tc>
          <w:tcPr>
            <w:tcW w:type="dxa" w:w="7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t>
            </w:r>
          </w:p>
        </w:tc>
      </w:tr>
      <w:tr>
        <w:tc>
          <w:tcPr>
            <w:tcW w:type="dxa" w:w="7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Total</w:t>
            </w:r>
          </w:p>
        </w:tc>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w:t>
            </w:r>
          </w:p>
        </w:tc>
        <w:tc>
          <w:tcPr>
            <w:tcW w:type="dxa" w:w="1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2060 bytes</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Post-verified: Path(p).stat().st_size == 2060</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Pre-checked: file_size != EXPECTED_FILE_SIZE</w:t>
            </w:r>
          </w:p>
        </w:tc>
        <w:tc>
          <w:tcPr>
            <w:tcW w:type="dxa" w:w="7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w:t>
            </w:r>
          </w:p>
        </w:tc>
      </w:tr>
    </w:tbl>
    <w:p>
      <w:pPr>
        <w:spacing w:after="60" w:before="120"/>
      </w:pPr>
    </w:p>
    <w:p>
      <w:pPr>
        <w:spacing w:after="100" w:before="80" w:line="276"/>
      </w:pPr>
      <w:r>
        <w:rPr>
          <w:rFonts w:ascii="Arial" w:cs="Arial" w:eastAsia="Arial" w:hAnsi="Arial"/>
          <w:b w:val="false"/>
          <w:bCs w:val="false"/>
          <w:i w:val="false"/>
          <w:iCs w:val="false"/>
          <w:color w:val="166534"/>
          <w:sz w:val="20"/>
          <w:szCs w:val="20"/>
        </w:rPr>
        <w:t xml:space="preserve">SIMD tiling overflow analysis: The tiling loop runs k=0..15 and j=0..255, producing maximum index 15×256+255 = 4095. The tiled vector has size TOTAL_SLOTS = 4096. Index range [0, 4095] is valid — no off-by-one.</w:t>
      </w:r>
    </w:p>
    <w:p>
      <w:pPr>
        <w:spacing w:after="80" w:before="80"/>
      </w:pPr>
    </w:p>
    <w:p>
      <w:pPr>
        <w:spacing w:after="100" w:before="80" w:line="276"/>
      </w:pPr>
      <w:r>
        <w:rPr>
          <w:rFonts w:ascii="Arial" w:cs="Arial" w:eastAsia="Arial" w:hAnsi="Arial"/>
          <w:b w:val="false"/>
          <w:bCs w:val="false"/>
          <w:i w:val="false"/>
          <w:iCs w:val="false"/>
          <w:color w:val="166534"/>
          <w:sz w:val="20"/>
          <w:szCs w:val="20"/>
        </w:rPr>
        <w:t xml:space="preserve">Buffer overflow analysis: C++ reads n_features from the file header (uint32_t) and validates it against EXPECTED_N_FEATURES = 256 before allocating std::vector&lt;double&gt; w(n_features). A maliciously large n_features value in a corrupted file cannot cause a heap overflow because the check occurs before the allocation.</w:t>
      </w:r>
    </w:p>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EF3C7" w:val="clear"/>
            <w:tcMar>
              <w:top w:type="dxa" w:w="100"/>
              <w:left w:type="dxa" w:w="200"/>
              <w:bottom w:type="dxa" w:w="100"/>
              <w:right w:type="dxa" w:w="160"/>
            </w:tcMar>
          </w:tcPr>
          <w:p>
            <w:pPr>
              <w:spacing w:after="60" w:before="0"/>
            </w:pPr>
            <w:r>
              <w:rPr>
                <w:rFonts w:ascii="Arial" w:cs="Arial" w:eastAsia="Arial" w:hAnsi="Arial"/>
                <w:b/>
                <w:bCs/>
                <w:color w:val="78350F"/>
                <w:sz w:val="22"/>
                <w:szCs w:val="22"/>
              </w:rPr>
              <w:t xml:space="preserve">AUDIT FINDING 3: The Degree-2 Fallback Path   </w:t>
            </w:r>
            <w:r>
              <w:rPr>
                <w:rFonts w:ascii="Arial" w:cs="Arial" w:eastAsia="Arial" w:hAnsi="Arial"/>
                <w:b/>
                <w:bCs/>
                <w:color w:val="D97706"/>
                <w:sz w:val="20"/>
                <w:szCs w:val="20"/>
              </w:rPr>
              <w:t xml:space="preserve">⚠️ PARTIAL GAP</w:t>
            </w:r>
          </w:p>
        </w:tc>
      </w:tr>
    </w:tbl>
    <w:p>
      <w:pPr>
        <w:spacing w:after="100" w:before="80" w:line="276"/>
      </w:pPr>
      <w:r>
        <w:rPr>
          <w:rFonts w:ascii="Arial" w:cs="Arial" w:eastAsia="Arial" w:hAnsi="Arial"/>
          <w:b w:val="false"/>
          <w:bCs w:val="false"/>
          <w:i w:val="false"/>
          <w:iCs w:val="false"/>
          <w:color w:val="374151"/>
          <w:sz w:val="20"/>
          <w:szCs w:val="20"/>
        </w:rPr>
        <w:t xml:space="preserve">The Degree-2 fallback is a documented contingency plan, not an implemented code path. The following table summarises what is specified vs. what is absent.</w:t>
      </w:r>
    </w:p>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660"/>
      </w:tblGrid>
      <w:tr>
        <w:trPr>
          <w:tblHeader/>
        </w:trPr>
        <w:tc>
          <w:tcPr>
            <w:tcW w:type="dxa" w:w="32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Component</w:t>
            </w:r>
          </w:p>
        </w:tc>
        <w:tc>
          <w:tcPr>
            <w:tcW w:type="dxa" w:w="15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Status</w:t>
            </w:r>
          </w:p>
        </w:tc>
        <w:tc>
          <w:tcPr>
            <w:tcW w:type="dxa" w:w="46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Notes</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New SEAL parameters (n=16384, 5-prime coeff_modulus)</w:t>
            </w:r>
          </w:p>
        </w:tc>
        <w:tc>
          <w:tcPr>
            <w:tcW w:type="dxa" w:w="1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 Documented</w:t>
            </w:r>
          </w:p>
        </w:tc>
        <w:tc>
          <w:tcPr>
            <w:tcW w:type="dxa" w:w="46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Specified in §6.3 with exact values</w:t>
            </w:r>
          </w:p>
        </w:tc>
      </w:tr>
      <w:tr>
        <w:tc>
          <w:tcPr>
            <w:tcW w:type="dxa" w:w="3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Files requiring update on fallback</w:t>
            </w:r>
          </w:p>
        </w:tc>
        <w:tc>
          <w:tcPr>
            <w:tcW w:type="dxa" w:w="1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 Listed</w:t>
            </w:r>
          </w:p>
        </w:tc>
        <w:tc>
          <w:tcPr>
            <w:tcW w:type="dxa" w:w="46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6 specific changes enumerated in §6.3</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Trigger condition (AUC &lt; 0.92)</w:t>
            </w:r>
          </w:p>
        </w:tc>
        <w:tc>
          <w:tcPr>
            <w:tcW w:type="dxa" w:w="1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 Defined</w:t>
            </w:r>
          </w:p>
        </w:tc>
        <w:tc>
          <w:tcPr>
            <w:tcW w:type="dxa" w:w="46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Phase 2 checklist; manually triggered</w:t>
            </w:r>
          </w:p>
        </w:tc>
      </w:tr>
      <w:tr>
        <w:tc>
          <w:tcPr>
            <w:tcW w:type="dxa" w:w="3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ERR_PARAM_MISMATCH detection on mismatch</w:t>
            </w:r>
          </w:p>
        </w:tc>
        <w:tc>
          <w:tcPr>
            <w:tcW w:type="dxa" w:w="1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 Implemented</w:t>
            </w:r>
          </w:p>
        </w:tc>
        <w:tc>
          <w:tcPr>
            <w:tcW w:type="dxa" w:w="46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parms_id check in RunInference catches any sync error</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linearize_degree2.py (degree-2 polynomial fitting)</w:t>
            </w:r>
          </w:p>
        </w:tc>
        <w:tc>
          <w:tcPr>
            <w:tcW w:type="dxa" w:w="1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 ABSENT</w:t>
            </w:r>
          </w:p>
        </w:tc>
        <w:tc>
          <w:tcPr>
            <w:tcW w:type="dxa" w:w="46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No normative code provided</w:t>
            </w:r>
          </w:p>
        </w:tc>
      </w:tr>
      <w:tr>
        <w:tc>
          <w:tcPr>
            <w:tcW w:type="dxa" w:w="3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weight_loader for 3-coefficient format</w:t>
            </w:r>
          </w:p>
        </w:tc>
        <w:tc>
          <w:tcPr>
            <w:tcW w:type="dxa" w:w="1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 ABSENT</w:t>
            </w:r>
          </w:p>
        </w:tc>
        <w:tc>
          <w:tcPr>
            <w:tcW w:type="dxa" w:w="46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Binary layout changes with 3 coefficients (w, v, b)</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he_inference_depth2.cpp (2-level circuit)</w:t>
            </w:r>
          </w:p>
        </w:tc>
        <w:tc>
          <w:tcPr>
            <w:tcW w:type="dxa" w:w="1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 ABSENT</w:t>
            </w:r>
          </w:p>
        </w:tc>
        <w:tc>
          <w:tcPr>
            <w:tcW w:type="dxa" w:w="46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Two multiply_plain + two rescale_to_next not specified</w:t>
            </w:r>
          </w:p>
        </w:tc>
      </w:tr>
      <w:tr>
        <w:tc>
          <w:tcPr>
            <w:tcW w:type="dxa" w:w="3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Automatic AUC trigger</w:t>
            </w:r>
          </w:p>
        </w:tc>
        <w:tc>
          <w:tcPr>
            <w:tcW w:type="dxa" w:w="1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 ABSENT</w:t>
            </w:r>
          </w:p>
        </w:tc>
        <w:tc>
          <w:tcPr>
            <w:tcW w:type="dxa" w:w="46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Manual process; no automated fallback switch</w:t>
            </w:r>
          </w:p>
        </w:tc>
      </w:tr>
    </w:tbl>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EF3C7" w:val="clear"/>
            <w:tcMar>
              <w:top w:type="dxa" w:w="120"/>
              <w:left w:type="dxa" w:w="200"/>
              <w:bottom w:type="dxa" w:w="120"/>
              <w:right w:type="dxa" w:w="160"/>
            </w:tcMar>
          </w:tcPr>
          <w:p>
            <w:pPr>
              <w:spacing w:after="80" w:before="0"/>
            </w:pPr>
            <w:r>
              <w:rPr>
                <w:rFonts w:ascii="Arial" w:cs="Arial" w:eastAsia="Arial" w:hAnsi="Arial"/>
                <w:b/>
                <w:bCs/>
                <w:color w:val="D97706"/>
                <w:sz w:val="18"/>
                <w:szCs w:val="18"/>
              </w:rPr>
              <w:t xml:space="preserve">🚩 FLAGGED GAP — MEDIUM SEVERITY</w:t>
            </w:r>
          </w:p>
          <w:p>
            <w:pPr>
              <w:spacing w:after="0" w:before="0"/>
            </w:pPr>
            <w:r>
              <w:rPr>
                <w:rFonts w:ascii="Arial" w:cs="Arial" w:eastAsia="Arial" w:hAnsi="Arial"/>
                <w:color w:val="374151"/>
                <w:sz w:val="19"/>
                <w:szCs w:val="19"/>
              </w:rPr>
              <w:t xml:space="preserve">The Degree-2 fallback is not implementable from this spec alone. A developer encountering Depth-1 AUC &lt; 0.94 would need to derive the degree-2 polynomial fitting, new binary layout, and 2-level HE circuit from scratch. Recommended action: Log a change request to add normative Degree-2 code before v1.1. This gap does NOT block Depth-1 development.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00"/>
              <w:left w:type="dxa" w:w="200"/>
              <w:bottom w:type="dxa" w:w="100"/>
              <w:right w:type="dxa" w:w="160"/>
            </w:tcMar>
          </w:tcPr>
          <w:p>
            <w:pPr>
              <w:spacing w:after="60" w:before="0"/>
            </w:pPr>
            <w:r>
              <w:rPr>
                <w:rFonts w:ascii="Arial" w:cs="Arial" w:eastAsia="Arial" w:hAnsi="Arial"/>
                <w:b/>
                <w:bCs/>
                <w:color w:val="78350F"/>
                <w:sz w:val="22"/>
                <w:szCs w:val="22"/>
              </w:rPr>
              <w:t xml:space="preserve">AUDIT FINDING 4: Complexity / Latency Check   </w:t>
            </w:r>
            <w:r>
              <w:rPr>
                <w:rFonts w:ascii="Arial" w:cs="Arial" w:eastAsia="Arial" w:hAnsi="Arial"/>
                <w:b/>
                <w:bCs/>
                <w:color w:val="D97706"/>
                <w:sz w:val="20"/>
                <w:szCs w:val="20"/>
              </w:rPr>
              <w:t xml:space="preserve">⚠️ ANNOTATED</w:t>
            </w:r>
          </w:p>
        </w:tc>
      </w:tr>
    </w:tbl>
    <w:p>
      <w:pPr>
        <w:spacing w:after="100" w:before="80" w:line="276"/>
      </w:pPr>
      <w:r>
        <w:rPr>
          <w:rFonts w:ascii="Arial" w:cs="Arial" w:eastAsia="Arial" w:hAnsi="Arial"/>
          <w:b w:val="false"/>
          <w:bCs w:val="false"/>
          <w:i w:val="false"/>
          <w:iCs w:val="false"/>
          <w:color w:val="374151"/>
          <w:sz w:val="20"/>
          <w:szCs w:val="20"/>
        </w:rPr>
        <w:t xml:space="preserve">The &lt;10 ms target is plausible but tight on minimum-spec hardware. The spec correctly avoids asserting the target analytically and instead mandates an empirical benchmark gate.</w:t>
      </w:r>
    </w:p>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760"/>
      </w:tblGrid>
      <w:tr>
        <w:trPr>
          <w:tblHeader/>
        </w:trPr>
        <w:tc>
          <w:tcPr>
            <w:tcW w:type="dxa" w:w="3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Operation</w:t>
            </w:r>
          </w:p>
        </w:tc>
        <w:tc>
          <w:tcPr>
            <w:tcW w:type="dxa" w:w="16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Estimated Time</w:t>
            </w:r>
          </w:p>
        </w:tc>
        <w:tc>
          <w:tcPr>
            <w:tcW w:type="dxa" w:w="47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Notes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ct.load() deserialization</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1.0–1.5 ms</w:t>
            </w:r>
          </w:p>
        </w:tc>
        <w:tc>
          <w:tcPr>
            <w:tcW w:type="dxa" w:w="4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384 KB read + SEAL polynomial parsing</w:t>
            </w:r>
          </w:p>
        </w:tc>
      </w:tr>
      <w:tr>
        <w:tc>
          <w:tcPr>
            <w:tcW w:type="dxa" w:w="3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multiply_plain_inplace</w:t>
            </w:r>
          </w:p>
        </w:tc>
        <w:tc>
          <w:tcPr>
            <w:tcW w:type="dxa" w:w="16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1.5–2.5 ms</w:t>
            </w:r>
          </w:p>
        </w:tc>
        <w:tc>
          <w:tcPr>
            <w:tcW w:type="dxa" w:w="47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AVX2 NTT on n=8192 ring elements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rescale_to_next_inplace</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0.5–0.8 ms</w:t>
            </w:r>
          </w:p>
        </w:tc>
        <w:tc>
          <w:tcPr>
            <w:tcW w:type="dxa" w:w="4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Single modulus drop + coefficient normalisation</w:t>
            </w:r>
          </w:p>
        </w:tc>
      </w:tr>
      <w:tr>
        <w:tc>
          <w:tcPr>
            <w:tcW w:type="dxa" w:w="3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invariant_noise_budget() check</w:t>
            </w:r>
          </w:p>
        </w:tc>
        <w:tc>
          <w:tcPr>
            <w:tcW w:type="dxa" w:w="16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0.1–0.2 ms</w:t>
            </w:r>
          </w:p>
        </w:tc>
        <w:tc>
          <w:tcPr>
            <w:tcW w:type="dxa" w:w="47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Dev/test only — removed in HSM production build</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hoisted_tree_sum (8 rotations)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1.5–2.5 ms</w:t>
            </w:r>
          </w:p>
        </w:tc>
        <w:tc>
          <w:tcPr>
            <w:tcW w:type="dxa" w:w="4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8 × NTT-based key-switch + polynomial add</w:t>
            </w:r>
          </w:p>
        </w:tc>
      </w:tr>
      <w:tr>
        <w:tc>
          <w:tcPr>
            <w:tcW w:type="dxa" w:w="3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ct.save() serialisation</w:t>
            </w:r>
          </w:p>
        </w:tc>
        <w:tc>
          <w:tcPr>
            <w:tcW w:type="dxa" w:w="16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0.3–0.6 ms</w:t>
            </w:r>
          </w:p>
        </w:tc>
        <w:tc>
          <w:tcPr>
            <w:tcW w:type="dxa" w:w="47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384 KB write into pre-allocated char[] buffer</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TOTAL vendor-side</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~5.0–8.1 ms</w:t>
            </w:r>
          </w:p>
        </w:tc>
        <w:tc>
          <w:tcPr>
            <w:tcW w:type="dxa" w:w="4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Fits &lt;10 ms target on AVX2 hardware</w:t>
            </w:r>
          </w:p>
        </w:tc>
      </w:tr>
    </w:tbl>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EF3C7" w:val="clear"/>
            <w:tcMar>
              <w:top w:type="dxa" w:w="120"/>
              <w:left w:type="dxa" w:w="200"/>
              <w:bottom w:type="dxa" w:w="120"/>
              <w:right w:type="dxa" w:w="160"/>
            </w:tcMar>
          </w:tcPr>
          <w:p>
            <w:pPr>
              <w:spacing w:after="80" w:before="0"/>
            </w:pPr>
            <w:r>
              <w:rPr>
                <w:rFonts w:ascii="Arial" w:cs="Arial" w:eastAsia="Arial" w:hAnsi="Arial"/>
                <w:b/>
                <w:bCs/>
                <w:color w:val="D97706"/>
                <w:sz w:val="18"/>
                <w:szCs w:val="18"/>
              </w:rPr>
              <w:t xml:space="preserve">Hidden Cost Identified: gRPC + TLS Framing</w:t>
            </w:r>
          </w:p>
          <w:p>
            <w:pPr>
              <w:spacing w:after="0" w:before="0"/>
            </w:pPr>
            <w:r>
              <w:rPr>
                <w:rFonts w:ascii="Arial" w:cs="Arial" w:eastAsia="Arial" w:hAnsi="Arial"/>
                <w:color w:val="374151"/>
                <w:sz w:val="19"/>
                <w:szCs w:val="19"/>
              </w:rPr>
              <w:t xml:space="preserve">gRPC framing and TLS 1.3 record processing add approximately 0.3–0.8 ms per message for a 384 KB payload. This is outside the vendor TimingBreakdown but inside the client latency_ms. The 15 ms client gate (vs. 10 ms vendor gate) correctly accounts for this overhead. Additionally, the noise budget check (invariant_noise_budget) requires the secret key and is removed in production HSM builds, actually improving the production budget by ~0.1–0.2 ms versus the test build.</w:t>
            </w:r>
          </w:p>
        </w:tc>
      </w:tr>
    </w:tbl>
    <w:p>
      <w:pPr>
        <w:spacing w:after="0" w:before="160"/>
      </w:pPr>
    </w:p>
    <w:p>
      <w:pPr>
        <w:spacing w:after="120" w:before="200"/>
      </w:pPr>
    </w:p>
    <w:p>
      <w:pPr>
        <w:pStyle w:val="Heading2"/>
        <w:spacing w:after="120" w:before="240"/>
      </w:pPr>
      <w:r>
        <w:rPr>
          <w:rFonts w:ascii="Arial" w:cs="Arial" w:eastAsia="Arial" w:hAnsi="Arial"/>
          <w:b/>
          <w:bCs/>
          <w:color w:val="1A2B4A"/>
          <w:sz w:val="28"/>
          <w:szCs w:val="28"/>
        </w:rPr>
        <w:t xml:space="preserve">FINAL AUDIT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rPr>
          <w:tblHeader/>
        </w:trPr>
        <w:tc>
          <w:tcPr>
            <w:tcW w:type="dxa" w:w="4500"/>
            <w:tcBorders>
              <w:top w:val="single" w:color="1E3A5F" w:sz="1"/>
              <w:left w:val="single" w:color="1E3A5F" w:sz="1"/>
              <w:bottom w:val="single" w:color="1E3A5F" w:sz="1"/>
              <w:right w:val="single" w:color="1E3A5F" w:sz="1"/>
            </w:tcBorders>
            <w:shd w:fill="1A2B4A" w:val="clear"/>
            <w:tcMar>
              <w:top w:type="dxa" w:w="100"/>
              <w:left w:type="dxa" w:w="160"/>
              <w:bottom w:type="dxa" w:w="100"/>
              <w:right w:type="dxa" w:w="120"/>
            </w:tcMar>
          </w:tcPr>
          <w:p>
            <w:r>
              <w:rPr>
                <w:rFonts w:ascii="Arial" w:cs="Arial" w:eastAsia="Arial" w:hAnsi="Arial"/>
                <w:b/>
                <w:bCs/>
                <w:color w:val="FFFFFF"/>
                <w:sz w:val="19"/>
                <w:szCs w:val="19"/>
              </w:rPr>
              <w:t xml:space="preserve">Audit Finding</w:t>
            </w:r>
          </w:p>
        </w:tc>
        <w:tc>
          <w:tcPr>
            <w:tcW w:type="dxa" w:w="4860"/>
            <w:tcBorders>
              <w:top w:val="single" w:color="1E3A5F" w:sz="1"/>
              <w:left w:val="single" w:color="1E3A5F" w:sz="1"/>
              <w:bottom w:val="single" w:color="1E3A5F" w:sz="1"/>
              <w:right w:val="single" w:color="1E3A5F" w:sz="1"/>
            </w:tcBorders>
            <w:shd w:fill="1A2B4A" w:val="clear"/>
            <w:tcMar>
              <w:top w:type="dxa" w:w="100"/>
              <w:left w:type="dxa" w:w="160"/>
              <w:bottom w:type="dxa" w:w="100"/>
              <w:right w:type="dxa" w:w="120"/>
            </w:tcMar>
          </w:tcPr>
          <w:p>
            <w:r>
              <w:rPr>
                <w:rFonts w:ascii="Arial" w:cs="Arial" w:eastAsia="Arial" w:hAnsi="Arial"/>
                <w:b/>
                <w:bCs/>
                <w:color w:val="FFFFFF"/>
                <w:sz w:val="19"/>
                <w:szCs w:val="19"/>
              </w:rPr>
              <w:t xml:space="preserve">Verdict</w:t>
            </w:r>
          </w:p>
        </w:tc>
      </w:tr>
      <w:tr>
        <w:tc>
          <w:tcPr>
            <w:tcW w:type="dxa" w:w="4500"/>
            <w:tcBorders>
              <w:top w:val="single" w:color="D1D5DB" w:sz="1"/>
              <w:left w:val="single" w:color="D1D5DB" w:sz="1"/>
              <w:bottom w:val="single" w:color="D1D5DB" w:sz="1"/>
              <w:right w:val="single" w:color="D1D5DB" w:sz="1"/>
            </w:tcBorders>
            <w:shd w:fill="FFFFFF" w:val="clear"/>
            <w:tcMar>
              <w:top w:type="dxa" w:w="90"/>
              <w:left w:type="dxa" w:w="160"/>
              <w:bottom w:type="dxa" w:w="90"/>
              <w:right w:type="dxa" w:w="120"/>
            </w:tcMar>
          </w:tcPr>
          <w:p>
            <w:r>
              <w:rPr>
                <w:rFonts w:ascii="Arial" w:cs="Arial" w:eastAsia="Arial" w:hAnsi="Arial"/>
                <w:color w:val="374151"/>
                <w:sz w:val="19"/>
                <w:szCs w:val="19"/>
              </w:rPr>
              <w:t xml:space="preserve">Finding 1 — Proto/Code Alignment</w:t>
            </w:r>
          </w:p>
        </w:tc>
        <w:tc>
          <w:tcPr>
            <w:tcW w:type="dxa" w:w="4860"/>
            <w:tcBorders>
              <w:top w:val="single" w:color="D1D5DB" w:sz="1"/>
              <w:left w:val="single" w:color="D1D5DB" w:sz="1"/>
              <w:bottom w:val="single" w:color="D1D5DB" w:sz="1"/>
              <w:right w:val="single" w:color="D1D5DB" w:sz="1"/>
            </w:tcBorders>
            <w:shd w:fill="DCFCE7" w:val="clear"/>
            <w:tcMar>
              <w:top w:type="dxa" w:w="90"/>
              <w:left w:type="dxa" w:w="160"/>
              <w:bottom w:type="dxa" w:w="90"/>
              <w:right w:type="dxa" w:w="120"/>
            </w:tcMar>
          </w:tcPr>
          <w:p>
            <w:r>
              <w:rPr>
                <w:rFonts w:ascii="Arial" w:cs="Arial" w:eastAsia="Arial" w:hAnsi="Arial"/>
                <w:b/>
                <w:bCs/>
                <w:color w:val="166534"/>
                <w:sz w:val="19"/>
                <w:szCs w:val="19"/>
              </w:rPr>
              <w:t xml:space="preserve">✅ VALIDATED</w:t>
            </w:r>
          </w:p>
        </w:tc>
      </w:tr>
      <w:tr>
        <w:tc>
          <w:tcPr>
            <w:tcW w:type="dxa" w:w="4500"/>
            <w:tcBorders>
              <w:top w:val="single" w:color="D1D5DB" w:sz="1"/>
              <w:left w:val="single" w:color="D1D5DB" w:sz="1"/>
              <w:bottom w:val="single" w:color="D1D5DB" w:sz="1"/>
              <w:right w:val="single" w:color="D1D5DB" w:sz="1"/>
            </w:tcBorders>
            <w:shd w:fill="F8FAFC" w:val="clear"/>
            <w:tcMar>
              <w:top w:type="dxa" w:w="90"/>
              <w:left w:type="dxa" w:w="160"/>
              <w:bottom w:type="dxa" w:w="90"/>
              <w:right w:type="dxa" w:w="120"/>
            </w:tcMar>
          </w:tcPr>
          <w:p>
            <w:r>
              <w:rPr>
                <w:rFonts w:ascii="Arial" w:cs="Arial" w:eastAsia="Arial" w:hAnsi="Arial"/>
                <w:color w:val="374151"/>
                <w:sz w:val="19"/>
                <w:szCs w:val="19"/>
              </w:rPr>
              <w:t xml:space="preserve">Finding 2 — Memory Layout / Safety</w:t>
            </w:r>
          </w:p>
        </w:tc>
        <w:tc>
          <w:tcPr>
            <w:tcW w:type="dxa" w:w="4860"/>
            <w:tcBorders>
              <w:top w:val="single" w:color="D1D5DB" w:sz="1"/>
              <w:left w:val="single" w:color="D1D5DB" w:sz="1"/>
              <w:bottom w:val="single" w:color="D1D5DB" w:sz="1"/>
              <w:right w:val="single" w:color="D1D5DB" w:sz="1"/>
            </w:tcBorders>
            <w:shd w:fill="DCFCE7" w:val="clear"/>
            <w:tcMar>
              <w:top w:type="dxa" w:w="90"/>
              <w:left w:type="dxa" w:w="160"/>
              <w:bottom w:type="dxa" w:w="90"/>
              <w:right w:type="dxa" w:w="120"/>
            </w:tcMar>
          </w:tcPr>
          <w:p>
            <w:r>
              <w:rPr>
                <w:rFonts w:ascii="Arial" w:cs="Arial" w:eastAsia="Arial" w:hAnsi="Arial"/>
                <w:b/>
                <w:bCs/>
                <w:color w:val="166534"/>
                <w:sz w:val="19"/>
                <w:szCs w:val="19"/>
              </w:rPr>
              <w:t xml:space="preserve">✅ VALIDATED</w:t>
            </w:r>
          </w:p>
        </w:tc>
      </w:tr>
      <w:tr>
        <w:tc>
          <w:tcPr>
            <w:tcW w:type="dxa" w:w="4500"/>
            <w:tcBorders>
              <w:top w:val="single" w:color="D1D5DB" w:sz="1"/>
              <w:left w:val="single" w:color="D1D5DB" w:sz="1"/>
              <w:bottom w:val="single" w:color="D1D5DB" w:sz="1"/>
              <w:right w:val="single" w:color="D1D5DB" w:sz="1"/>
            </w:tcBorders>
            <w:shd w:fill="FFFFFF" w:val="clear"/>
            <w:tcMar>
              <w:top w:type="dxa" w:w="90"/>
              <w:left w:type="dxa" w:w="160"/>
              <w:bottom w:type="dxa" w:w="90"/>
              <w:right w:type="dxa" w:w="120"/>
            </w:tcMar>
          </w:tcPr>
          <w:p>
            <w:r>
              <w:rPr>
                <w:rFonts w:ascii="Arial" w:cs="Arial" w:eastAsia="Arial" w:hAnsi="Arial"/>
                <w:color w:val="374151"/>
                <w:sz w:val="19"/>
                <w:szCs w:val="19"/>
              </w:rPr>
              <w:t xml:space="preserve">Finding 3 — Degree-2 Fallback</w:t>
            </w:r>
          </w:p>
        </w:tc>
        <w:tc>
          <w:tcPr>
            <w:tcW w:type="dxa" w:w="4860"/>
            <w:tcBorders>
              <w:top w:val="single" w:color="D1D5DB" w:sz="1"/>
              <w:left w:val="single" w:color="D1D5DB" w:sz="1"/>
              <w:bottom w:val="single" w:color="D1D5DB" w:sz="1"/>
              <w:right w:val="single" w:color="D1D5DB" w:sz="1"/>
            </w:tcBorders>
            <w:shd w:fill="FEF3C7" w:val="clear"/>
            <w:tcMar>
              <w:top w:type="dxa" w:w="90"/>
              <w:left w:type="dxa" w:w="160"/>
              <w:bottom w:type="dxa" w:w="90"/>
              <w:right w:type="dxa" w:w="120"/>
            </w:tcMar>
          </w:tcPr>
          <w:p>
            <w:r>
              <w:rPr>
                <w:rFonts w:ascii="Arial" w:cs="Arial" w:eastAsia="Arial" w:hAnsi="Arial"/>
                <w:b/>
                <w:bCs/>
                <w:color w:val="B45309"/>
                <w:sz w:val="19"/>
                <w:szCs w:val="19"/>
              </w:rPr>
              <w:t xml:space="preserve">⚠️ GAP (Medium Severity)</w:t>
            </w:r>
          </w:p>
        </w:tc>
      </w:tr>
      <w:tr>
        <w:tc>
          <w:tcPr>
            <w:tcW w:type="dxa" w:w="4500"/>
            <w:tcBorders>
              <w:top w:val="single" w:color="D1D5DB" w:sz="1"/>
              <w:left w:val="single" w:color="D1D5DB" w:sz="1"/>
              <w:bottom w:val="single" w:color="D1D5DB" w:sz="1"/>
              <w:right w:val="single" w:color="D1D5DB" w:sz="1"/>
            </w:tcBorders>
            <w:shd w:fill="F8FAFC" w:val="clear"/>
            <w:tcMar>
              <w:top w:type="dxa" w:w="90"/>
              <w:left w:type="dxa" w:w="160"/>
              <w:bottom w:type="dxa" w:w="90"/>
              <w:right w:type="dxa" w:w="120"/>
            </w:tcMar>
          </w:tcPr>
          <w:p>
            <w:r>
              <w:rPr>
                <w:rFonts w:ascii="Arial" w:cs="Arial" w:eastAsia="Arial" w:hAnsi="Arial"/>
                <w:color w:val="374151"/>
                <w:sz w:val="19"/>
                <w:szCs w:val="19"/>
              </w:rPr>
              <w:t xml:space="preserve">Finding 4 — Latency Budget</w:t>
            </w:r>
          </w:p>
        </w:tc>
        <w:tc>
          <w:tcPr>
            <w:tcW w:type="dxa" w:w="4860"/>
            <w:tcBorders>
              <w:top w:val="single" w:color="D1D5DB" w:sz="1"/>
              <w:left w:val="single" w:color="D1D5DB" w:sz="1"/>
              <w:bottom w:val="single" w:color="D1D5DB" w:sz="1"/>
              <w:right w:val="single" w:color="D1D5DB" w:sz="1"/>
            </w:tcBorders>
            <w:shd w:fill="FEF3C7" w:val="clear"/>
            <w:tcMar>
              <w:top w:type="dxa" w:w="90"/>
              <w:left w:type="dxa" w:w="160"/>
              <w:bottom w:type="dxa" w:w="90"/>
              <w:right w:type="dxa" w:w="120"/>
            </w:tcMar>
          </w:tcPr>
          <w:p>
            <w:r>
              <w:rPr>
                <w:rFonts w:ascii="Arial" w:cs="Arial" w:eastAsia="Arial" w:hAnsi="Arial"/>
                <w:b/>
                <w:bCs/>
                <w:color w:val="B45309"/>
                <w:sz w:val="19"/>
                <w:szCs w:val="19"/>
              </w:rPr>
              <w:t xml:space="preserve">⚠️ Annotated (Acceptable)</w:t>
            </w:r>
          </w:p>
        </w:tc>
      </w:tr>
    </w:tbl>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66534" w:sz="1"/>
              <w:left w:val="single" w:color="166534" w:sz="12"/>
              <w:bottom w:val="single" w:color="166534" w:sz="1"/>
              <w:right w:val="single" w:color="166534" w:sz="1"/>
            </w:tcBorders>
            <w:shd w:fill="DCFCE7" w:val="clear"/>
            <w:tcMar>
              <w:top w:type="dxa" w:w="120"/>
              <w:left w:type="dxa" w:w="200"/>
              <w:bottom w:type="dxa" w:w="120"/>
              <w:right w:type="dxa" w:w="160"/>
            </w:tcMar>
          </w:tcPr>
          <w:p>
            <w:pPr>
              <w:spacing w:after="80" w:before="0"/>
            </w:pPr>
            <w:r>
              <w:rPr>
                <w:rFonts w:ascii="Arial" w:cs="Arial" w:eastAsia="Arial" w:hAnsi="Arial"/>
                <w:b/>
                <w:bCs/>
                <w:color w:val="166534"/>
                <w:sz w:val="18"/>
                <w:szCs w:val="18"/>
              </w:rPr>
              <w:t xml:space="preserve">RECOMMENDED ACTION</w:t>
            </w:r>
          </w:p>
          <w:p>
            <w:pPr>
              <w:spacing w:after="0" w:before="0"/>
            </w:pPr>
            <w:r>
              <w:rPr>
                <w:rFonts w:ascii="Arial" w:cs="Arial" w:eastAsia="Arial" w:hAnsi="Arial"/>
                <w:color w:val="374151"/>
                <w:sz w:val="19"/>
                <w:szCs w:val="19"/>
              </w:rPr>
              <w:t xml:space="preserve">Proceed to implementation. All critical components are internally consistent and implementable from this spec. Log a formal change request to add normative Degree-2 fallback code before v1.1. The fallback gap does not block Depth-1 development.</w:t>
            </w:r>
          </w:p>
        </w:tc>
      </w:tr>
    </w:tbl>
    <w:p>
      <w:pPr>
        <w:pageBreakBefore/>
        <w:spacing w:after="0" w:before="0"/>
      </w:pPr>
    </w:p>
    <w:p>
      <w:pPr>
        <w:pStyle w:val="Heading1"/>
        <w:pBdr>
          <w:bottom w:val="single" w:color="2563EB" w:sz="6" w:space="6"/>
        </w:pBdr>
        <w:spacing w:after="160" w:before="300"/>
      </w:pPr>
      <w:r>
        <w:rPr>
          <w:rFonts w:ascii="Arial" w:cs="Arial" w:eastAsia="Arial" w:hAnsi="Arial"/>
          <w:b/>
          <w:bCs/>
          <w:color w:val="1A2B4A"/>
          <w:sz w:val="36"/>
          <w:szCs w:val="36"/>
        </w:rPr>
        <w:t xml:space="preserve">STAGE 2: COMPREHENSIVE STUDY &amp; DEFENSE GUIDE</w:t>
      </w:r>
    </w:p>
    <w:p>
      <w:pPr>
        <w:spacing w:after="100" w:before="80" w:line="276"/>
      </w:pPr>
      <w:r>
        <w:rPr>
          <w:rFonts w:ascii="Arial" w:cs="Arial" w:eastAsia="Arial" w:hAnsi="Arial"/>
          <w:b w:val="false"/>
          <w:bCs w:val="false"/>
          <w:i/>
          <w:iCs/>
          <w:color w:val="6B7280"/>
          <w:sz w:val="20"/>
          <w:szCs w:val="20"/>
        </w:rPr>
        <w:t xml:space="preserve">For B.Tech Viva Examinations and Technical Internship Interviews</w:t>
      </w:r>
    </w:p>
    <w:p>
      <w:pPr>
        <w:spacing w:after="0" w:before="240"/>
      </w:pPr>
    </w:p>
    <w:p>
      <w:pPr>
        <w:pStyle w:val="Heading2"/>
        <w:spacing w:after="120" w:before="240"/>
      </w:pPr>
      <w:r>
        <w:rPr>
          <w:rFonts w:ascii="Arial" w:cs="Arial" w:eastAsia="Arial" w:hAnsi="Arial"/>
          <w:b/>
          <w:bCs/>
          <w:color w:val="1A2B4A"/>
          <w:sz w:val="28"/>
          <w:szCs w:val="28"/>
        </w:rPr>
        <w:t xml:space="preserve">MODULE 1: THE FIRST PRINCIPLES OF THE CRYPTOGRAPHY</w:t>
      </w:r>
    </w:p>
    <w:p>
      <w:pPr>
        <w:spacing w:after="100" w:before="80" w:line="276"/>
      </w:pPr>
      <w:r>
        <w:rPr>
          <w:rFonts w:ascii="Arial" w:cs="Arial" w:eastAsia="Arial" w:hAnsi="Arial"/>
          <w:b w:val="false"/>
          <w:bCs w:val="false"/>
          <w:i/>
          <w:iCs/>
          <w:color w:val="6B7280"/>
          <w:sz w:val="20"/>
          <w:szCs w:val="20"/>
        </w:rPr>
        <w:t xml:space="preserve">Think of this module as building the foundations of a house before putting up walls. You cannot defend a system you don't understand at the mathematical level.</w:t>
      </w:r>
    </w:p>
    <w:p>
      <w:pPr>
        <w:spacing w:after="80" w:before="200"/>
      </w:pPr>
    </w:p>
    <w:p>
      <w:pPr>
        <w:pStyle w:val="Heading3"/>
        <w:spacing w:after="100" w:before="200"/>
      </w:pPr>
      <w:r>
        <w:rPr>
          <w:rFonts w:ascii="Arial" w:cs="Arial" w:eastAsia="Arial" w:hAnsi="Arial"/>
          <w:b/>
          <w:bCs/>
          <w:color w:val="2563EB"/>
          <w:sz w:val="24"/>
          <w:szCs w:val="24"/>
        </w:rPr>
        <w:t xml:space="preserve">1.1 The CKKS Scheme: Approximate vs. Exact Arithmetic</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Imagine you're doing mental arithmetic. You add 2 + 2 and get exactly 4. That's exact arithmetic — what older HE schemes like BFV do for integers. Now imagine you're an engineer calculating the stress on a bridge beam. You use floating-point numbers and you're okay with an answer of 3.99999... instead of 4.0, because the physical reality only needs 4 decimal places of precision. That's CKKS — it's the floating-point arithmetic of the homomorphic encryption world. CKKS was invented specifically because machine learning doesn't need exact arithmetic. A fraud score of 0.74321 and 0.74319 lead to the same decision.</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CKKS (Cheon-Kim-Kim-Song, 2017) is a leveled homomorphic encryption scheme over the polynomial ring Z_q[x]/(x^n + 1). It represents real numbers by encoding them as coefficients of a polynomial, then encrypting that polynomial. Operations on ciphertexts correspond approximately to operations on the underlying real numbers. The key word is approximately: decryption recovers m + ε where ε is a small error term controlled by the noise budget. For our system, the encoding scale 2^40 gives ~12 significant decimal digits of precision — more than sufficient for a logistic regression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CKKS is an approximate homomorphic encryption scheme where computations introduce a controlled, bounded error. Unlike BFV which operates over exact integers, CKKS works over real numbers encoded as polynomial coefficients scaled by 2^40. The approximation error is provably bounded and negligible for ML inference workloads where we only need the sign of the score, not bit-perfect arithmetic.</w:t>
            </w:r>
          </w:p>
        </w:tc>
      </w:tr>
    </w:tbl>
    <w:p>
      <w:pPr>
        <w:spacing w:after="80" w:before="200"/>
      </w:pPr>
    </w:p>
    <w:p>
      <w:pPr>
        <w:pStyle w:val="Heading3"/>
        <w:spacing w:after="100" w:before="200"/>
      </w:pPr>
      <w:r>
        <w:rPr>
          <w:rFonts w:ascii="Arial" w:cs="Arial" w:eastAsia="Arial" w:hAnsi="Arial"/>
          <w:b/>
          <w:bCs/>
          <w:color w:val="2563EB"/>
          <w:sz w:val="24"/>
          <w:szCs w:val="24"/>
        </w:rPr>
        <w:t xml:space="preserve">1.2 The Noise Budget: Why Multiplication Consumes It</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Think of the noise budget like a roll of paper towels. Every operation you do is messy and uses some. Addition is tidy — it uses almost none. But multiplication is like cooking with grease — it makes a huge mess and burns through paper towels fast. If you run out (noise budget = 0), the "mess" (noise) corrupts the signal so badly that decryption gives you garbage.</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In CKKS, every ciphertext (c0, c1) satisfies: c0 + c1·s ≡ Δ·m + e (mod q) where s is the secret key, Δ is the scale factor, m is the plaintext, and e is the noise term. Addition adds noise terms: e_new = e1 + e2 — small growth. Multiplication produces noise proportional to e1·e2 + e1·m2·Δ + e2·m1·Δ — the quadratic cross-terms cause the noise to grow multiplicatively, roughly doubling per multiplication. invariant_noise_budget() measures log2(q / ||e||) in bits. When this reaches 0, decryption fails.</w:t>
      </w:r>
    </w:p>
    <w:p>
      <w:pPr>
        <w:spacing w:after="100" w:before="80" w:line="276"/>
      </w:pPr>
      <w:r>
        <w:rPr>
          <w:rFonts w:ascii="Arial" w:cs="Arial" w:eastAsia="Arial" w:hAnsi="Arial"/>
          <w:b w:val="false"/>
          <w:bCs w:val="false"/>
          <w:i w:val="false"/>
          <w:iCs w:val="false"/>
          <w:color w:val="374151"/>
          <w:sz w:val="20"/>
          <w:szCs w:val="20"/>
        </w:rPr>
        <w:t xml:space="preserve">In our system: coeff_modulus = {60, 40, 40, 60} (200 bits). After multiply_plain + rescale_to_next, we drop the 40-bit middle prime, landing on the second level (~40 bits of remaining noise budget). The smoke_test gate enforces this empirically.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The noise budget measures how much margin remains before decryption fails. Addition grows noise linearly, but multiplication grows it quadratically — specifically, multiply_plain approximately doubles the noise magnitude and consumes one level of the modulus ladder. In our Depth-1 circuit with coeff_modulus {60, 40, 40, 60}, we consume exactly one 40-bit prime after multiply_plain + rescale_to_next, leaving a healthy residual budget. The smoke_test gate enforces this empirically.</w:t>
            </w:r>
          </w:p>
        </w:tc>
      </w:tr>
    </w:tbl>
    <w:p>
      <w:pPr>
        <w:spacing w:after="80" w:before="200"/>
      </w:pPr>
    </w:p>
    <w:p>
      <w:pPr>
        <w:pStyle w:val="Heading3"/>
        <w:spacing w:after="100" w:before="200"/>
      </w:pPr>
      <w:r>
        <w:rPr>
          <w:rFonts w:ascii="Arial" w:cs="Arial" w:eastAsia="Arial" w:hAnsi="Arial"/>
          <w:b/>
          <w:bCs/>
          <w:color w:val="2563EB"/>
          <w:sz w:val="24"/>
          <w:szCs w:val="24"/>
        </w:rPr>
        <w:t xml:space="preserve">1.3 The Scale &amp; Rescaling: Why 2^40? What Does rescale_to_next Do?</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We scale everything up by 2^40 before encrypting, so 0.75 becomes a huge integer 0.75 × 2^40. When you multiply two scaled numbers, you get a result scaled by 2^80 — both scales multiply together. That's too big; the polynomial coefficients overflow their budget. Rescaling is dividing by 2^40 to bring the scale back down. It's the HE equivalent of re-normalising a floating-point intermediate result.</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Before encryption, a real vector m is mapped to a polynomial with coefficients round(Δ · m_i) where Δ = 2^40. After multiply_plain(ct_input, pt_weights), the ciphertext has scale Δ² = 2^80. rescale_to_next_inplace(ct) divides the polynomial coefficients by the current dropped prime (~2^40), bringing the scale back to approximately 2^40. Simultaneously, it drops one prime from the modulus chain — parms_id changes from first_parms_id to second_parms_id. This is why the spec stores second_parms_id at context initialization. We chose 2^40 because it provides ~12 decimal digits of precision while leaving room for at least one multiplication level given our 200-bit modulus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We encode all values at scale 2^40, so multiplication produces intermediate results at scale 2^80. rescale_to_next divides the ciphertext polynomial by one of the modulus chain primes (~2^40), restoring the scale to approximately 2^40 while simultaneously dropping one level from the modulus ladder. We chose 2^40 because it provides 12 significant decimal digits of precision — sufficient for ML inference — while leaving room for at least one multiplication level given our 200-bit coeff_modulus budget.</w:t>
            </w:r>
          </w:p>
        </w:tc>
      </w:tr>
    </w:tbl>
    <w:p>
      <w:pPr>
        <w:spacing w:after="80" w:before="200"/>
      </w:pPr>
    </w:p>
    <w:p>
      <w:pPr>
        <w:pStyle w:val="Heading3"/>
        <w:spacing w:after="100" w:before="200"/>
      </w:pPr>
      <w:r>
        <w:rPr>
          <w:rFonts w:ascii="Arial" w:cs="Arial" w:eastAsia="Arial" w:hAnsi="Arial"/>
          <w:b/>
          <w:bCs/>
          <w:color w:val="2563EB"/>
          <w:sz w:val="24"/>
          <w:szCs w:val="24"/>
        </w:rPr>
        <w:t xml:space="preserve">1.4 SIMD &amp; Batching: The Slot Concept and Why n=8192</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Think of a CKKS ciphertext as a train with n/2 seats. Instead of encrypting one number per trip, you fill every seat. With n=8192, one ciphertext carries 4096 numbers simultaneously. A single crypto operation performs 4096 additions or multiplications at once — true SIMD for homomorphic encryption. In our system: 16 transactions × 256 features = 4096 numbers — exactly filling one ciphertext. One multiply_plain computes the dot product for all 16 transactions simultaneously.</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CKKS uses the CRT/FFT isomorphism: Z[x]/(x^n + 1) ≅ C^(n/2) when n is a power of 2. This maps n/2 complex numbers into the coefficients of a single degree-n polynomial. With n=8192, we get n/2 = 4096 slots. Three constraints fix n=8192: (1) Security: LWE hardness requires n ≥ 8192 for 128-bit security with our 200-bit modulus. (2) Capacity: 16×256 = 4096 slots fits exactly. (3) Latency: Ciphertext size scales as O(n log q). n=8192 gives ~384 KB. n=16384 (Degree-2) gives ~2 MB — a 5× increase breaking the 10 ms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CKKS uses the CRT isomorphism to pack n/2 real values into a single ciphertext, enabling data-parallel computation. With n=8192, we get 4096 slots, which perfectly accommodates 16 transactions × 256 features. A single multiply_plain computes all 16 dot products simultaneously in one NTT operation. We chose n=8192 because it is the minimum value satisfying both the 4096-slot capacity requirement and the 128-bit classical security level for our 200-bit coeff_modulus.</w:t>
            </w:r>
          </w:p>
        </w:tc>
      </w:tr>
    </w:tbl>
    <w:p>
      <w:pPr>
        <w:spacing w:after="80" w:before="200"/>
      </w:pPr>
    </w:p>
    <w:p>
      <w:pPr>
        <w:pStyle w:val="Heading3"/>
        <w:spacing w:after="100" w:before="200"/>
      </w:pPr>
      <w:r>
        <w:rPr>
          <w:rFonts w:ascii="Arial" w:cs="Arial" w:eastAsia="Arial" w:hAnsi="Arial"/>
          <w:b/>
          <w:bCs/>
          <w:color w:val="2563EB"/>
          <w:sz w:val="24"/>
          <w:szCs w:val="24"/>
        </w:rPr>
        <w:t xml:space="preserve">1.5 Galois Keys &amp; Rotations: The Difference and Why Restricted Keys</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Imagine the 4096 slots in a circle. An addition adds slot-by-slot in place — no movement. A rotation by 1 is like rotating a lazy Susan — slot[0] gets slot[1]'s value, slot[1] gets slot[2]'s, etc. To rotate an encrypted array you need a "permission slip" — a Galois key — for each step size. Getting permission for every possible step (1 through 4095) generates huge key files. We only need rotations by {1, 2, 4, 8, 16, 32, 64, 128} for our 8-step tree-sum — so we get only 8 permission slips instead of 4095.</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In the polynomial ring Z[x]/(x^n + 1), a cyclic rotation of the plaintext slots by k positions corresponds to applying the automorphism x → x^(5^k mod 2n). To evaluate this automorphism on a ciphertext, you need a Galois key (key-switching key) for that specific step. keygen.create_galois_keys({1,2,4,8,16,32,64,128}, galois_keys) generates exactly 8 such keys. The restricted key set achieves the tree-sum reduction: to sum 256 values in slots [0..255], we perform 8 rotate-and-add operations (log₂(256) = 8 steps). After all 8 operations, slot[0] holds the sum of all 256 original values — for all 16 transaction lanes simultaneously.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A rotation permutes the slot values cyclically and requires a pre-generated Galois key for each step size; it has the same O(n log q) cost as an addition in NTT representation. We use a restricted key set of 8 powers-of-2 — {1, 2, 4, 8, 16, 32, 64, 128} — sufficient for the log₂(256)=8-step binary tree-sum. This reduces key material from 4095 keys to 8 keys (~30 MB total) while achieving the same reduction.</w:t>
            </w:r>
          </w:p>
        </w:tc>
      </w:tr>
    </w:tbl>
    <w:p>
      <w:pPr>
        <w:pageBreakBefore/>
        <w:spacing w:after="0" w:before="0"/>
      </w:pPr>
    </w:p>
    <w:p>
      <w:pPr>
        <w:pStyle w:val="Heading2"/>
        <w:spacing w:after="120" w:before="240"/>
      </w:pPr>
      <w:r>
        <w:rPr>
          <w:rFonts w:ascii="Arial" w:cs="Arial" w:eastAsia="Arial" w:hAnsi="Arial"/>
          <w:b/>
          <w:bCs/>
          <w:color w:val="1A2B4A"/>
          <w:sz w:val="28"/>
          <w:szCs w:val="28"/>
        </w:rPr>
        <w:t xml:space="preserve">MODULE 2: THE ML-CRYPTO BRIDGE (THE LOGIC)</w:t>
      </w:r>
    </w:p>
    <w:p>
      <w:pPr>
        <w:spacing w:after="100" w:before="80" w:line="276"/>
      </w:pPr>
      <w:r>
        <w:rPr>
          <w:rFonts w:ascii="Arial" w:cs="Arial" w:eastAsia="Arial" w:hAnsi="Arial"/>
          <w:b w:val="false"/>
          <w:bCs w:val="false"/>
          <w:i/>
          <w:iCs/>
          <w:color w:val="6B7280"/>
          <w:sz w:val="20"/>
          <w:szCs w:val="20"/>
        </w:rPr>
        <w:t xml:space="preserve">This module explains the reasoning connecting ML design decisions to cryptographic constraints. This is where most interviewers probe for depth.</w:t>
      </w:r>
    </w:p>
    <w:p>
      <w:pPr>
        <w:spacing w:after="80" w:before="200"/>
      </w:pPr>
    </w:p>
    <w:p>
      <w:pPr>
        <w:pStyle w:val="Heading3"/>
        <w:spacing w:after="100" w:before="200"/>
      </w:pPr>
      <w:r>
        <w:rPr>
          <w:rFonts w:ascii="Arial" w:cs="Arial" w:eastAsia="Arial" w:hAnsi="Arial"/>
          <w:b/>
          <w:bCs/>
          <w:color w:val="2563EB"/>
          <w:sz w:val="24"/>
          <w:szCs w:val="24"/>
        </w:rPr>
        <w:t xml:space="preserve">2.1 The Linearization Trade-off: Why Linearize GBDTs?</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A Gradient Boosted Decision Tree is a flowchart — at each node it asks a yes/no question: "Is this feature &gt; threshold?" That's an if-statement. You cannot evaluate an if-statement on encrypted data, because the server would need to see the plaintext to know which branch to take. So we "linearize" the tree — converting the entire ensemble into one flat equation: score = w1·x1 + w2·x2 + ... + w256·x256 + bias. This is a polynomial of degree 1 — one multiplication. The cheapest possible HE circuit.</w:t>
      </w:r>
    </w:p>
    <w:p>
      <w:pPr>
        <w:pStyle w:val="Heading4"/>
        <w:spacing w:after="80" w:before="160"/>
      </w:pPr>
      <w:r>
        <w:rPr>
          <w:rFonts w:ascii="Arial" w:cs="Arial" w:eastAsia="Arial" w:hAnsi="Arial"/>
          <w:b/>
          <w:bCs/>
          <w:color w:val="374151"/>
          <w:sz w:val="22"/>
          <w:szCs w:val="22"/>
        </w:rPr>
        <w:t xml:space="preserve">The Chain: Multiplicative Depth → Parameter Size → Ciphertext Size →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360"/>
      </w:tblGrid>
      <w:tr>
        <w:trPr>
          <w:tblHeader/>
        </w:trPr>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Depth</w:t>
            </w:r>
          </w:p>
        </w:tc>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n required</w:t>
            </w:r>
          </w:p>
        </w:tc>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Ciphertext Size</w:t>
            </w:r>
          </w:p>
        </w:tc>
        <w:tc>
          <w:tcPr>
            <w:tcW w:type="dxa" w:w="33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Estimated Latency</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Depth-1 (1 multiply)</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8,192</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~384 KB</w:t>
            </w:r>
          </w:p>
        </w:tc>
        <w:tc>
          <w:tcPr>
            <w:tcW w:type="dxa" w:w="3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&lt;10 ms ✅</w:t>
            </w:r>
          </w:p>
        </w:tc>
      </w:tr>
      <w:tr>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Depth-2 (2 multiplies)</w:t>
            </w:r>
          </w:p>
        </w:tc>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16,384</w:t>
            </w:r>
          </w:p>
        </w:tc>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~2 MB</w:t>
            </w:r>
          </w:p>
        </w:tc>
        <w:tc>
          <w:tcPr>
            <w:tcW w:type="dxa" w:w="33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~40 ms</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Depth-3 (3 multiplies)</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32,768</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~8 MB</w:t>
            </w:r>
          </w:p>
        </w:tc>
        <w:tc>
          <w:tcPr>
            <w:tcW w:type="dxa" w:w="3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&gt;200 ms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Decision tree branching is non-programmable in homomorphic encryption because it requires comparing encrypted values, which is exponentially expensive. We extract a linear approximation via SHAP-importance feature selection and least-squares fitting, reducing the HE circuit to a single multiply_plain. This is optimal: Depth-1 allows n=8192 (384 KB ciphertexts, &lt;10ms), while Depth-2 forces n=16384 (2 MB ciphertexts, ~40ms). The AUC cost of linearization — 0.04 on the IEEE-CIS dataset — is our primary research contribution.</w:t>
            </w:r>
          </w:p>
        </w:tc>
      </w:tr>
    </w:tbl>
    <w:p>
      <w:pPr>
        <w:spacing w:after="80" w:before="200"/>
      </w:pPr>
    </w:p>
    <w:p>
      <w:pPr>
        <w:pStyle w:val="Heading3"/>
        <w:spacing w:after="100" w:before="200"/>
      </w:pPr>
      <w:r>
        <w:rPr>
          <w:rFonts w:ascii="Arial" w:cs="Arial" w:eastAsia="Arial" w:hAnsi="Arial"/>
          <w:b/>
          <w:bCs/>
          <w:color w:val="2563EB"/>
          <w:sz w:val="24"/>
          <w:szCs w:val="24"/>
        </w:rPr>
        <w:t xml:space="preserve">2.2 The AUC vs. Latency Curve: Justifying the 0.04 AUC Drop</w:t>
      </w:r>
    </w:p>
    <w:p>
      <w:pPr>
        <w:spacing w:after="100" w:before="80" w:line="276"/>
      </w:pPr>
      <w:r>
        <w:rPr>
          <w:rFonts w:ascii="Arial" w:cs="Arial" w:eastAsia="Arial" w:hAnsi="Arial"/>
          <w:b w:val="false"/>
          <w:bCs w:val="false"/>
          <w:i w:val="false"/>
          <w:iCs w:val="false"/>
          <w:color w:val="374151"/>
          <w:sz w:val="20"/>
          <w:szCs w:val="20"/>
        </w:rPr>
        <w:t xml:space="preserve">We go from XGBoost AUC ~0.98 to linearized AUC ~0.94 — a 4% relative drop. This is justified on three angles:</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Regulatory argument: Sending raw transaction data to the vendor violates GDPR and PCI-DSS and creates a single-point data breach risk. A 4% AUC drop is the price of privacy.</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Operational AUC is barely affected: AUC measures performance across all thresholds. At the actual operating threshold (e.g., top 1% flagged for review), the precision/recall difference is typically 1–2 percentage points. The roc_comparison.pdf artifact makes this visible.</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The alternative costs more: The Degree-2 fallback recovers AUC to ~0.96 but costs 4× the latency and 5× the ciphertext size, requiring proportionally more vendor compute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The 0.04 AUC reduction is the fundamental privacy-performance trade-off of our system. We justify it on three grounds: first, sending plaintext to the vendor is legally impermissible under PCI-DSS and GDPR; second, operational precision/recall at the deployment threshold degrades less than 2%; and third, the next alternative — a Degree-2 polynomial approximation — recovers only 0.02 AUC while increasing latency 4× and ciphertext size 5×. The ROC comparison curves in our research artifacts make this trade-off quantitatively explicit.</w:t>
            </w:r>
          </w:p>
        </w:tc>
      </w:tr>
    </w:tbl>
    <w:p>
      <w:pPr>
        <w:spacing w:after="80" w:before="200"/>
      </w:pPr>
    </w:p>
    <w:p>
      <w:pPr>
        <w:pStyle w:val="Heading3"/>
        <w:spacing w:after="100" w:before="200"/>
      </w:pPr>
      <w:r>
        <w:rPr>
          <w:rFonts w:ascii="Arial" w:cs="Arial" w:eastAsia="Arial" w:hAnsi="Arial"/>
          <w:b/>
          <w:bCs/>
          <w:color w:val="2563EB"/>
          <w:sz w:val="24"/>
          <w:szCs w:val="24"/>
        </w:rPr>
        <w:t xml:space="preserve">2.3 The Depth-1 Thesis: Why "Depth-1" is the Magic Number?</w:t>
      </w:r>
    </w:p>
    <w:p>
      <w:pPr>
        <w:spacing w:after="100" w:before="80" w:line="276"/>
      </w:pPr>
      <w:r>
        <w:rPr>
          <w:rFonts w:ascii="Arial" w:cs="Arial" w:eastAsia="Arial" w:hAnsi="Arial"/>
          <w:b w:val="false"/>
          <w:bCs w:val="false"/>
          <w:i w:val="false"/>
          <w:iCs w:val="false"/>
          <w:color w:val="374151"/>
          <w:sz w:val="20"/>
          <w:szCs w:val="20"/>
        </w:rPr>
        <w:t xml:space="preserve">Depth-1 is the theoretical minimum for any linear inference circuit — you need at least one multiplication to apply model weights. Any model requiring depth 2 (polynomial, interaction terms, neural layer) forces a parameter upgrade. We designed the linearization process specifically to stay at depth 1.</w:t>
      </w:r>
    </w:p>
    <w:p>
      <w:pPr>
        <w:pStyle w:val="Heading4"/>
        <w:spacing w:after="80" w:before="160"/>
      </w:pPr>
      <w:r>
        <w:rPr>
          <w:rFonts w:ascii="Arial" w:cs="Arial" w:eastAsia="Arial" w:hAnsi="Arial"/>
          <w:b/>
          <w:bCs/>
          <w:color w:val="374151"/>
          <w:sz w:val="22"/>
          <w:szCs w:val="22"/>
        </w:rPr>
        <w:t xml:space="preserve">What Happens If Depth Increases to 3?</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Depth-3 requires coeff_modulus with ≥5 primes: {60, 40, 40, 40, 60} = 240 bits total.</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To maintain 128-bit LWE security with 240-bit modulus, n must increase to 16,384.</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Ciphertext size: ~1 MB (vs 384 KB) — 2.6× increase.</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Each NTT now operates on 16,384 coefficients instead of 8,192 — each NTT is ~2× slower.</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hoisted_tree_sum now needs 9 rotations (log₂(512)) if features increase, or 8 at higher per-NTT cost.</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End-to-end latency estimate: 150–300 ms — far outside the 15 ms client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Depth-1 is the theoretical minimum for any linear inference circuit — you need at least one scalar multiplication to apply model weights. Our linearization process is designed to produce a model expressible as a single multiply_plain followed by a tree-sum of additions. Increasing depth to 3 would require n=16384 (security constraint), increasing ciphertext size from 384 KB to ~1 MB and NTT cost ~4×, pushing end-to-end latency above 150 ms. We treat depth-1 as a hard system constraint, not a goal.</w:t>
            </w:r>
          </w:p>
        </w:tc>
      </w:tr>
    </w:tbl>
    <w:p>
      <w:pPr>
        <w:pageBreakBefore/>
        <w:spacing w:after="0" w:before="0"/>
      </w:pPr>
    </w:p>
    <w:p>
      <w:pPr>
        <w:pStyle w:val="Heading2"/>
        <w:spacing w:after="120" w:before="240"/>
      </w:pPr>
      <w:r>
        <w:rPr>
          <w:rFonts w:ascii="Arial" w:cs="Arial" w:eastAsia="Arial" w:hAnsi="Arial"/>
          <w:b/>
          <w:bCs/>
          <w:color w:val="1A2B4A"/>
          <w:sz w:val="28"/>
          <w:szCs w:val="28"/>
        </w:rPr>
        <w:t xml:space="preserve">MODULE 3: THE SYSTEMS ARCHITECTURE (THE ENGINEERING)</w:t>
      </w:r>
    </w:p>
    <w:p>
      <w:pPr>
        <w:spacing w:after="100" w:before="80" w:line="276"/>
      </w:pPr>
      <w:r>
        <w:rPr>
          <w:rFonts w:ascii="Arial" w:cs="Arial" w:eastAsia="Arial" w:hAnsi="Arial"/>
          <w:b w:val="false"/>
          <w:bCs w:val="false"/>
          <w:i/>
          <w:iCs/>
          <w:color w:val="6B7280"/>
          <w:sz w:val="20"/>
          <w:szCs w:val="20"/>
        </w:rPr>
        <w:t xml:space="preserve">This module distinguishes a systems engineer from a programmer. Every design decision in the spec has a reason. Know the reason.</w:t>
      </w:r>
    </w:p>
    <w:p>
      <w:pPr>
        <w:spacing w:after="80" w:before="200"/>
      </w:pPr>
    </w:p>
    <w:p>
      <w:pPr>
        <w:pStyle w:val="Heading3"/>
        <w:spacing w:after="100" w:before="200"/>
      </w:pPr>
      <w:r>
        <w:rPr>
          <w:rFonts w:ascii="Arial" w:cs="Arial" w:eastAsia="Arial" w:hAnsi="Arial"/>
          <w:b/>
          <w:bCs/>
          <w:color w:val="2563EB"/>
          <w:sz w:val="24"/>
          <w:szCs w:val="24"/>
        </w:rPr>
        <w:t xml:space="preserve">3.1 The gRPC Choice: Why gRPC/Protobuf Over REST/JSON?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Criterion</w:t>
            </w:r>
          </w:p>
        </w:tc>
        <w:tc>
          <w:tcPr>
            <w:tcW w:type="dxa" w:w="3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REST/JSON</w:t>
            </w:r>
          </w:p>
        </w:tc>
        <w:tc>
          <w:tcPr>
            <w:tcW w:type="dxa" w:w="39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gRPC/Protobuf</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Binary encoding for 384 KB blob</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Base64: 512 KB payload (+33% overhead)</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Raw bytes: 384 KB — zero encoding overhead</w:t>
            </w:r>
          </w:p>
        </w:tc>
      </w:tr>
      <w:tr>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Parsing cost</w:t>
            </w:r>
          </w:p>
        </w:tc>
        <w:tc>
          <w:tcPr>
            <w:tcW w:type="dxa" w:w="3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UTF-8 text parser + JSON tokeniser + key-value lookup</w:t>
            </w:r>
          </w:p>
        </w:tc>
        <w:tc>
          <w:tcPr>
            <w:tcW w:type="dxa" w:w="39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Length-prefix + raw memcpy — trivial</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API contract enforcement</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Runtime (schema drift undetected at compile)</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Compile-time (protoc generates type-safe stubs)</w:t>
            </w:r>
          </w:p>
        </w:tc>
      </w:tr>
      <w:tr>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Transport</w:t>
            </w:r>
          </w:p>
        </w:tc>
        <w:tc>
          <w:tcPr>
            <w:tcW w:type="dxa" w:w="3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HTTP/1.1 (one request per TCP connection)</w:t>
            </w:r>
          </w:p>
        </w:tc>
        <w:tc>
          <w:tcPr>
            <w:tcW w:type="dxa" w:w="39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HTTP/2 (multiplexed streams over one connection)</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Code generation</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Manual (swagger/OpenAPI, error-prone)</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Automatic (protoc from single .proto source)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gRPC with Protobuf is the correct choice for transferring 384 KB binary ciphertexts because Protobuf's bytes type requires zero encoding overhead — it serializes as a length prefix plus raw bytes. REST/JSON would require Base64 encoding, inflating the payload 33% to ~512 KB and adding CPU cost for encode/decode. Additionally, gRPC's generated stubs enforce the API contract at compile time, preventing the runtime type mismatches that plague JSON-based APIs.</w:t>
            </w:r>
          </w:p>
        </w:tc>
      </w:tr>
    </w:tbl>
    <w:p>
      <w:pPr>
        <w:spacing w:after="80" w:before="200"/>
      </w:pPr>
    </w:p>
    <w:p>
      <w:pPr>
        <w:pStyle w:val="Heading3"/>
        <w:spacing w:after="100" w:before="200"/>
      </w:pPr>
      <w:r>
        <w:rPr>
          <w:rFonts w:ascii="Arial" w:cs="Arial" w:eastAsia="Arial" w:hAnsi="Arial"/>
          <w:b/>
          <w:bCs/>
          <w:color w:val="2563EB"/>
          <w:sz w:val="24"/>
          <w:szCs w:val="24"/>
        </w:rPr>
        <w:t xml:space="preserve">3.2 The Pybind11 Boundary: Cost and Zero-Copy Buffer Strategy</w:t>
      </w:r>
    </w:p>
    <w:p>
      <w:pPr>
        <w:spacing w:after="100" w:before="80" w:line="276"/>
      </w:pPr>
      <w:r>
        <w:rPr>
          <w:rFonts w:ascii="Arial" w:cs="Arial" w:eastAsia="Arial" w:hAnsi="Arial"/>
          <w:b w:val="false"/>
          <w:bCs w:val="false"/>
          <w:i w:val="false"/>
          <w:iCs w:val="false"/>
          <w:color w:val="374151"/>
          <w:sz w:val="20"/>
          <w:szCs w:val="20"/>
        </w:rPr>
        <w:t xml:space="preserve">Naïvely crossing the Python-C++ boundary means copying data. For a 4096-element array (32 KB) this is manageable; for a 384 KB ciphertext result, unnecessary copies matter.</w:t>
      </w:r>
    </w:p>
    <w:p>
      <w:pPr>
        <w:pStyle w:val="Heading4"/>
        <w:spacing w:after="80" w:before="160"/>
      </w:pPr>
      <w:r>
        <w:rPr>
          <w:rFonts w:ascii="Arial" w:cs="Arial" w:eastAsia="Arial" w:hAnsi="Arial"/>
          <w:b/>
          <w:bCs/>
          <w:color w:val="374151"/>
          <w:sz w:val="22"/>
          <w:szCs w:val="22"/>
        </w:rPr>
        <w:t xml:space="preserve">The Zero-Copy Protocol — Input side (numpy → C++)</w:t>
      </w:r>
    </w:p>
    <w:p>
      <w:pPr>
        <w:shd w:fill="F3F4F6" w:val="clear"/>
        <w:spacing w:after="60" w:before="60"/>
      </w:pPr>
      <w:r>
        <w:rPr>
          <w:rFonts w:ascii="Courier New" w:cs="Courier New" w:eastAsia="Courier New" w:hAnsi="Courier New"/>
          <w:color w:val="1F2937"/>
          <w:sz w:val="17"/>
          <w:szCs w:val="17"/>
        </w:rPr>
        <w:t xml:space="preserve">py::buffer_info buf = features.request();</w:t>
      </w:r>
    </w:p>
    <w:p>
      <w:pPr>
        <w:shd w:fill="F3F4F6" w:val="clear"/>
        <w:spacing w:after="60" w:before="60"/>
      </w:pPr>
      <w:r>
        <w:rPr>
          <w:rFonts w:ascii="Courier New" w:cs="Courier New" w:eastAsia="Courier New" w:hAnsi="Courier New"/>
          <w:color w:val="1F2937"/>
          <w:sz w:val="17"/>
          <w:szCs w:val="17"/>
        </w:rPr>
        <w:t xml:space="preserve">const double* data_ptr = static_cast&lt;const double*&gt;(buf.ptr); // raw pointer into numpy memory</w:t>
      </w:r>
    </w:p>
    <w:p>
      <w:pPr>
        <w:spacing w:after="100" w:before="80" w:line="276"/>
      </w:pPr>
      <w:r>
        <w:rPr>
          <w:rFonts w:ascii="Arial" w:cs="Arial" w:eastAsia="Arial" w:hAnsi="Arial"/>
          <w:b w:val="false"/>
          <w:bCs w:val="false"/>
          <w:i w:val="false"/>
          <w:iCs w:val="false"/>
          <w:color w:val="374151"/>
          <w:sz w:val="20"/>
          <w:szCs w:val="20"/>
        </w:rPr>
        <w:t xml:space="preserve">This gives C++ a raw pointer into the numpy array — no copy. The subsequent std::vector&lt;double&gt; construction is a one-time 32 KB copy, unavoidable because CKKSEncoder::encode() requires a vector. The spec acknowledges and explicitly documents this.</w:t>
      </w:r>
    </w:p>
    <w:p>
      <w:pPr>
        <w:pStyle w:val="Heading4"/>
        <w:spacing w:after="80" w:before="160"/>
      </w:pPr>
      <w:r>
        <w:rPr>
          <w:rFonts w:ascii="Arial" w:cs="Arial" w:eastAsia="Arial" w:hAnsi="Arial"/>
          <w:b/>
          <w:bCs/>
          <w:color w:val="374151"/>
          <w:sz w:val="22"/>
          <w:szCs w:val="22"/>
        </w:rPr>
        <w:t xml:space="preserve">The Zero-Copy Protocol — Output side (C++ → Python)</w:t>
      </w:r>
    </w:p>
    <w:p>
      <w:pPr>
        <w:shd w:fill="F3F4F6" w:val="clear"/>
        <w:spacing w:after="60" w:before="60"/>
      </w:pPr>
      <w:r>
        <w:rPr>
          <w:rFonts w:ascii="Courier New" w:cs="Courier New" w:eastAsia="Courier New" w:hAnsi="Courier New"/>
          <w:color w:val="1F2937"/>
          <w:sz w:val="17"/>
          <w:szCs w:val="17"/>
        </w:rPr>
        <w:t xml:space="preserve">const std::size_t ct_size = ct.save_size(seal::compr_mode_type::none);</w:t>
      </w:r>
    </w:p>
    <w:p>
      <w:pPr>
        <w:shd w:fill="F3F4F6" w:val="clear"/>
        <w:spacing w:after="60" w:before="60"/>
      </w:pPr>
      <w:r>
        <w:rPr>
          <w:rFonts w:ascii="Courier New" w:cs="Courier New" w:eastAsia="Courier New" w:hAnsi="Courier New"/>
          <w:color w:val="1F2937"/>
          <w:sz w:val="17"/>
          <w:szCs w:val="17"/>
        </w:rPr>
        <w:t xml:space="preserve">py::bytes result = py::reinterpret_steal&lt;py::bytes&gt;(PyBytes_FromStringAndSize(nullptr, ct_size));</w:t>
      </w:r>
    </w:p>
    <w:p>
      <w:pPr>
        <w:shd w:fill="F3F4F6" w:val="clear"/>
        <w:spacing w:after="60" w:before="60"/>
      </w:pPr>
      <w:r>
        <w:rPr>
          <w:rFonts w:ascii="Courier New" w:cs="Courier New" w:eastAsia="Courier New" w:hAnsi="Courier New"/>
          <w:color w:val="1F2937"/>
          <w:sz w:val="17"/>
          <w:szCs w:val="17"/>
        </w:rPr>
        <w:t xml:space="preserve">ct.save(PyBytes_AS_STRING(result.ptr()), ct_size, seal::compr_mode_type::none);</w:t>
      </w:r>
    </w:p>
    <w:p>
      <w:pPr>
        <w:spacing w:after="100" w:before="80" w:line="276"/>
      </w:pPr>
      <w:r>
        <w:rPr>
          <w:rFonts w:ascii="Arial" w:cs="Arial" w:eastAsia="Arial" w:hAnsi="Arial"/>
          <w:b w:val="false"/>
          <w:bCs w:val="false"/>
          <w:i w:val="false"/>
          <w:iCs w:val="false"/>
          <w:color w:val="374151"/>
          <w:sz w:val="20"/>
          <w:szCs w:val="20"/>
        </w:rPr>
        <w:t xml:space="preserve">SEAL serializes the ciphertext directly into the pre-allocated Python bytes object. No intermediate std::string, no second allocation. Total: 3 allocations, 0 redundant copies of the 384 KB ciphertext.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The Pybind11 boundary presents two risks: redundant copies of the 384 KB ciphertext, and GIL contention. We use the pybind11 buffer protocol to obtain a zero-copy pointer into the numpy array for input, and serialize the output SEAL ciphertext directly into a pre-allocated Python bytes object using PyBytes_FromStringAndSize. This reduces the ciphertext copy count from 5 (the naive stringstream path) to 0 redundant copies, saving approximately 1 ms of serialization latency per inference.</w:t>
            </w:r>
          </w:p>
        </w:tc>
      </w:tr>
    </w:tbl>
    <w:p>
      <w:pPr>
        <w:spacing w:after="80" w:before="200"/>
      </w:pPr>
    </w:p>
    <w:p>
      <w:pPr>
        <w:pStyle w:val="Heading3"/>
        <w:spacing w:after="100" w:before="200"/>
      </w:pPr>
      <w:r>
        <w:rPr>
          <w:rFonts w:ascii="Arial" w:cs="Arial" w:eastAsia="Arial" w:hAnsi="Arial"/>
          <w:b/>
          <w:bCs/>
          <w:color w:val="2563EB"/>
          <w:sz w:val="24"/>
          <w:szCs w:val="24"/>
        </w:rPr>
        <w:t xml:space="preserve">3.3 Rotation Hoisting: "Decompose-once, Apply-many" and the 6× Speedup</w:t>
      </w:r>
    </w:p>
    <w:p>
      <w:pPr>
        <w:spacing w:after="100" w:before="80" w:line="276"/>
      </w:pPr>
      <w:r>
        <w:rPr>
          <w:rFonts w:ascii="Arial" w:cs="Arial" w:eastAsia="Arial" w:hAnsi="Arial"/>
          <w:b w:val="false"/>
          <w:bCs w:val="false"/>
          <w:i w:val="false"/>
          <w:iCs w:val="false"/>
          <w:color w:val="374151"/>
          <w:sz w:val="20"/>
          <w:szCs w:val="20"/>
        </w:rPr>
        <w:t xml:space="preserve">To sum 256 values using a binary tree approach, you perform 8 rotate-and-add operations (log₂(256) = 8 steps). The naive approach rotates by every step from 1 to 255 — 255 operations, each requiring a Galois key. Our approach uses only the 8 power-of-2 step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000"/>
        <w:gridCol w:w="1760"/>
        <w:gridCol w:w="1600"/>
      </w:tblGrid>
      <w:tr>
        <w:trPr>
          <w:tblHeader/>
        </w:trPr>
        <w:tc>
          <w:tcPr>
            <w:tcW w:type="dxa" w:w="25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Approach</w:t>
            </w:r>
          </w:p>
        </w:tc>
        <w:tc>
          <w:tcPr>
            <w:tcW w:type="dxa" w:w="25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Rotation Steps</w:t>
            </w:r>
          </w:p>
        </w:tc>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Galois Keys Required</w:t>
            </w:r>
          </w:p>
        </w:tc>
        <w:tc>
          <w:tcPr>
            <w:tcW w:type="dxa" w:w="17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NTT Operations</w:t>
            </w:r>
          </w:p>
        </w:tc>
        <w:tc>
          <w:tcPr>
            <w:tcW w:type="dxa" w:w="16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Key Storage</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Naive (naive_tree_sum)</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Steps 1 through 255</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255 keys</w:t>
            </w:r>
          </w:p>
        </w:tc>
        <w:tc>
          <w:tcPr>
            <w:tcW w:type="dxa" w:w="1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~255 NTTs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Multiple GB</w:t>
            </w:r>
          </w:p>
        </w:tc>
      </w:tr>
      <w:tr>
        <w:tc>
          <w:tcPr>
            <w:tcW w:type="dxa" w:w="2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Hoisted (hoisted_tree_sum)</w:t>
            </w:r>
          </w:p>
        </w:tc>
        <w:tc>
          <w:tcPr>
            <w:tcW w:type="dxa" w:w="2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Steps {1,2,4,8,16,32,64,128}</w:t>
            </w:r>
          </w:p>
        </w:tc>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8 keys</w:t>
            </w:r>
          </w:p>
        </w:tc>
        <w:tc>
          <w:tcPr>
            <w:tcW w:type="dxa" w:w="17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8 NTTs</w:t>
            </w:r>
          </w:p>
        </w:tc>
        <w:tc>
          <w:tcPr>
            <w:tcW w:type="dxa" w:w="16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~30 MB</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Speedup ratio</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32×</w:t>
            </w:r>
          </w:p>
        </w:tc>
        <w:tc>
          <w:tcPr>
            <w:tcW w:type="dxa" w:w="1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~6× measured</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~90% reduction</w:t>
            </w:r>
          </w:p>
        </w:tc>
      </w:tr>
    </w:tbl>
    <w:p>
      <w:pPr>
        <w:spacing w:after="80" w:before="120"/>
      </w:pPr>
    </w:p>
    <w:p>
      <w:pPr>
        <w:spacing w:after="100" w:before="80" w:line="276"/>
      </w:pPr>
      <w:r>
        <w:rPr>
          <w:rFonts w:ascii="Arial" w:cs="Arial" w:eastAsia="Arial" w:hAnsi="Arial"/>
          <w:b w:val="false"/>
          <w:bCs w:val="false"/>
          <w:i w:val="false"/>
          <w:iCs w:val="false"/>
          <w:color w:val="374151"/>
          <w:sz w:val="20"/>
          <w:szCs w:val="20"/>
        </w:rPr>
        <w:t xml:space="preserve">The measured ~6× speedup (not the theoretical 32×) is due to memory/cache effects: 8 warm-cache NTTs are faster than 255 NTTs with cache thrashing. The Catch2 gate requires ≥2× speedup; the production target is 5–6×, documented in ablation_hoisting.csv.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Rotation hoisting uses a restricted Galois key set of 8 powers-of-2 sufficient for the log₂(256)=8-step binary tree-sum. The naive approach rotates by all 255 steps, requiring 255 NTT operations. Our approach requires 8. The measured speedup is 5–6× rather than the theoretical 32× because NTT cost is dominated by memory access patterns, not pure arithmetic, and cache behavior improves significantly with fewer sequential operations.</w:t>
            </w:r>
          </w:p>
        </w:tc>
      </w:tr>
    </w:tbl>
    <w:p>
      <w:pPr>
        <w:spacing w:after="80" w:before="200"/>
      </w:pPr>
    </w:p>
    <w:p>
      <w:pPr>
        <w:pStyle w:val="Heading3"/>
        <w:spacing w:after="100" w:before="200"/>
      </w:pPr>
      <w:r>
        <w:rPr>
          <w:rFonts w:ascii="Arial" w:cs="Arial" w:eastAsia="Arial" w:hAnsi="Arial"/>
          <w:b/>
          <w:bCs/>
          <w:color w:val="2563EB"/>
          <w:sz w:val="24"/>
          <w:szCs w:val="24"/>
        </w:rPr>
        <w:t xml:space="preserve">3.4 HSM-Shim Logic: The Trust Boundary</w:t>
      </w:r>
    </w:p>
    <w:p>
      <w:pPr>
        <w:spacing w:after="100" w:before="80" w:line="276"/>
      </w:pPr>
      <w:r>
        <w:rPr>
          <w:rFonts w:ascii="Arial" w:cs="Arial" w:eastAsia="Arial" w:hAnsi="Arial"/>
          <w:b w:val="false"/>
          <w:bCs w:val="false"/>
          <w:i w:val="false"/>
          <w:iCs w:val="false"/>
          <w:color w:val="374151"/>
          <w:sz w:val="20"/>
          <w:szCs w:val="20"/>
        </w:rPr>
        <w:t xml:space="preserve">The HSM (Hardware Security Module) is a tamper-proof vault that holds the secret key. The "shim" is the API that lets the application say "please decrypt this ciphertext" without ever accessing the raw key bytes.</w:t>
      </w:r>
    </w:p>
    <w:p>
      <w:pPr>
        <w:pStyle w:val="Heading4"/>
        <w:spacing w:after="80" w:before="160"/>
      </w:pPr>
      <w:r>
        <w:rPr>
          <w:rFonts w:ascii="Arial" w:cs="Arial" w:eastAsia="Arial" w:hAnsi="Arial"/>
          <w:b/>
          <w:bCs/>
          <w:color w:val="374151"/>
          <w:sz w:val="22"/>
          <w:szCs w:val="22"/>
        </w:rPr>
        <w:t xml:space="preserve">The Trust Architecture</w:t>
      </w:r>
    </w:p>
    <w:p>
      <w:pPr>
        <w:shd w:fill="F3F4F6" w:val="clear"/>
        <w:spacing w:after="60" w:before="60"/>
      </w:pPr>
      <w:r>
        <w:rPr>
          <w:rFonts w:ascii="Courier New" w:cs="Courier New" w:eastAsia="Courier New" w:hAnsi="Courier New"/>
          <w:color w:val="1F2937"/>
          <w:sz w:val="17"/>
          <w:szCs w:val="17"/>
        </w:rPr>
        <w:t xml:space="preserve">Bank Application Process (Python FastAPI)</w:t>
      </w:r>
    </w:p>
    <w:p>
      <w:pPr>
        <w:shd w:fill="F3F4F6" w:val="clear"/>
        <w:spacing w:after="60" w:before="60"/>
      </w:pPr>
      <w:r>
        <w:rPr>
          <w:rFonts w:ascii="Courier New" w:cs="Courier New" w:eastAsia="Courier New" w:hAnsi="Courier New"/>
          <w:color w:val="1F2937"/>
          <w:sz w:val="17"/>
          <w:szCs w:val="17"/>
        </w:rPr>
        <w:t xml:space="preserve">├── BankClient (holds SEAL context)</w:t>
      </w:r>
    </w:p>
    <w:p>
      <w:pPr>
        <w:shd w:fill="F3F4F6" w:val="clear"/>
        <w:spacing w:after="60" w:before="60"/>
      </w:pPr>
      <w:r>
        <w:rPr>
          <w:rFonts w:ascii="Courier New" w:cs="Courier New" w:eastAsia="Courier New" w:hAnsi="Courier New"/>
          <w:color w:val="1F2937"/>
          <w:sz w:val="17"/>
          <w:szCs w:val="17"/>
        </w:rPr>
        <w:t xml:space="preserve">│   ├── PublicKey   ← can be distributed freely</w:t>
      </w:r>
    </w:p>
    <w:p>
      <w:pPr>
        <w:shd w:fill="F3F4F6" w:val="clear"/>
        <w:spacing w:after="60" w:before="60"/>
      </w:pPr>
      <w:r>
        <w:rPr>
          <w:rFonts w:ascii="Courier New" w:cs="Courier New" w:eastAsia="Courier New" w:hAnsi="Courier New"/>
          <w:color w:val="1F2937"/>
          <w:sz w:val="17"/>
          <w:szCs w:val="17"/>
        </w:rPr>
        <w:t xml:space="preserve">│   ├── GaloisKeys  ← can be distributed freely</w:t>
      </w:r>
    </w:p>
    <w:p>
      <w:pPr>
        <w:shd w:fill="F3F4F6" w:val="clear"/>
        <w:spacing w:after="60" w:before="60"/>
      </w:pPr>
      <w:r>
        <w:rPr>
          <w:rFonts w:ascii="Courier New" w:cs="Courier New" w:eastAsia="Courier New" w:hAnsi="Courier New"/>
          <w:color w:val="1F2937"/>
          <w:sz w:val="17"/>
          <w:szCs w:val="17"/>
        </w:rPr>
        <w:t xml:space="preserve">│   └── [NO SecretKey in production]</w:t>
      </w:r>
    </w:p>
    <w:p>
      <w:pPr>
        <w:shd w:fill="F3F4F6" w:val="clear"/>
        <w:spacing w:after="60" w:before="60"/>
      </w:pPr>
      <w:r>
        <w:rPr>
          <w:rFonts w:ascii="Courier New" w:cs="Courier New" w:eastAsia="Courier New" w:hAnsi="Courier New"/>
          <w:color w:val="1F2937"/>
          <w:sz w:val="17"/>
          <w:szCs w:val="17"/>
        </w:rPr>
        <w:t xml:space="preserve">└── HSM Shim (PKCS#11 / CNG interface)</w:t>
      </w:r>
    </w:p>
    <w:p>
      <w:pPr>
        <w:shd w:fill="F3F4F6" w:val="clear"/>
        <w:spacing w:after="60" w:before="60"/>
      </w:pPr>
      <w:r>
        <w:rPr>
          <w:rFonts w:ascii="Courier New" w:cs="Courier New" w:eastAsia="Courier New" w:hAnsi="Courier New"/>
          <w:color w:val="1F2937"/>
          <w:sz w:val="17"/>
          <w:szCs w:val="17"/>
        </w:rPr>
        <w:t xml:space="preserve">    └── HSM Hardware</w:t>
      </w:r>
    </w:p>
    <w:p>
      <w:pPr>
        <w:shd w:fill="F3F4F6" w:val="clear"/>
        <w:spacing w:after="60" w:before="60"/>
      </w:pPr>
      <w:r>
        <w:rPr>
          <w:rFonts w:ascii="Courier New" w:cs="Courier New" w:eastAsia="Courier New" w:hAnsi="Courier New"/>
          <w:color w:val="1F2937"/>
          <w:sz w:val="17"/>
          <w:szCs w:val="17"/>
        </w:rPr>
        <w:t xml:space="preserve">        └── SecretKey (never leaves this boundary)</w:t>
      </w:r>
    </w:p>
    <w:p>
      <w:pPr>
        <w:shd w:fill="F3F4F6" w:val="clear"/>
        <w:spacing w:after="60" w:before="60"/>
      </w:pPr>
      <w:r>
        <w:rPr>
          <w:rFonts w:ascii="Courier New" w:cs="Courier New" w:eastAsia="Courier New" w:hAnsi="Courier New"/>
          <w:color w:val="1F2937"/>
          <w:sz w:val="17"/>
          <w:szCs w:val="17"/>
        </w:rPr>
        <w:t xml:space="preserve">            └── Performs: decrypt() operations only</w:t>
      </w:r>
    </w:p>
    <w:p>
      <w:pPr>
        <w:spacing w:after="100" w:before="80" w:line="276"/>
      </w:pPr>
      <w:r>
        <w:rPr>
          <w:rFonts w:ascii="Arial" w:cs="Arial" w:eastAsia="Arial" w:hAnsi="Arial"/>
          <w:b w:val="false"/>
          <w:bCs w:val="false"/>
          <w:i w:val="false"/>
          <w:iCs w:val="false"/>
          <w:color w:val="374151"/>
          <w:sz w:val="20"/>
          <w:szCs w:val="20"/>
        </w:rPr>
        <w:t xml:space="preserve">PCI-DSS Requirement 3.5 mandates cryptographic keys be stored in HSMs or protected by key-encrypting keys. The vendor server NEVER holds the secret key — it processes encrypted data but cannot decrypt it. In the current spec, the secret key is held in the BankClient process for development; a production deployment replaces the Decryptor with an HSM-backed PKCS#11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The HSM trust boundary ensures the secret key never exists as plaintext bytes in the application's addressable memory. The application process calls the HSM via a PKCS#11 shim — it submits a serialized ciphertext and receives decrypted values without ever accessing the key material. This satisfies PCI-DSS Requirement 3.5 and protects against memory-dump attacks. In our current spec, the secret key is held in the BankClient process for development; a production deployment replaces the Decryptor with an HSM-backed session.</w:t>
            </w:r>
          </w:p>
        </w:tc>
      </w:tr>
    </w:tbl>
    <w:p>
      <w:pPr>
        <w:pageBreakBefore/>
        <w:spacing w:after="0" w:before="0"/>
      </w:pPr>
    </w:p>
    <w:p>
      <w:pPr>
        <w:pStyle w:val="Heading2"/>
        <w:spacing w:after="120" w:before="240"/>
      </w:pPr>
      <w:r>
        <w:rPr>
          <w:rFonts w:ascii="Arial" w:cs="Arial" w:eastAsia="Arial" w:hAnsi="Arial"/>
          <w:b/>
          <w:bCs/>
          <w:color w:val="1A2B4A"/>
          <w:sz w:val="28"/>
          <w:szCs w:val="28"/>
        </w:rPr>
        <w:t xml:space="preserve">MODULE 4: THE "ATTACK &amp; DEFEND" MOCK VIVA</w:t>
      </w:r>
    </w:p>
    <w:p>
      <w:pPr>
        <w:spacing w:after="100" w:before="80" w:line="276"/>
      </w:pPr>
      <w:r>
        <w:rPr>
          <w:rFonts w:ascii="Arial" w:cs="Arial" w:eastAsia="Arial" w:hAnsi="Arial"/>
          <w:b w:val="false"/>
          <w:bCs w:val="false"/>
          <w:i/>
          <w:iCs/>
          <w:color w:val="6B7280"/>
          <w:sz w:val="20"/>
          <w:szCs w:val="20"/>
        </w:rPr>
        <w:t xml:space="preserve">These are the hard questions examiners and interviewers actually ask. Read the model answer, understand the reasoning, then practice saying it aloud.</w:t>
      </w:r>
    </w:p>
    <w:p>
      <w:pPr>
        <w:spacing w:after="8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3A5F" w:sz="1"/>
              <w:left w:val="single" w:color="1E3A5F" w:sz="8"/>
              <w:bottom w:val="single" w:color="1E3A5F" w:sz="1"/>
              <w:right w:val="single" w:color="1E3A5F" w:sz="1"/>
            </w:tcBorders>
            <w:shd w:fill="1A2B4A" w:val="clear"/>
            <w:tcMar>
              <w:top w:type="dxa" w:w="120"/>
              <w:left w:type="dxa" w:w="240"/>
              <w:bottom w:type="dxa" w:w="120"/>
              <w:right w:type="dxa" w:w="240"/>
            </w:tcMar>
          </w:tcPr>
          <w:p>
            <w:pPr>
              <w:jc w:val="center"/>
            </w:pPr>
            <w:r>
              <w:rPr>
                <w:rFonts w:ascii="Arial" w:cs="Arial" w:eastAsia="Arial" w:hAnsi="Arial"/>
                <w:b/>
                <w:bCs/>
                <w:color w:val="FFFFFF"/>
                <w:sz w:val="24"/>
                <w:szCs w:val="24"/>
              </w:rPr>
              <w:t xml:space="preserve">⬛  LEVEL: BASIC — Verification of Implementation</w:t>
            </w:r>
          </w:p>
        </w:tc>
      </w:tr>
    </w:tbl>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Q1. What is the exact byte layout of model_weights.bin?</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The binary file is exactly 2060 bytes: bytes 0–3 are a little-endian uint32_t containing the value 256 (the feature count), bytes 4–11 are a little-endian IEEE 754 float64 containing the bias term, and bytes 12–2059 are 256 consecutive little-endian float64 values for the weight vector. Both Python (using struct.pack('&lt;I', ...) and NumPy '&lt;f8' dtype) and C++ (with a static_assert enforcing little-endian platform) enforce this layout. The gate test requires a round-trip where values match within 1e-10.</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Q2. What does second_parms_id represent, and where is it used?</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second_parms_id is the SEAL parms_id of the ciphertext after one rescale_to_next_inplace operation. It is computed once during CKKSContext construction by following the modulus chain: context-&gt;first_context_data()-&gt;next_context_data()-&gt;parms_id(). It is used to verify the context has multiple levels in the gate test (ctx.second_parms_id != ctx.context-&gt;first_parms_id()), and it can validate that a response ciphertext from the vendor is at the correct parameter level before the client attempts decryption.</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Q3. What does hoisted_tree_sum return, and why can only 16 of the 4096 output slots be used?</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hoisted_tree_sum returns a seal::Ciphertext where slot k*256 holds the sum of all slots from k*256 to k*256+255 — the dot-product result for transaction k. The remaining 4095 − 16 slots contain intermediate partial sums from the binary tree reduction and are mathematically meaningless. For example, slot[1] holds original[1] + original[2], slot[2] holds original[2] + original[3] — artifacts of the rotation-and-add pattern. The caller (decrypt_batch) correctly extracts only decoded[k * 256] for k=0..n_transactions-1.</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Q4. Why is std::stringstream explicitly forbidden for ciphertext I/O?</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Under concurrent load, std::stringstream allocates a new std::string on every serialization call. For a 384 KB ciphertext, this is one malloc per direction per request. Memory allocators under fragmentation can spike allocation latency from ~50 µs to 1–2 ms, potentially blowing our 10 ms end-to-end budget. The spec mandates pre-allocated char[] buffers (420 KB each, initialized at server startup) that are reused across RPC calls. ct.save() writes directly into the pre-allocated buffer — zero heap allocation on the hot path.</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Q5. What happens if the client sends a ciphertext encrypted with n=16384 to a server configured for n=8192?</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The server detects the mismatch at ct.parms_id() != ctx_.context-&gt;first_parms_id() — the parms_id is a hash of the full parameter set including poly_modulus_degree. The server returns ERR_PARAM_MISMATCH (status=3). The ct.load() call might even throw before reaching the parms_id check if the serialized ciphertext structure is inconsistent with the server's expected modulus. The client's required response is to log CRITICAL, halt all inference, and alert engineering — parameter mismatch is a configuration error, not a transient fault.</w:t>
            </w:r>
          </w:p>
        </w:tc>
      </w:tr>
    </w:tbl>
    <w:p>
      <w:pPr>
        <w:spacing w:after="0" w:before="120"/>
      </w:pPr>
    </w:p>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45309" w:sz="1"/>
              <w:left w:val="single" w:color="B45309" w:sz="8"/>
              <w:bottom w:val="single" w:color="B45309" w:sz="1"/>
              <w:right w:val="single" w:color="B45309" w:sz="1"/>
            </w:tcBorders>
            <w:shd w:fill="92400E" w:val="clear"/>
            <w:tcMar>
              <w:top w:type="dxa" w:w="120"/>
              <w:left w:type="dxa" w:w="240"/>
              <w:bottom w:type="dxa" w:w="120"/>
              <w:right w:type="dxa" w:w="240"/>
            </w:tcMar>
          </w:tcPr>
          <w:p>
            <w:pPr>
              <w:jc w:val="center"/>
            </w:pPr>
            <w:r>
              <w:rPr>
                <w:rFonts w:ascii="Arial" w:cs="Arial" w:eastAsia="Arial" w:hAnsi="Arial"/>
                <w:b/>
                <w:bCs/>
                <w:color w:val="FFFFFF"/>
                <w:sz w:val="24"/>
                <w:szCs w:val="24"/>
              </w:rPr>
              <w:t xml:space="preserve">🟠  LEVEL: INTERMEDIATE — Verification of System Understanding</w:t>
            </w:r>
          </w:p>
        </w:tc>
      </w:tr>
    </w:tbl>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 xml:space="preserve">Q6. encrypt_batch claims "zero-copy" but creates a std::vector&lt;double&gt;. Is that a contradiction?</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 xml:space="preserve">No. "Zero-copy" specifically means zero redundant copies of the 384 KB ciphertext output. The 32 KB input copy (numpy → std::vector&lt;double&gt;) is acknowledged as unavoidable because SEAL's CKKSEncoder::encode() requires std::vector&lt;double&gt; and does not accept raw pointers. The spec's comment explicitly states: "This one copy (numpy→vector) is unavoidable... The 32 KB copy is negligible." The design eliminates the expensive copy — the 384 KB ciphertext is written directly into a pre-allocated Python bytes object.</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 xml:space="preserve">Q7. total_inference_us spans from before ct.load() to after serialization. What costs are NOT captured in the three sub-timers added together?</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 xml:space="preserve">The gap is deserialization time — ct.load() from the protobuf bytes field into a seal::Ciphertext. This cost (~1–1.5 ms) equals total_inference_us − (multiply_plain_us + rotation_hoisting_us + serialization_us). Additionally, the noise budget check via invariant_noise_budget(ct) is between t_loaded and t_mul but its cost (~0.1–0.2 ms) is lumped into multiply_plain_us. These are minor accounting imprecisions, not bugs. The latency_breakdown.csv research artifact will reveal these gaps when the benchmark runs.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 xml:space="preserve">Q8. Why does FraudInferenceServiceImpl hold a CKKSContext with a SecretKey? Isn't it a security violation for the vendor to hold the secret key?</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 xml:space="preserve">This is a known compromise in the spec, explicitly flagged: "The vendor server normally does NOT hold the secret key. In the HSM architecture, this check is performed by the bank client after decryption instead." The secret key exists in the vendor server only in the development build to enable the noise budget check. In production, the CKKSContext on the vendor server would be constructed without a secret key — the Decryptor would be omitted. The pt_weights_ plaintext is not a security violation — plaintexts at the vendor are model weights, not transaction data.</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 xml:space="preserve">Q9. Under what real-world condition would the request_id validation fail, and is it recoverable?</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 xml:space="preserve">A request_id mismatch indicates one of three problems: (1) A multiplexing bug in the gRPC server where responses are dispatched to the wrong caller — not recoverable without a server restart; (2) A response from a previous request redelivered due to network retry logic — potentially recoverable; (3) Deliberate response tampering — a security event. The spec raises RuntimeError without retry, which is correct for cases 1 and 3. For production, this should trigger an immediate circuit-breaker and alert. gRPC's HTTP/2 stream isolation makes case 1 extremely unlikely; the check primarily defends against case 3.</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 xml:space="preserve">Q10. Explain the SIMD tiling logic: why must encoded_weights[k*256 + j] = w[j] for all k? What breaks if you only put w[j] in slots [0..255]?</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 xml:space="preserve">If weights were only in slots 0–255, then multiply_plain(ct, pt_weights) would compute ct[j] * w[j] for j=0..255, but for slots 256–4095 (features for transactions 1–15) the product would be ct[k*256+j] * 0 = 0. The tree-sum would produce valid scores only for transaction 0 and zero for all others. By tiling — pt_weights[k*256 + j] = w[j] for all k=0..15 — the single multiply_plain simultaneously computes feature[k][j] * w[j] for all 16 transactions and 256 features. The tree-sum then accumulates each transaction's dot product independently.</w:t>
            </w:r>
          </w:p>
        </w:tc>
      </w:tr>
    </w:tbl>
    <w:p>
      <w:pPr>
        <w:spacing w:after="0" w:before="120"/>
      </w:pPr>
    </w:p>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991B1B" w:sz="1"/>
              <w:left w:val="single" w:color="991B1B" w:sz="8"/>
              <w:bottom w:val="single" w:color="991B1B" w:sz="1"/>
              <w:right w:val="single" w:color="991B1B" w:sz="1"/>
            </w:tcBorders>
            <w:shd w:fill="7F1D1D" w:val="clear"/>
            <w:tcMar>
              <w:top w:type="dxa" w:w="120"/>
              <w:left w:type="dxa" w:w="240"/>
              <w:bottom w:type="dxa" w:w="120"/>
              <w:right w:type="dxa" w:w="240"/>
            </w:tcMar>
          </w:tcPr>
          <w:p>
            <w:pPr>
              <w:jc w:val="center"/>
            </w:pPr>
            <w:r>
              <w:rPr>
                <w:rFonts w:ascii="Arial" w:cs="Arial" w:eastAsia="Arial" w:hAnsi="Arial"/>
                <w:b/>
                <w:bCs/>
                <w:color w:val="FFFFFF"/>
                <w:sz w:val="24"/>
                <w:szCs w:val="24"/>
              </w:rPr>
              <w:t xml:space="preserve">🔴  LEVEL: EXPERT — Trying to Break the Logic/Math</w:t>
            </w:r>
          </w:p>
        </w:tc>
      </w:tr>
    </w:tbl>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Q11. Your coeff_modulus is {60, 40, 40, 60}. Derive the "depth budget = 2" formula from first principles. What would break if you chose {60, 40, 60} instead?</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In SEAL's CKKS chain with L+1 primes, the last prime (the "special prime" of 60 bits) is never dropped — it supports key-switching. The usable primes are the first L. Each rescale drops one middle prime (~matching the scale 2^40). For {60, 40, 40, 60}: 2 middle primes → depth budget = 2. We use 1. For {60, 40, 60}: 1 middle prime → depth budget = 1, sufficient for our Depth-1 circuit. However, SEAL's parameter recommendations require the total coeff_modulus not exceed ~218 bits for 128-bit security at n=8192. Both {60,40,60}=160 bits and {60,40,40,60}=200 bits satisfy this. The 4-prime choice gives an additional safety margin and room for the Degree-2 fallback without a full parameter re-spec.</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Q12. You claim 128-bit classical security. How would you actually verify this claim? What tool do you use, and what are the key inputs?</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The standard tool is the lattice-estimator library (Albrecht et al.), available on GitHub. The security estimation is based on LWE (Learning With Errors) problem hardness. Key input parameters: n=8192 (LWE dimension), total coeff_modulus bit-length log2(q)=200 bits, and the LWE error distribution (ternary {-1,0,1} for SEAL's default). The estimator runs the best-known lattice attacks (BKZ, dual attack, primal attack) and outputs estimated bit security. The spec mandates a screenshot as results/he_security_estimate.png. For our parameters, all published tables confirm ≥128-bit classical security, matching SEAL's own parameter recommendations.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Q13. Your rotation hoisting claims 6× speedup but you reduced calls from 255 to 8 — a 32× reduction. Why only 6×? Defend the discrepancy.</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The 32× call count reduction doesn't translate to 32× speedup because the performance model is not call-count linear. Each rotate_vector has two cost components: (1) key-switching NTT on the Galois key polynomial — largely cache-bound; and (2) polynomial evaluation. For 8 consecutive operations, the SEAL context, Galois keys (~30 MB for 8 keys), and intermediate ciphertext likely remain in L3 cache. For 255 operations, the full key set would be multiple gigabytes — causing constant cache eviction. OpenMP parallelism in SEAL also behaves differently under 8 vs 255 sequential NTTs. The Catch2 gate requires ≥2× speedup; the 5–6× production figure is empirically measured and documented in ablation_hoisting.csv.</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Q14. Adversarial scenario: a malicious vendor performs a plaintext equality attack — encrypting known test vectors and trying to find correlations with legitimate query ciphertexts. Does your system prevent this?</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CKKS provides IND-CPA security (Indistinguishability under Chosen Plaintext Attack). Under the LWE hardness assumption at 128-bit security, the vendor cannot distinguish the encryption of two different plaintexts given only the ciphertext — even if they chose the plaintexts themselves. The public key allows encryption but not decryption. CKKS ciphertexts are semantically secure — two encryptions of the same plaintext are computationally indistinguishable due to the random error term e added during encryption. The vendor's best strategy remains a full lattice attack against the 128-bit LWE instance — computationally infeasible. The IND-CPA proof is formal and published in the original CKKS paper.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Q15. Your professor challenges: "You haven't accounted for NTT computation scaling — for n=8192, how many NTT operations are actually performed in one inference, and does the budget hold?" Walk through the NTT count.</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Tracing NTT operations in one inference: (1) ct.load() — 0 NTTs, deserialization only. (2) multiply_plain_inplace(ct, pt_weights) — approximately 4 NTTs: 2 inverse-NTTs to bring ct to coefficient form, multiply element-wise with NTT-domain pt_weights, 2 forward-NTTs. (3) rescale_to_next_inplace — approximately 2–4 NTTs for modulus switching. (4) hoisted_tree_sum — 8 × rotate_vector, each requiring ~4 NTTs for key-switch + rotation, total ~32 NTTs. (5) ct.save() — 0 NTTs. Total: ~38–40 NTT operations, each O(n log n) = O(8192 × 13) ≈ 106,000 coefficient operations. With AVX2 at ~3 GHz each NTT takes approximately 40–100 µs. Total NTT cost: ~40 × 70 µs ≈ 2.8 ms. With deserialization (~1 ms), the remaining operations fit comfortably in the 10 ms budget.</w:t>
            </w:r>
          </w:p>
        </w:tc>
      </w:tr>
    </w:tbl>
    <w:p>
      <w:pPr>
        <w:spacing w:after="0" w:before="120"/>
      </w:pPr>
    </w:p>
    <w:p>
      <w:pPr>
        <w:pageBreakBefore/>
        <w:spacing w:after="0" w:before="0"/>
      </w:pPr>
    </w:p>
    <w:p>
      <w:pPr>
        <w:pStyle w:val="Heading2"/>
        <w:spacing w:after="120" w:before="240"/>
      </w:pPr>
      <w:r>
        <w:rPr>
          <w:rFonts w:ascii="Arial" w:cs="Arial" w:eastAsia="Arial" w:hAnsi="Arial"/>
          <w:b/>
          <w:bCs/>
          <w:color w:val="1A2B4A"/>
          <w:sz w:val="28"/>
          <w:szCs w:val="28"/>
        </w:rPr>
        <w:t xml:space="preserve">APPENDIX: QUICK-REFERENCE CHEAT SHEET FOR VIVA</w:t>
      </w:r>
    </w:p>
    <w:p>
      <w:pPr>
        <w:spacing w:after="100" w:before="80" w:line="276"/>
      </w:pPr>
      <w:r>
        <w:rPr>
          <w:rFonts w:ascii="Arial" w:cs="Arial" w:eastAsia="Arial" w:hAnsi="Arial"/>
          <w:b w:val="false"/>
          <w:bCs w:val="false"/>
          <w:i/>
          <w:iCs/>
          <w:color w:val="6B7280"/>
          <w:sz w:val="20"/>
          <w:szCs w:val="20"/>
        </w:rPr>
        <w:t xml:space="preserve">Memorise this table. Every number here is defensible from first principles.</w:t>
      </w:r>
    </w:p>
    <w:p>
      <w:pPr>
        <w:spacing w:after="8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Parameter</w:t>
            </w:r>
          </w:p>
        </w:tc>
        <w:tc>
          <w:tcPr>
            <w:tcW w:type="dxa" w:w="2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Value</w:t>
            </w:r>
          </w:p>
        </w:tc>
        <w:tc>
          <w:tcPr>
            <w:tcW w:type="dxa" w:w="41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Rationale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poly_modulus_degree</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8192</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128-bit security + 4096-slot capacity (16×256)</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coeff_modulus</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{60, 40, 40, 60}</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200-bit total; depth-2 budget; last 60 is special prime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scale</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2^40</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~12 significant decimal digits; 1 level per rescale</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Ciphertext size</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~384 KB</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2 × n × (log q / 8) bytes approximately</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Galois key steps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{1,2,4,8,16,32,64,128}</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log₂(256) = 8 steps for tree-sum of 256 features</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Binary file size</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2060 bytes</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4 + 8 + 256×8 = header + bias + weights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Max batch size</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16 transactions</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16 × 256 = 4096 = n/2 slots exactly fills one ciphertext</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Depth-1 AUC</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 0.94</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Linearization cost from XGBoost AUC=0.98</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Latency target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&lt; 10 ms (vendor)</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Benchmark gate enforced; &lt; 15 ms client end-to-end</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Security level</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128-bit classical</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lattice-estimator verified for n=8192, 200-bit modulus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gRPC message limit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512 KB</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Headroom over ~384 KB max ciphertext (both sides)</w:t>
            </w:r>
          </w:p>
        </w:tc>
      </w:tr>
    </w:tbl>
    <w:p>
      <w:pPr>
        <w:spacing w:after="8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12"/>
              <w:bottom w:val="single" w:color="1D4ED8" w:sz="1"/>
              <w:right w:val="single" w:color="1D4ED8" w:sz="1"/>
            </w:tcBorders>
            <w:shd w:fill="DBEAFE" w:val="clear"/>
            <w:tcMar>
              <w:top w:type="dxa" w:w="120"/>
              <w:left w:type="dxa" w:w="200"/>
              <w:bottom w:type="dxa" w:w="120"/>
              <w:right w:type="dxa" w:w="160"/>
            </w:tcMar>
          </w:tcPr>
          <w:p>
            <w:pPr>
              <w:spacing w:after="80" w:before="0"/>
            </w:pPr>
            <w:r>
              <w:rPr>
                <w:rFonts w:ascii="Arial" w:cs="Arial" w:eastAsia="Arial" w:hAnsi="Arial"/>
                <w:b/>
                <w:bCs/>
                <w:color w:val="1D4ED8"/>
                <w:sz w:val="18"/>
                <w:szCs w:val="18"/>
              </w:rPr>
              <w:t xml:space="preserve">Final Mentorship Note</w:t>
            </w:r>
          </w:p>
          <w:p>
            <w:pPr>
              <w:spacing w:after="0" w:before="0"/>
            </w:pPr>
            <w:r>
              <w:rPr>
                <w:rFonts w:ascii="Arial" w:cs="Arial" w:eastAsia="Arial" w:hAnsi="Arial"/>
                <w:color w:val="374151"/>
                <w:sz w:val="19"/>
                <w:szCs w:val="19"/>
              </w:rPr>
              <w:t xml:space="preserve">The strongest viva answers have three components: (1) the plain-English intuition ("think of it as..."), (2) the precise technical statement, and (3) the connection back to the system ("which is why we..."). Practice transitioning between all three. An examiner who hears you move naturally from analogy to math to engineering implication will be convinced you genuinely understand the system — not just memorised it. Good luck.</w:t>
            </w:r>
          </w:p>
        </w:tc>
      </w:tr>
    </w:tbl>
    <w:p>
      <w:pPr>
        <w:spacing w:after="80" w:before="200"/>
        <w:jc w:val="center"/>
      </w:pPr>
      <w:r>
        <w:rPr>
          <w:rFonts w:ascii="Arial" w:cs="Arial" w:eastAsia="Arial" w:hAnsi="Arial"/>
          <w:i/>
          <w:iCs/>
          <w:color w:val="6B7280"/>
          <w:sz w:val="18"/>
          <w:szCs w:val="18"/>
        </w:rPr>
        <w:t xml:space="preserve">End of PPFDaaS Pre-Flight Audit Report &amp; Comprehensive Study/Defense Guide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4" w:space="4"/>
      </w:pBdr>
      <w:spacing w:after="0" w:before="80"/>
      <w:jc w:val="right"/>
    </w:pPr>
    <w:r>
      <w:rPr>
        <w:rFonts w:ascii="Arial" w:cs="Arial" w:eastAsia="Arial" w:hAnsi="Arial"/>
        <w:color w:val="6B7280"/>
        <w:sz w:val="17"/>
        <w:szCs w:val="17"/>
      </w:rPr>
      <w:t xml:space="preserve">Page </w:t>
    </w:r>
    <w:r>
      <w:rPr>
        <w:rFonts w:ascii="Arial" w:cs="Arial" w:eastAsia="Arial" w:hAnsi="Arial"/>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120" w:before="0"/>
    </w:pPr>
    <w:r>
      <w:rPr>
        <w:rFonts w:ascii="Arial" w:cs="Arial" w:eastAsia="Arial" w:hAnsi="Arial"/>
        <w:color w:val="6B7280"/>
        <w:sz w:val="17"/>
        <w:szCs w:val="17"/>
      </w:rPr>
      <w:t xml:space="preserve">PPFDaaS Engineering Audit &amp; Defense Guide</w:t>
    </w:r>
    <w:r>
      <w:rPr>
        <w:rFonts w:ascii="Arial" w:cs="Arial" w:eastAsia="Arial" w:hAnsi="Arial"/>
        <w:color w:val="D1D5DB"/>
        <w:sz w:val="17"/>
        <w:szCs w:val="17"/>
      </w:rPr>
      <w:t xml:space="preserve">  ·  </w:t>
    </w:r>
    <w:r>
      <w:rPr>
        <w:rFonts w:ascii="Arial" w:cs="Arial" w:eastAsia="Arial" w:hAnsi="Arial"/>
        <w:i/>
        <w:iCs/>
        <w:color w:val="6B7280"/>
        <w:sz w:val="17"/>
        <w:szCs w:val="17"/>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A2B4A"/>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A2B4A"/>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2563EB"/>
      <w:sz w:val="24"/>
      <w:szCs w:val="24"/>
    </w:rPr>
  </w:style>
  <w:style w:type="paragraph" w:styleId="Heading4">
    <w:name w:val="Heading 4"/>
    <w:basedOn w:val="Normal"/>
    <w:next w:val="Normal"/>
    <w:qFormat/>
    <w:pPr>
      <w:spacing w:after="80" w:before="160"/>
      <w:outlineLvl w:val="3"/>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2026-04-10T22:17:10.875Z</dcterms:created>
  <dcterms:modified xsi:type="dcterms:W3CDTF">2026-04-10T22:17:10.879Z</dcterms:modified>
</cp:coreProperties>
</file>

<file path=docProps/custom.xml><?xml version="1.0" encoding="utf-8"?>
<Properties xmlns="http://schemas.openxmlformats.org/officeDocument/2006/custom-properties" xmlns:vt="http://schemas.openxmlformats.org/officeDocument/2006/docPropsVTypes"/>
</file>