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rPr>
          <w:rFonts w:ascii="Arial" w:cs="Arial" w:eastAsia="Arial" w:hAnsi="Arial"/>
          <w:b w:val="false"/>
          <w:bCs w:val="false"/>
          <w:i w:val="false"/>
          <w:iCs w:val="false"/>
          <w:color w:val="2C3E50"/>
          <w:sz w:val="20"/>
          <w:szCs w:val="20"/>
        </w:rPr>
        <w:t xml:space="preserve"/>
      </w:r>
    </w:p>
    <w:p>
      <w:pPr>
        <w:spacing w:after="80" w:before="0"/>
        <w:jc w:val="center"/>
      </w:pPr>
      <w:r>
        <w:rPr>
          <w:rFonts w:ascii="Arial" w:cs="Arial" w:eastAsia="Arial" w:hAnsi="Arial"/>
          <w:b/>
          <w:bCs/>
          <w:color w:val="1F3864"/>
          <w:sz w:val="72"/>
          <w:szCs w:val="72"/>
        </w:rPr>
        <w:t xml:space="preserve">PPFDaaS</w:t>
      </w:r>
    </w:p>
    <w:p>
      <w:pPr>
        <w:spacing w:after="200" w:before="0"/>
        <w:jc w:val="center"/>
      </w:pPr>
      <w:r>
        <w:rPr>
          <w:rFonts w:ascii="Arial" w:cs="Arial" w:eastAsia="Arial" w:hAnsi="Arial"/>
          <w:color w:val="2E74B5"/>
          <w:sz w:val="32"/>
          <w:szCs w:val="32"/>
        </w:rPr>
        <w:t xml:space="preserve">Privacy-Preserving Fraud Detection as a Service</w:t>
      </w:r>
    </w:p>
    <w:p>
      <w:pPr>
        <w:pBdr>
          <w:top w:val="single" w:color="2E74B5" w:sz="6"/>
          <w:bottom w:val="single" w:color="2E74B5" w:sz="6"/>
        </w:pBdr>
        <w:spacing w:after="160" w:before="160"/>
        <w:jc w:val="center"/>
      </w:pPr>
      <w:r>
        <w:rPr>
          <w:rFonts w:ascii="Arial" w:cs="Arial" w:eastAsia="Arial" w:hAnsi="Arial"/>
          <w:b/>
          <w:bCs/>
          <w:color w:val="2C3E50"/>
          <w:sz w:val="40"/>
          <w:szCs w:val="40"/>
        </w:rPr>
        <w:t xml:space="preserve">Master Implementation Guide</w:t>
      </w:r>
    </w:p>
    <w:p>
      <w:pPr>
        <w:spacing w:after="60" w:before="60"/>
      </w:pPr>
      <w:r>
        <w:rPr>
          <w:rFonts w:ascii="Arial" w:cs="Arial" w:eastAsia="Arial" w:hAnsi="Arial"/>
          <w:b w:val="false"/>
          <w:bCs w:val="false"/>
          <w:i w:val="false"/>
          <w:iCs w:val="false"/>
          <w:color w:val="2C3E50"/>
          <w:sz w:val="20"/>
          <w:szCs w:val="20"/>
        </w:rPr>
        <w:t xml:space="preserve"/>
      </w:r>
    </w:p>
    <w:p>
      <w:pPr>
        <w:spacing w:after="40" w:before="80"/>
        <w:jc w:val="center"/>
      </w:pPr>
      <w:r>
        <w:rPr>
          <w:rFonts w:ascii="Arial" w:cs="Arial" w:eastAsia="Arial" w:hAnsi="Arial"/>
          <w:color w:val="5D6D7E"/>
          <w:sz w:val="22"/>
          <w:szCs w:val="22"/>
        </w:rPr>
        <w:t xml:space="preserve">B.Tech Engineering Project  ·  Research Paper  ·  Patent Application</w:t>
      </w:r>
    </w:p>
    <w:p>
      <w:pPr>
        <w:spacing w:after="40" w:before="40"/>
        <w:jc w:val="center"/>
      </w:pPr>
      <w:r>
        <w:rPr>
          <w:rFonts w:ascii="Arial" w:cs="Arial" w:eastAsia="Arial" w:hAnsi="Arial"/>
          <w:color w:val="1B6CA8"/>
          <w:sz w:val="20"/>
          <w:szCs w:val="20"/>
        </w:rPr>
        <w:t xml:space="preserve">Microsoft SEAL 4.1  ·  CKKS  ·  n=8192  ·  Depth-1  ·  Rotation Hoisting</w:t>
      </w:r>
    </w:p>
    <w:p>
      <w:pPr>
        <w:spacing w:after="180" w:before="180"/>
      </w:pPr>
      <w:r>
        <w:rPr>
          <w:rFonts w:ascii="Arial" w:cs="Arial" w:eastAsia="Arial" w:hAnsi="Arial"/>
          <w:b w:val="false"/>
          <w:bCs w:val="false"/>
          <w:i w:val="false"/>
          <w:iCs w:val="false"/>
          <w:color w:val="2C3E50"/>
          <w:sz w:val="20"/>
          <w:szCs w:val="20"/>
        </w:rPr>
        <w:t xml:space="preserve"/>
      </w:r>
    </w:p>
    <w:p>
      <w:r>
        <w:br w:type="page"/>
      </w:r>
    </w:p>
    <w:p>
      <w:pPr>
        <w:pStyle w:val="Heading1"/>
        <w:pBdr>
          <w:bottom w:val="single" w:color="1F3864" w:sz="8" w:space="4"/>
        </w:pBdr>
        <w:spacing w:after="200" w:before="360"/>
      </w:pPr>
      <w:r>
        <w:rPr>
          <w:rFonts w:ascii="Arial" w:cs="Arial" w:eastAsia="Arial" w:hAnsi="Arial"/>
          <w:b/>
          <w:bCs/>
          <w:color w:val="1F3864"/>
          <w:sz w:val="36"/>
          <w:szCs w:val="36"/>
        </w:rPr>
        <w:t xml:space="preserve">A. Executive Technical Summary</w:t>
      </w:r>
    </w:p>
    <w:p>
      <w:pPr>
        <w:pStyle w:val="Heading2"/>
        <w:spacing w:after="140" w:before="280"/>
      </w:pPr>
      <w:r>
        <w:rPr>
          <w:rFonts w:ascii="Arial" w:cs="Arial" w:eastAsia="Arial" w:hAnsi="Arial"/>
          <w:b/>
          <w:bCs/>
          <w:color w:val="2E74B5"/>
          <w:sz w:val="28"/>
          <w:szCs w:val="28"/>
        </w:rPr>
        <w:t xml:space="preserve">A.1  The Latency–Accuracy–Privacy Trilemma</w:t>
      </w:r>
    </w:p>
    <w:p>
      <w:pPr>
        <w:spacing w:after="80" w:before="80" w:line="320"/>
        <w:jc w:val="left"/>
      </w:pPr>
      <w:r>
        <w:rPr>
          <w:rFonts w:ascii="Arial" w:cs="Arial" w:eastAsia="Arial" w:hAnsi="Arial"/>
          <w:b w:val="false"/>
          <w:bCs w:val="false"/>
          <w:i w:val="false"/>
          <w:iCs w:val="false"/>
          <w:color w:val="2C3E50"/>
          <w:sz w:val="20"/>
          <w:szCs w:val="20"/>
        </w:rPr>
        <w:t xml:space="preserve">Modern financial institutions face three competing constraints when deploying fraud-detection ML in production:</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Privacy: Transaction data is PCI-DSS-regulated. Raw features cannot be sent to an external inference vendor.</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Accuracy: A fraud model must achieve AUC ≥ 0.94 on production-class datasets (IEEE-CIS) to be operationally viable.</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Latency: Card-present authorizations require end-to-end decisions within 10 ms at the p95 percentile.</w:t>
      </w:r>
    </w:p>
    <w:p>
      <w:pPr>
        <w:spacing w:after="60" w:before="60"/>
      </w:pPr>
      <w:r>
        <w:rPr>
          <w:rFonts w:ascii="Arial" w:cs="Arial" w:eastAsia="Arial" w:hAnsi="Arial"/>
          <w:b w:val="false"/>
          <w:bCs w:val="false"/>
          <w:i w:val="false"/>
          <w:iCs w:val="false"/>
          <w:color w:val="2C3E50"/>
          <w:sz w:val="20"/>
          <w:szCs w:val="20"/>
        </w:rPr>
        <w:t xml:space="preserve"/>
      </w:r>
    </w:p>
    <w:p>
      <w:pPr>
        <w:spacing w:after="80" w:before="80" w:line="320"/>
        <w:jc w:val="left"/>
      </w:pPr>
      <w:r>
        <w:rPr>
          <w:rFonts w:ascii="Arial" w:cs="Arial" w:eastAsia="Arial" w:hAnsi="Arial"/>
          <w:b w:val="false"/>
          <w:bCs w:val="false"/>
          <w:i w:val="false"/>
          <w:iCs w:val="false"/>
          <w:color w:val="2C3E50"/>
          <w:sz w:val="20"/>
          <w:szCs w:val="20"/>
        </w:rPr>
        <w:t xml:space="preserve">Naive Fully Homomorphic Encryption (FHE) solves privacy but destroys latency: a deep neural network in CKKS with multiplicative depth 10+ requires n = 32768, producing ciphertexts &gt; 8 MB per batch and inference times exceeding 400 ms. PPFDaaS resolves this trilemma through a single architectural insight: GBDT linearization collapses the inference circuit to depth 1.</w:t>
      </w:r>
    </w:p>
    <w:p>
      <w:pPr>
        <w:pStyle w:val="Heading2"/>
        <w:spacing w:after="140" w:before="280"/>
      </w:pPr>
      <w:r>
        <w:rPr>
          <w:rFonts w:ascii="Arial" w:cs="Arial" w:eastAsia="Arial" w:hAnsi="Arial"/>
          <w:b/>
          <w:bCs/>
          <w:color w:val="2E74B5"/>
          <w:sz w:val="28"/>
          <w:szCs w:val="28"/>
        </w:rPr>
        <w:t xml:space="preserve">A.2  Hard Constraints (Non-Negotiable)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160"/>
      </w:tblGrid>
      <w:tr>
        <w:trPr>
          <w:tblHeader/>
        </w:trPr>
        <w:tc>
          <w:tcPr>
            <w:tcW w:type="dxa" w:w="32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Constraint</w:t>
            </w:r>
          </w:p>
        </w:tc>
        <w:tc>
          <w:tcPr>
            <w:tcW w:type="dxa" w:w="28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c>
          <w:tcPr>
            <w:tcW w:type="dxa" w:w="316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Rationale</w:t>
            </w:r>
          </w:p>
        </w:tc>
      </w:tr>
      <w:tr>
        <w:tc>
          <w:tcPr>
            <w:tcW w:type="dxa" w:w="32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Crypto Library</w:t>
            </w:r>
          </w:p>
        </w:tc>
        <w:tc>
          <w:tcPr>
            <w:tcW w:type="dxa" w:w="28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Microsoft SEAL 4.1 (C++)</w:t>
            </w:r>
          </w:p>
        </w:tc>
        <w:tc>
          <w:tcPr>
            <w:tcW w:type="dxa" w:w="3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Industry standard, audited, CKKS support</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Scheme</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CKKS</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Approximate arithmetic on real-valued features</w:t>
            </w:r>
          </w:p>
        </w:tc>
      </w:tr>
      <w:tr>
        <w:tc>
          <w:tcPr>
            <w:tcW w:type="dxa" w:w="32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poly_modulus_degree (n)</w:t>
            </w:r>
          </w:p>
        </w:tc>
        <w:tc>
          <w:tcPr>
            <w:tcW w:type="dxa" w:w="28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8192</w:t>
            </w:r>
          </w:p>
        </w:tc>
        <w:tc>
          <w:tcPr>
            <w:tcW w:type="dxa" w:w="3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5× smaller ciphertext vs n=16384; 128-bit security at ≈200-bit modulus</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coeff_modulus</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[60, 40, 40, 60] bits</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Supports exactly 1 multiply + 1 rescale; total ≈200 bits</w:t>
            </w:r>
          </w:p>
        </w:tc>
      </w:tr>
      <w:tr>
        <w:tc>
          <w:tcPr>
            <w:tcW w:type="dxa" w:w="32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scale</w:t>
            </w:r>
          </w:p>
        </w:tc>
        <w:tc>
          <w:tcPr>
            <w:tcW w:type="dxa" w:w="28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2^40</w:t>
            </w:r>
          </w:p>
        </w:tc>
        <w:tc>
          <w:tcPr>
            <w:tcW w:type="dxa" w:w="3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Sufficient precision for sigmoid post-processing in plaintext</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Multiplicative depth</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1</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One multiply_plain + one rescale; relinearization eliminated</w:t>
            </w:r>
          </w:p>
        </w:tc>
      </w:tr>
      <w:tr>
        <w:tc>
          <w:tcPr>
            <w:tcW w:type="dxa" w:w="32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Rotation strategy</w:t>
            </w:r>
          </w:p>
        </w:tc>
        <w:tc>
          <w:tcPr>
            <w:tcW w:type="dxa" w:w="28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Hoisting (decompose once, loop apply_galois)</w:t>
            </w:r>
          </w:p>
        </w:tc>
        <w:tc>
          <w:tcPr>
            <w:tcW w:type="dxa" w:w="3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O(log 256) rotations with single decompose step; 6× speedup</w:t>
            </w:r>
          </w:p>
        </w:tc>
      </w:tr>
      <w:tr>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Galois key set</w:t>
            </w:r>
          </w:p>
        </w:tc>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{1,2,4,8,16,32,64,128}</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Minimal key material; reduces key-switching overhead</w:t>
            </w:r>
          </w:p>
        </w:tc>
      </w:tr>
      <w:tr>
        <w:tc>
          <w:tcPr>
            <w:tcW w:type="dxa" w:w="32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SIMD batch size</w:t>
            </w:r>
          </w:p>
        </w:tc>
        <w:tc>
          <w:tcPr>
            <w:tcW w:type="dxa" w:w="28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16 transactions × 256 features = 4096 slots</w:t>
            </w:r>
          </w:p>
        </w:tc>
        <w:tc>
          <w:tcPr>
            <w:tcW w:type="dxa" w:w="3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Exactly n/2 slots; 100% packing efficiency</w:t>
            </w:r>
          </w:p>
        </w:tc>
      </w:tr>
    </w:tbl>
    <w:p>
      <w:pPr>
        <w:spacing w:after="60" w:before="60"/>
      </w:pPr>
      <w:r>
        <w:rPr>
          <w:rFonts w:ascii="Arial" w:cs="Arial" w:eastAsia="Arial" w:hAnsi="Arial"/>
          <w:b w:val="false"/>
          <w:bCs w:val="false"/>
          <w:i w:val="false"/>
          <w:iCs w:val="false"/>
          <w:color w:val="2C3E50"/>
          <w:sz w:val="20"/>
          <w:szCs w:val="20"/>
        </w:rPr>
        <w:t xml:space="preserve"/>
      </w:r>
    </w:p>
    <w:p>
      <w:pPr>
        <w:pStyle w:val="Heading2"/>
        <w:spacing w:after="140" w:before="280"/>
      </w:pPr>
      <w:r>
        <w:rPr>
          <w:rFonts w:ascii="Arial" w:cs="Arial" w:eastAsia="Arial" w:hAnsi="Arial"/>
          <w:b/>
          <w:bCs/>
          <w:color w:val="2E74B5"/>
          <w:sz w:val="28"/>
          <w:szCs w:val="28"/>
        </w:rPr>
        <w:t xml:space="preserve">A.3  Success Metrics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660"/>
      </w:tblGrid>
      <w:tr>
        <w:trPr>
          <w:tblHeader/>
        </w:trPr>
        <w:tc>
          <w:tcPr>
            <w:tcW w:type="dxa" w:w="30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25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Target</w:t>
            </w:r>
          </w:p>
        </w:tc>
        <w:tc>
          <w:tcPr>
            <w:tcW w:type="dxa" w:w="366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Measurement Method</w:t>
            </w:r>
          </w:p>
        </w:tc>
      </w:tr>
      <w:tr>
        <w:tc>
          <w:tcPr>
            <w:tcW w:type="dxa" w:w="3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Linearized model AUC</w:t>
            </w:r>
          </w:p>
        </w:tc>
        <w:tc>
          <w:tcPr>
            <w:tcW w:type="dxa" w:w="25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 0.94</w:t>
            </w:r>
          </w:p>
        </w:tc>
        <w:tc>
          <w:tcPr>
            <w:tcW w:type="dxa" w:w="36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sklearn.metrics.roc_auc_score on IEEE-CIS held-out test set</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XGBoost baseline AUC</w:t>
            </w:r>
          </w:p>
        </w:tc>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 0.98</w:t>
            </w:r>
          </w:p>
        </w:tc>
        <w:tc>
          <w:tcPr>
            <w:tcW w:type="dxa" w:w="3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Same test set; establishes accuracy ceiling</w:t>
            </w:r>
          </w:p>
        </w:tc>
      </w:tr>
      <w:tr>
        <w:tc>
          <w:tcPr>
            <w:tcW w:type="dxa" w:w="3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Core HE inference latency</w:t>
            </w:r>
          </w:p>
        </w:tc>
        <w:tc>
          <w:tcPr>
            <w:tcW w:type="dxa" w:w="25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&lt; 10 ms</w:t>
            </w:r>
          </w:p>
        </w:tc>
        <w:tc>
          <w:tcPr>
            <w:tcW w:type="dxa" w:w="36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std::chrono::high_resolution_clock; p50 over 1000 runs</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Ciphertext size (n=8192)</w:t>
            </w:r>
          </w:p>
        </w:tc>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 400 KB per batch</w:t>
            </w:r>
          </w:p>
        </w:tc>
        <w:tc>
          <w:tcPr>
            <w:tcW w:type="dxa" w:w="3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ct.save() byte count after serialization</w:t>
            </w:r>
          </w:p>
        </w:tc>
      </w:tr>
      <w:tr>
        <w:tc>
          <w:tcPr>
            <w:tcW w:type="dxa" w:w="3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Security level</w:t>
            </w:r>
          </w:p>
        </w:tc>
        <w:tc>
          <w:tcPr>
            <w:tcW w:type="dxa" w:w="25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 128-bit classical</w:t>
            </w:r>
          </w:p>
        </w:tc>
        <w:tc>
          <w:tcPr>
            <w:tcW w:type="dxa" w:w="36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lattice-estimator.org output screenshot</w:t>
            </w:r>
          </w:p>
        </w:tc>
      </w:tr>
      <w:tr>
        <w:tc>
          <w:tcPr>
            <w:tcW w:type="dxa" w:w="3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Hoisting speedup</w:t>
            </w:r>
          </w:p>
        </w:tc>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 5×</w:t>
            </w:r>
          </w:p>
        </w:tc>
        <w:tc>
          <w:tcPr>
            <w:tcW w:type="dxa" w:w="3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Ablation: hoisted vs naive rotation timing</w:t>
            </w:r>
          </w:p>
        </w:tc>
      </w:tr>
    </w:tbl>
    <w:p>
      <w:pPr>
        <w:spacing w:after="60" w:before="60"/>
      </w:pPr>
      <w:r>
        <w:rPr>
          <w:rFonts w:ascii="Arial" w:cs="Arial" w:eastAsia="Arial" w:hAnsi="Arial"/>
          <w:b w:val="false"/>
          <w:bCs w:val="false"/>
          <w:i w:val="false"/>
          <w:iCs w:val="false"/>
          <w:color w:val="2C3E50"/>
          <w:sz w:val="20"/>
          <w:szCs w:val="20"/>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60"/>
      </w:tblGrid>
      <w:tr>
        <w:tc>
          <w:tcPr>
            <w:tcW w:type="dxa" w:w="9160"/>
            <w:tcBorders>
              <w:top w:val="none" w:color="FFFFFF" w:sz="0"/>
              <w:left w:val="single" w:color="1F3864" w:sz="20"/>
              <w:bottom w:val="none" w:color="FFFFFF" w:sz="0"/>
              <w:right w:val="none" w:color="FFFFFF" w:sz="0"/>
            </w:tcBorders>
            <w:shd w:fill="D6E4F0" w:val="clear"/>
            <w:tcMar>
              <w:top w:type="dxa" w:w="100"/>
              <w:left w:type="dxa" w:w="180"/>
              <w:bottom w:type="dxa" w:w="100"/>
              <w:right w:type="dxa" w:w="180"/>
            </w:tcMar>
          </w:tcPr>
          <w:p>
            <w:pPr>
              <w:spacing w:after="40" w:before="40"/>
            </w:pPr>
            <w:r>
              <w:rPr>
                <w:rFonts w:ascii="Arial" w:cs="Arial" w:eastAsia="Arial" w:hAnsi="Arial"/>
                <w:b/>
                <w:bCs/>
                <w:color w:val="1F3864"/>
                <w:sz w:val="19"/>
                <w:szCs w:val="19"/>
              </w:rPr>
              <w:t xml:space="preserve">🔑  Core Thesis Statement</w:t>
            </w:r>
          </w:p>
          <w:p>
            <w:pPr>
              <w:spacing w:after="40" w:before="40"/>
            </w:pPr>
            <w:r>
              <w:rPr>
                <w:rFonts w:ascii="Arial" w:cs="Arial" w:eastAsia="Arial" w:hAnsi="Arial"/>
                <w:color w:val="2C3E50"/>
                <w:sz w:val="19"/>
                <w:szCs w:val="19"/>
              </w:rPr>
              <w:t xml:space="preserve">Linearizing Gradient Boosted Decision Trees to a depth-1 CKKS circuit enables a shift from n=16384 (&gt; 2 MB ciphertext, ~40 ms) to n=8192 (≤ 400 KB, &lt; 10 ms), achieving a 5× reduction in communication overhead and 4× latency improvement while retaining AUC ≥ 0.94 on production-class fraud data.</w:t>
            </w:r>
          </w:p>
        </w:tc>
      </w:tr>
    </w:tbl>
    <w:p>
      <w:r>
        <w:br w:type="page"/>
      </w:r>
    </w:p>
    <w:p>
      <w:pPr>
        <w:pStyle w:val="Heading1"/>
        <w:pBdr>
          <w:bottom w:val="single" w:color="1F3864" w:sz="8" w:space="4"/>
        </w:pBdr>
        <w:spacing w:after="200" w:before="360"/>
      </w:pPr>
      <w:r>
        <w:rPr>
          <w:rFonts w:ascii="Arial" w:cs="Arial" w:eastAsia="Arial" w:hAnsi="Arial"/>
          <w:b/>
          <w:bCs/>
          <w:color w:val="1F3864"/>
          <w:sz w:val="36"/>
          <w:szCs w:val="36"/>
        </w:rPr>
        <w:t xml:space="preserve">B. Phase-by-Phase Implementation (The Sprints)</w:t>
      </w:r>
    </w:p>
    <w:p>
      <w:pPr>
        <w:spacing w:after="80" w:before="80" w:line="320"/>
        <w:jc w:val="left"/>
      </w:pPr>
      <w:r>
        <w:rPr>
          <w:rFonts w:ascii="Arial" w:cs="Arial" w:eastAsia="Arial" w:hAnsi="Arial"/>
          <w:b w:val="false"/>
          <w:bCs w:val="false"/>
          <w:i w:val="false"/>
          <w:iCs w:val="false"/>
          <w:color w:val="2C3E50"/>
          <w:sz w:val="20"/>
          <w:szCs w:val="20"/>
        </w:rPr>
        <w:t xml:space="preserve">Each phase follows a strict Gate → Build → Verify cycle. Do not advance to the next phase until all exit criteria are met. Phases 1 and 2 can be developed in parallel on separate branches; Phase 3 depends on both.</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160"/>
      </w:tblGrid>
      <w:tr>
        <w:tc>
          <w:tcPr>
            <w:tcW w:type="dxa" w:w="9160"/>
            <w:tcBorders>
              <w:top w:val="none" w:color="FFFFFF" w:sz="0"/>
              <w:left w:val="none" w:color="FFFFFF" w:sz="0"/>
              <w:bottom w:val="none" w:color="FFFFFF" w:sz="0"/>
              <w:right w:val="none" w:color="FFFFFF" w:sz="0"/>
            </w:tcBorders>
            <w:shd w:fill="1F3864" w:val="clear"/>
            <w:tcMar>
              <w:top w:type="dxa" w:w="160"/>
              <w:left w:type="dxa" w:w="240"/>
              <w:bottom w:type="dxa" w:w="160"/>
              <w:right w:type="dxa" w:w="240"/>
            </w:tcMar>
          </w:tcPr>
          <w:p>
            <w:r>
              <w:rPr>
                <w:rFonts w:ascii="Arial" w:cs="Arial" w:eastAsia="Arial" w:hAnsi="Arial"/>
                <w:b/>
                <w:bCs/>
                <w:color w:val="AACCEE"/>
                <w:sz w:val="20"/>
                <w:szCs w:val="20"/>
              </w:rPr>
              <w:t xml:space="preserve">PHASE 1 · Sprint 1–2</w:t>
            </w:r>
          </w:p>
          <w:p>
            <w:pPr>
              <w:spacing w:after="40" w:before="60"/>
            </w:pPr>
            <w:r>
              <w:rPr>
                <w:rFonts w:ascii="Arial" w:cs="Arial" w:eastAsia="Arial" w:hAnsi="Arial"/>
                <w:b/>
                <w:bCs/>
                <w:color w:val="FFFFFF"/>
                <w:sz w:val="36"/>
                <w:szCs w:val="36"/>
              </w:rPr>
              <w:t xml:space="preserve">The HE Core (C++)</w:t>
            </w:r>
          </w:p>
          <w:p>
            <w:r>
              <w:rPr>
                <w:rFonts w:ascii="Arial" w:cs="Arial" w:eastAsia="Arial" w:hAnsi="Arial"/>
                <w:color w:val="D0E8F8"/>
                <w:sz w:val="20"/>
                <w:szCs w:val="20"/>
              </w:rPr>
              <w:t xml:space="preserve">ckks_context · rotation_hoisting · standalone benchmark</w:t>
            </w:r>
          </w:p>
        </w:tc>
      </w:tr>
    </w:tbl>
    <w:p>
      <w:pPr>
        <w:pStyle w:val="Heading3"/>
        <w:spacing w:after="100" w:before="220"/>
      </w:pPr>
      <w:r>
        <w:rPr>
          <w:rFonts w:ascii="Arial" w:cs="Arial" w:eastAsia="Arial" w:hAnsi="Arial"/>
          <w:b/>
          <w:bCs/>
          <w:color w:val="1B6CA8"/>
          <w:sz w:val="24"/>
          <w:szCs w:val="24"/>
        </w:rPr>
        <w:t xml:space="preserve">Objectives</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Instantiate a valid SEAL 4.1 CKKS context with the exact parameter regime.</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Implement a depth-1 inference kernel: multiply_plain → rescale → hoisted rotation tree-sum.</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Produce a standalone benchmark.cpp proving &lt; 10 ms core inference latency.</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Generate Galois keys for the minimal rotation set only.</w:t>
      </w:r>
    </w:p>
    <w:p>
      <w:pPr>
        <w:pStyle w:val="Heading3"/>
        <w:spacing w:after="100" w:before="220"/>
      </w:pPr>
      <w:r>
        <w:rPr>
          <w:rFonts w:ascii="Arial" w:cs="Arial" w:eastAsia="Arial" w:hAnsi="Arial"/>
          <w:b/>
          <w:bCs/>
          <w:color w:val="1B6CA8"/>
          <w:sz w:val="24"/>
          <w:szCs w:val="24"/>
        </w:rPr>
        <w:t xml:space="preserve">Step-by-Step Implementation</w:t>
      </w:r>
    </w:p>
    <w:p>
      <w:pPr>
        <w:spacing w:after="80" w:before="180"/>
      </w:pPr>
      <w:r>
        <w:rPr>
          <w:rFonts w:ascii="Arial" w:cs="Arial" w:eastAsia="Arial" w:hAnsi="Arial"/>
          <w:b/>
          <w:bCs/>
          <w:color w:val="5B2C8D"/>
          <w:sz w:val="22"/>
          <w:szCs w:val="22"/>
        </w:rPr>
        <w:t xml:space="preserve">Step 1.1 — CMake Project Scaffold</w:t>
      </w:r>
    </w:p>
    <w:p>
      <w:pPr>
        <w:spacing w:after="80" w:before="80" w:line="320"/>
        <w:jc w:val="left"/>
      </w:pPr>
      <w:r>
        <w:rPr>
          <w:rFonts w:ascii="Arial" w:cs="Arial" w:eastAsia="Arial" w:hAnsi="Arial"/>
          <w:b w:val="false"/>
          <w:bCs w:val="false"/>
          <w:i w:val="false"/>
          <w:iCs w:val="false"/>
          <w:color w:val="2C3E50"/>
          <w:sz w:val="20"/>
          <w:szCs w:val="20"/>
        </w:rPr>
        <w:t xml:space="preserve">Create he_core/CMakeLists.txt with SEAL 4.1 as a fetched dependency:</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cmake_minimum_required(VERSION 3.20)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project(ppfdaas_he_core CXX)</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set(CMAKE_CXX_STANDARD 17)</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Fetch Microsoft SEAL 4.1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include(FetchContent)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FetchContent_Declare(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GIT_REPOSITORY https://github.com/microsoft/SEAL.git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GIT_TAG        v4.1.1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set(SEAL_USE_ZSTD OFF CACHE BOOL "" FORCE)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set(SEAL_BUILD_DEPS ON  CACHE BOOL "" FORCE)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FetchContent_MakeAvailable(SEAL)</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find_package(OpenMP REQUIRED)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add_library(he_core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src/ckks_context.cpp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src/he_inference.cpp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src/rotation_hoisting.cpp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target_include_directories(he_core PUBLIC include)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target_link_libraries(he_core PUBLIC SEAL::seal OpenMP::OpenMP_CXX)</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add_executable(benchmark src/benchmark.cpp)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target_link_libraries(benchmark PRIVATE he_core)</w:t>
            </w:r>
          </w:p>
        </w:tc>
      </w:tr>
    </w:tbl>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60"/>
      </w:tblGrid>
      <w:tr>
        <w:tc>
          <w:tcPr>
            <w:tcW w:type="dxa" w:w="9160"/>
            <w:tcBorders>
              <w:top w:val="none" w:color="FFFFFF" w:sz="0"/>
              <w:left w:val="single" w:color="D68910" w:sz="20"/>
              <w:bottom w:val="none" w:color="FFFFFF" w:sz="0"/>
              <w:right w:val="none" w:color="FFFFFF" w:sz="0"/>
            </w:tcBorders>
            <w:shd w:fill="FEF9E7" w:val="clear"/>
            <w:tcMar>
              <w:top w:type="dxa" w:w="100"/>
              <w:left w:type="dxa" w:w="180"/>
              <w:bottom w:type="dxa" w:w="100"/>
              <w:right w:type="dxa" w:w="180"/>
            </w:tcMar>
          </w:tcPr>
          <w:p>
            <w:pPr>
              <w:spacing w:after="40" w:before="40"/>
            </w:pPr>
            <w:r>
              <w:rPr>
                <w:rFonts w:ascii="Arial" w:cs="Arial" w:eastAsia="Arial" w:hAnsi="Arial"/>
                <w:b/>
                <w:bCs/>
                <w:color w:val="D68910"/>
                <w:sz w:val="19"/>
                <w:szCs w:val="19"/>
              </w:rPr>
              <w:t xml:space="preserve">⚠️  Pro-Tip: CMake/Linking</w:t>
            </w:r>
          </w:p>
          <w:p>
            <w:pPr>
              <w:spacing w:after="40" w:before="40"/>
            </w:pPr>
            <w:r>
              <w:rPr>
                <w:rFonts w:ascii="Arial" w:cs="Arial" w:eastAsia="Arial" w:hAnsi="Arial"/>
                <w:color w:val="2C3E50"/>
                <w:sz w:val="19"/>
                <w:szCs w:val="19"/>
              </w:rPr>
              <w:t xml:space="preserve">Never link SEAL::seal_shared when building Pybind11 extensions — symbol resolution fails at dlopen time. Always use SEAL::seal (static). Add set(CMAKE_POSITION_INDEPENDENT_CODE ON) globally for all targets.</w:t>
            </w:r>
          </w:p>
        </w:tc>
      </w:tr>
    </w:tbl>
    <w:p>
      <w:pPr>
        <w:spacing w:after="80" w:before="180"/>
      </w:pPr>
      <w:r>
        <w:rPr>
          <w:rFonts w:ascii="Arial" w:cs="Arial" w:eastAsia="Arial" w:hAnsi="Arial"/>
          <w:b/>
          <w:bCs/>
          <w:color w:val="5B2C8D"/>
          <w:sz w:val="22"/>
          <w:szCs w:val="22"/>
        </w:rPr>
        <w:t xml:space="preserve">Step 1.2 — CKKS Context (ckks_context.h / .cpp)</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include/ckks_context.h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#pragma once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&lt;seal/seal.h&gt;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&lt;memory&gt;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struct CKKSContext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seal::SEALContext        context;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seal::KeyGenerator       keygen;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seal::SecretKey          secret_key;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seal::PublicKey          public_key;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seal::GaloisKeys         galois_keys;  // minimal set only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seal::Encryptor          encryptor;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seal::Evaluator          evaluator;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seal::Decryptor          decryptor;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seal::CKKSEncoder        encoder;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double                   scale;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explicit CKKSContext();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static seal::EncryptionParameters make_params();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bl>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src/ckks_context.cpp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"ckks_context.h"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seal::EncryptionParameters CKKSContext::make_params()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seal::EncryptionParameters params(seal::scheme_type::ckks);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HARD CONSTRAINT: n = 8192</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params.set_poly_modulus_degree(8192);</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coeff_modulus = [60, 40, 40, 60] → total ≈ 200 bits → 128-bit security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params.set_coeff_modulus(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seal::CoeffModulus::Create(8192, {60, 40, 40, 60}));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params;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CKKSContext::CKKSContext()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context(make_params()),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keygen(context),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secret_key(keygen.secret_key()),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encryptor(context, [&amp;]{ seal::PublicKey pk;</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keygen.create_public_key(pk); public_key=pk; return pk;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evaluator(context),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decryptor(context, secret_key),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encoder(context),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scale(std::pow(2.0, 40))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Minimal Galois key set: exactly the rotation steps for log2(256) tree-sum</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std::vector&lt;int&gt; galois_steps = {1, 2, 4, 8, 16, 32, 64, 128};</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keygen.create_galois_keys(galois_steps, galois_keys);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bl>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60"/>
      </w:tblGrid>
      <w:tr>
        <w:tc>
          <w:tcPr>
            <w:tcW w:type="dxa" w:w="9160"/>
            <w:tcBorders>
              <w:top w:val="none" w:color="FFFFFF" w:sz="0"/>
              <w:left w:val="single" w:color="D68910" w:sz="20"/>
              <w:bottom w:val="none" w:color="FFFFFF" w:sz="0"/>
              <w:right w:val="none" w:color="FFFFFF" w:sz="0"/>
            </w:tcBorders>
            <w:shd w:fill="FEF9E7" w:val="clear"/>
            <w:tcMar>
              <w:top w:type="dxa" w:w="100"/>
              <w:left w:type="dxa" w:w="180"/>
              <w:bottom w:type="dxa" w:w="100"/>
              <w:right w:type="dxa" w:w="180"/>
            </w:tcMar>
          </w:tcPr>
          <w:p>
            <w:pPr>
              <w:spacing w:after="40" w:before="40"/>
            </w:pPr>
            <w:r>
              <w:rPr>
                <w:rFonts w:ascii="Arial" w:cs="Arial" w:eastAsia="Arial" w:hAnsi="Arial"/>
                <w:b/>
                <w:bCs/>
                <w:color w:val="D68910"/>
                <w:sz w:val="19"/>
                <w:szCs w:val="19"/>
              </w:rPr>
              <w:t xml:space="preserve">⚠️  Pro-Tip</w:t>
            </w:r>
          </w:p>
          <w:p>
            <w:pPr>
              <w:spacing w:after="40" w:before="40"/>
            </w:pPr>
            <w:r>
              <w:rPr>
                <w:rFonts w:ascii="Arial" w:cs="Arial" w:eastAsia="Arial" w:hAnsi="Arial"/>
                <w:color w:val="2C3E50"/>
                <w:sz w:val="19"/>
                <w:szCs w:val="19"/>
              </w:rPr>
              <w:t xml:space="preserve">Generating Galois keys for ALL rotations uses ~700 MB RAM. Restricting to {1,2,4,8,16,32,64,128} reduces key size to ~28 MB and is sufficient for log2(256)=8 rotation steps.</w:t>
            </w:r>
          </w:p>
        </w:tc>
      </w:tr>
    </w:tbl>
    <w:p>
      <w:pPr>
        <w:spacing w:after="80" w:before="180"/>
      </w:pPr>
      <w:r>
        <w:rPr>
          <w:rFonts w:ascii="Arial" w:cs="Arial" w:eastAsia="Arial" w:hAnsi="Arial"/>
          <w:b/>
          <w:bCs/>
          <w:color w:val="5B2C8D"/>
          <w:sz w:val="22"/>
          <w:szCs w:val="22"/>
        </w:rPr>
        <w:t xml:space="preserve">Step 1.3 — Rotation Hoisting Engine (rotation_hoisting.h / .cpp)</w:t>
      </w:r>
    </w:p>
    <w:p>
      <w:pPr>
        <w:spacing w:after="80" w:before="80" w:line="320"/>
        <w:jc w:val="left"/>
      </w:pPr>
      <w:r>
        <w:rPr>
          <w:rFonts w:ascii="Arial" w:cs="Arial" w:eastAsia="Arial" w:hAnsi="Arial"/>
          <w:b w:val="false"/>
          <w:bCs w:val="false"/>
          <w:i w:val="false"/>
          <w:iCs w:val="false"/>
          <w:color w:val="2C3E50"/>
          <w:sz w:val="20"/>
          <w:szCs w:val="20"/>
        </w:rPr>
        <w:t xml:space="preserve">Hoisting decomposes the ciphertext once into its NTT form, then applies each Galois automorphism directly on the decomposed representation, avoiding redundant NTT/INTT pairs.</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src/rotation_hoisting.cpp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"rotation_hoisting.h"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Hoisted tree-sum: sums all 256-slot segments across 4096-slot ciphertext.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Steps: decompose ct once → loop apply_galois → accumulate.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seal::Ciphertext hoisted_tree_sum(</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seal::Ciphertext&amp; ct,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seal::GaloisKeys&amp; galois_keys,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seal::Evaluator&amp; evaluator,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int num_features)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seal::Ciphertext result = ct;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int steps = static_cast&lt;int&gt;(std::log2(num_features)); // log2(256) = 8</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Single decompose — this is the expensive NTT step, done ONCE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auto decomposed = evaluator.decompose(ct);  // internal KS representation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for (int i = 0; i &lt; steps; ++i)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int rotation = 1 &lt;&lt; i; // 1, 2, 4, ..., 128</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seal::Ciphertext rotated;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apply_galois uses pre-decomposed form — avoids redundant NTT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evaluator.apply_galois(ct, evaluator.get_context()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.galois_tool()-&gt;get_elt_from_step(rotation),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galois_keys, rotated);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evaluator.add_inplace(result, rotated);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result;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bl>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60"/>
      </w:tblGrid>
      <w:tr>
        <w:tc>
          <w:tcPr>
            <w:tcW w:type="dxa" w:w="9160"/>
            <w:tcBorders>
              <w:top w:val="none" w:color="FFFFFF" w:sz="0"/>
              <w:left w:val="single" w:color="C0392B" w:sz="20"/>
              <w:bottom w:val="none" w:color="FFFFFF" w:sz="0"/>
              <w:right w:val="none" w:color="FFFFFF" w:sz="0"/>
            </w:tcBorders>
            <w:shd w:fill="FADBD8" w:val="clear"/>
            <w:tcMar>
              <w:top w:type="dxa" w:w="100"/>
              <w:left w:type="dxa" w:w="180"/>
              <w:bottom w:type="dxa" w:w="100"/>
              <w:right w:type="dxa" w:w="180"/>
            </w:tcMar>
          </w:tcPr>
          <w:p>
            <w:pPr>
              <w:spacing w:after="40" w:before="40"/>
            </w:pPr>
            <w:r>
              <w:rPr>
                <w:rFonts w:ascii="Arial" w:cs="Arial" w:eastAsia="Arial" w:hAnsi="Arial"/>
                <w:b/>
                <w:bCs/>
                <w:color w:val="C0392B"/>
                <w:sz w:val="19"/>
                <w:szCs w:val="19"/>
              </w:rPr>
              <w:t xml:space="preserve">⚠️  SEAL 4.1 API Note</w:t>
            </w:r>
          </w:p>
          <w:p>
            <w:pPr>
              <w:spacing w:after="40" w:before="40"/>
            </w:pPr>
            <w:r>
              <w:rPr>
                <w:rFonts w:ascii="Arial" w:cs="Arial" w:eastAsia="Arial" w:hAnsi="Arial"/>
                <w:color w:val="2C3E50"/>
                <w:sz w:val="19"/>
                <w:szCs w:val="19"/>
              </w:rPr>
              <w:t xml:space="preserve">SEAL 4.1 does not expose a single "decompose" function in the public API. The hoisting pattern is implemented via rotate_vector with the evaluator reusing internal KS keys. For true hoisting, use the evaluator.rotate_vector_inplace loop but pre-load galois_keys into a KSwitchKeys object. Benchmark both to confirm the 6× speedup. If not achieved, verify that OpenMP is enabled (cmake -DSEAL_USE_OPENMP=ON).</w:t>
            </w:r>
          </w:p>
        </w:tc>
      </w:tr>
    </w:tbl>
    <w:p>
      <w:pPr>
        <w:spacing w:after="80" w:before="180"/>
      </w:pPr>
      <w:r>
        <w:rPr>
          <w:rFonts w:ascii="Arial" w:cs="Arial" w:eastAsia="Arial" w:hAnsi="Arial"/>
          <w:b/>
          <w:bCs/>
          <w:color w:val="5B2C8D"/>
          <w:sz w:val="22"/>
          <w:szCs w:val="22"/>
        </w:rPr>
        <w:t xml:space="preserve">Step 1.4 — HE Inference Kernel (he_inference.cpp)</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seal::Ciphertext run_inference(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seal::Ciphertext&amp; ct_input,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seal::Plaintext&amp;  pt_weights,   // pre-loaded from model_weights.bin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CKKSContext&amp;      ctx)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seal::Ciphertext ct = ct_input;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DEPTH-1 CIRCUIT: exactly one multiply + one rescale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ctx.evaluator.multiply_plain_inplace(ct, pt_weights);  // depth: 0 → 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ctx.evaluator.rescale_to_next_inplace(ct);             // scale: 2^80 → 2^40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Tree-sum: aggregate 256 features into slot 0 of each of 16 transactions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hoisted_tree_sum(ct, ctx.galois_keys, ctx.evaluator, 256);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bl>
    <w:p>
      <w:pPr>
        <w:spacing w:after="80" w:before="180"/>
      </w:pPr>
      <w:r>
        <w:rPr>
          <w:rFonts w:ascii="Arial" w:cs="Arial" w:eastAsia="Arial" w:hAnsi="Arial"/>
          <w:b/>
          <w:bCs/>
          <w:color w:val="5B2C8D"/>
          <w:sz w:val="22"/>
          <w:szCs w:val="22"/>
        </w:rPr>
        <w:t xml:space="preserve">Step 1.5 — Standalone Benchmark (benchmark.cpp)</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&lt;chrono&gt;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&lt;iostream&gt;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"ckks_context.h"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"he_inference.h"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int main()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CKKSContext ctx;</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int N_ITER = 1000;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Synthetic plaintext: 16 txns × 256 features, normalized to [-1, 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std::vector&lt;double&gt; raw(4096, 0.42);</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seal::Plaintext pt_input, pt_weights;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ctx.encoder.encode(raw, ctx.scale, pt_input);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Simulate loaded weights (all 0.001)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std::vector&lt;double&gt; weights(4096, 0.001);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ctx.encoder.encode(weights, ctx.scale, pt_weights);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seal::Ciphertext ct;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ctx.encryptor.encrypt(pt_input, ct);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long long total_us = 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for (int i = 0; i &lt; N_ITER; ++i)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auto t0 = std::chrono::high_resolution_clock::now();</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auto result = run_inference(ct, pt_weights, ctx);</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auto t1 = std::chrono::high_resolution_clock::now();</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total_us += std::chrono::duration_cast&lt;std::chrono::microseconds&gt;(t1-t0).count();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std::cout &lt;&lt; "Avg inference latency: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&lt;&lt; (total_us / N_ITER) &lt;&lt; " µs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&lt;&lt; (total_us / N_ITER / 1000.0) &lt;&lt; " ms)\n";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(total_us / N_ITER) &lt; 10000 ? 0 : 1; // exit 1 if target missed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bl>
    <w:p>
      <w:pPr>
        <w:pStyle w:val="Heading3"/>
        <w:spacing w:after="100" w:before="220"/>
      </w:pPr>
      <w:r>
        <w:rPr>
          <w:rFonts w:ascii="Arial" w:cs="Arial" w:eastAsia="Arial" w:hAnsi="Arial"/>
          <w:b/>
          <w:bCs/>
          <w:color w:val="1B6CA8"/>
          <w:sz w:val="24"/>
          <w:szCs w:val="24"/>
        </w:rPr>
        <w:t xml:space="preserve">Key Files — Phase 1</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0"/>
        <w:gridCol w:w="5160"/>
      </w:tblGrid>
      <w:tr>
        <w:trPr>
          <w:tblHeader/>
        </w:trPr>
        <w:tc>
          <w:tcPr>
            <w:tcW w:type="dxa" w:w="40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File</w:t>
            </w:r>
          </w:p>
        </w:tc>
        <w:tc>
          <w:tcPr>
            <w:tcW w:type="dxa" w:w="516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Role</w:t>
            </w:r>
          </w:p>
        </w:tc>
      </w:tr>
      <w:tr>
        <w:tc>
          <w:tcPr>
            <w:tcW w:type="dxa" w:w="4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he_core/CMakeLists.txt</w:t>
            </w:r>
          </w:p>
        </w:tc>
        <w:tc>
          <w:tcPr>
            <w:tcW w:type="dxa" w:w="5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Fetches SEAL 4.1, configures OpenMP, builds he_core lib + benchmark binary</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he_core/include/ckks_context.h</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Context struct: params, keys, encryptor/evaluator/decryptor</w:t>
            </w:r>
          </w:p>
        </w:tc>
      </w:tr>
      <w:tr>
        <w:tc>
          <w:tcPr>
            <w:tcW w:type="dxa" w:w="4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he_core/src/ckks_context.cpp</w:t>
            </w:r>
          </w:p>
        </w:tc>
        <w:tc>
          <w:tcPr>
            <w:tcW w:type="dxa" w:w="5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Hard-coded n=8192, [60,40,40,60], scale=2^40, minimal Galois keys</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he_core/src/he_inference.cpp</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Depth-1 circuit: multiply_plain → rescale → hoisted tree-sum</w:t>
            </w:r>
          </w:p>
        </w:tc>
      </w:tr>
      <w:tr>
        <w:tc>
          <w:tcPr>
            <w:tcW w:type="dxa" w:w="4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he_core/src/rotation_hoisting.cpp</w:t>
            </w:r>
          </w:p>
        </w:tc>
        <w:tc>
          <w:tcPr>
            <w:tcW w:type="dxa" w:w="5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Hoisted rotation engine: O(log 256) apply_galois calls</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he_core/src/benchmark.cpp</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Standalone 1000-run timing loop; exits non-zero if &gt; 10 ms</w:t>
            </w:r>
          </w:p>
        </w:tc>
      </w:tr>
    </w:tbl>
    <w:p>
      <w:pPr>
        <w:pStyle w:val="Heading3"/>
        <w:spacing w:after="100" w:before="220"/>
      </w:pPr>
      <w:r>
        <w:rPr>
          <w:rFonts w:ascii="Arial" w:cs="Arial" w:eastAsia="Arial" w:hAnsi="Arial"/>
          <w:b/>
          <w:bCs/>
          <w:color w:val="1B6CA8"/>
          <w:sz w:val="24"/>
          <w:szCs w:val="24"/>
        </w:rPr>
        <w:t xml:space="preserve">Exit Criteria — Phase 1</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cmake --build . --target benchmark runs without linker errors</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./benchmark outputs avg latency &lt; 10 ms on target hardware</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./benchmark exits with code 0</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Valgrind memcheck reports zero errors on single inference run</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Galois key file serialized to disk is ≤ 30 MB</w:t>
      </w:r>
    </w:p>
    <w:p>
      <w:r>
        <w:br w:type="page"/>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160"/>
      </w:tblGrid>
      <w:tr>
        <w:tc>
          <w:tcPr>
            <w:tcW w:type="dxa" w:w="9160"/>
            <w:tcBorders>
              <w:top w:val="none" w:color="FFFFFF" w:sz="0"/>
              <w:left w:val="none" w:color="FFFFFF" w:sz="0"/>
              <w:bottom w:val="none" w:color="FFFFFF" w:sz="0"/>
              <w:right w:val="none" w:color="FFFFFF" w:sz="0"/>
            </w:tcBorders>
            <w:shd w:fill="1B6CA8" w:val="clear"/>
            <w:tcMar>
              <w:top w:type="dxa" w:w="160"/>
              <w:left w:type="dxa" w:w="240"/>
              <w:bottom w:type="dxa" w:w="160"/>
              <w:right w:type="dxa" w:w="240"/>
            </w:tcMar>
          </w:tcPr>
          <w:p>
            <w:r>
              <w:rPr>
                <w:rFonts w:ascii="Arial" w:cs="Arial" w:eastAsia="Arial" w:hAnsi="Arial"/>
                <w:b/>
                <w:bCs/>
                <w:color w:val="AACCEE"/>
                <w:sz w:val="20"/>
                <w:szCs w:val="20"/>
              </w:rPr>
              <w:t xml:space="preserve">PHASE 2 · Sprint 3–4</w:t>
            </w:r>
          </w:p>
          <w:p>
            <w:pPr>
              <w:spacing w:after="40" w:before="60"/>
            </w:pPr>
            <w:r>
              <w:rPr>
                <w:rFonts w:ascii="Arial" w:cs="Arial" w:eastAsia="Arial" w:hAnsi="Arial"/>
                <w:b/>
                <w:bCs/>
                <w:color w:val="FFFFFF"/>
                <w:sz w:val="36"/>
                <w:szCs w:val="36"/>
              </w:rPr>
              <w:t xml:space="preserve">Model Compiler &amp; Bridge (Python → Pybind11)</w:t>
            </w:r>
          </w:p>
          <w:p>
            <w:r>
              <w:rPr>
                <w:rFonts w:ascii="Arial" w:cs="Arial" w:eastAsia="Arial" w:hAnsi="Arial"/>
                <w:color w:val="D0E8F8"/>
                <w:sz w:val="20"/>
                <w:szCs w:val="20"/>
              </w:rPr>
              <w:t xml:space="preserve">XGBoost linearization · weight serialization · Python HE wrapper</w:t>
            </w:r>
          </w:p>
        </w:tc>
      </w:tr>
    </w:tbl>
    <w:p>
      <w:pPr>
        <w:pStyle w:val="Heading3"/>
        <w:spacing w:after="100" w:before="220"/>
      </w:pPr>
      <w:r>
        <w:rPr>
          <w:rFonts w:ascii="Arial" w:cs="Arial" w:eastAsia="Arial" w:hAnsi="Arial"/>
          <w:b/>
          <w:bCs/>
          <w:color w:val="1B6CA8"/>
          <w:sz w:val="24"/>
          <w:szCs w:val="24"/>
        </w:rPr>
        <w:t xml:space="preserve">Objectives</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Train XGBoost on IEEE-CIS dataset and record baseline AUC ≥ 0.98.</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Implement GBDT linearization via Taylor-gradient summation, yielding a weight vector w ∈ R^256 and scalar bias b.</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Serialize weights to model_weights.bin in a format directly loadable by the C++ vendor server.</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Expose SEAL encrypt_batch() and decrypt_batch() to Python via Pybind11.</w:t>
      </w:r>
    </w:p>
    <w:p>
      <w:pPr>
        <w:pStyle w:val="Heading3"/>
        <w:spacing w:after="100" w:before="220"/>
      </w:pPr>
      <w:r>
        <w:rPr>
          <w:rFonts w:ascii="Arial" w:cs="Arial" w:eastAsia="Arial" w:hAnsi="Arial"/>
          <w:b/>
          <w:bCs/>
          <w:color w:val="1B6CA8"/>
          <w:sz w:val="24"/>
          <w:szCs w:val="24"/>
        </w:rPr>
        <w:t xml:space="preserve">Step-by-Step Implementation</w:t>
      </w:r>
    </w:p>
    <w:p>
      <w:pPr>
        <w:spacing w:after="80" w:before="180"/>
      </w:pPr>
      <w:r>
        <w:rPr>
          <w:rFonts w:ascii="Arial" w:cs="Arial" w:eastAsia="Arial" w:hAnsi="Arial"/>
          <w:b/>
          <w:bCs/>
          <w:color w:val="5B2C8D"/>
          <w:sz w:val="22"/>
          <w:szCs w:val="22"/>
        </w:rPr>
        <w:t xml:space="preserve">Step 2.1 — Dataset Pipeline (train_xgboost.py)</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pandas as pd, numpy as np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sklearn.preprocessing import StandardScaler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sklearn.model_selection import train_test_split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sklearn.metrics import roc_auc_score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xgboost import XGBClassifier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1. Load IEEE-CIS Fraud Detection dataset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txn   = pd.read_csv("data/train_transaction.csv")</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ident = pd.read_csv("data/train_identity.csv")</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df    = txn.merge(ident, on="TransactionID", how="left")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2. Drop high-null columns (&gt;50% missing) and fill remaining with median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thresh = len(df) * 0.5</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df.dropna(axis=1, thresh=thresh, inplace=True)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df.fillna(df.median(numeric_only=True), inplace=True)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3. Encode categoricals as integer codes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cat_cols = df.select_dtypes(["object", "category"]).columns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df[cat_cols] = df[cat_cols].apply(lambda c: c.astype("category").cat.codes)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4. Select top 256 features by XGBoost importance (set later)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FEATURE_COUNT = 256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y = df["isFraud"].values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X = df.drop(columns=["isFraud", "TransactionID"]).values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5. Z-score normalize to [-1, 1] approximate range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scaler = StandardScaler()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X = scaler.fit_transform(X)</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6. Train / test split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X_train, X_test, y_train, y_test = train_test_split(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X, y, test_size=0.2, random_state=42, stratify=y)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7. Train XGBoost (max_depth=2 for near-linear decision surfaces)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model = XGBClassifier(max_depth=2, n_estimators=200,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learning_rate=0.05, tree_method="hist",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eval_metric="auc", random_state=42)</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model.fit(X_train, y_train,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eval_set=[(X_test, y_test)], verbose=False)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auc = roc_auc_score(y_test, model.predict_proba(X_test)[:,1])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print(f"XGBoost AUC: {auc:.4f}")   # Target: ≥ 0.98</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assert auc &gt;= 0.98, "Baseline AUC below 0.98 — tune hyperparameters"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model.save_model("artifacts/xgboost_model.json")</w:t>
            </w:r>
          </w:p>
        </w:tc>
      </w:tr>
    </w:tbl>
    <w:p>
      <w:pPr>
        <w:spacing w:after="80" w:before="180"/>
      </w:pPr>
      <w:r>
        <w:rPr>
          <w:rFonts w:ascii="Arial" w:cs="Arial" w:eastAsia="Arial" w:hAnsi="Arial"/>
          <w:b/>
          <w:bCs/>
          <w:color w:val="5B2C8D"/>
          <w:sz w:val="22"/>
          <w:szCs w:val="22"/>
        </w:rPr>
        <w:t xml:space="preserve">Step 2.2 — GBDT Linearization (linearize.py)</w:t>
      </w:r>
    </w:p>
    <w:p>
      <w:pPr>
        <w:spacing w:after="80" w:before="80" w:line="320"/>
        <w:jc w:val="left"/>
      </w:pPr>
      <w:r>
        <w:rPr>
          <w:rFonts w:ascii="Arial" w:cs="Arial" w:eastAsia="Arial" w:hAnsi="Arial"/>
          <w:b w:val="false"/>
          <w:bCs w:val="false"/>
          <w:i w:val="false"/>
          <w:iCs w:val="false"/>
          <w:color w:val="2C3E50"/>
          <w:sz w:val="20"/>
          <w:szCs w:val="20"/>
        </w:rPr>
        <w:t xml:space="preserve">The core patentable step. The linearization converts the non-linear tree ensemble into a global linear approximation using gradient-based weight extraction: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numpy as np, struct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xgboost import XGBClassifier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shap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def linearize_xgboost(model: XGBClassifier,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X_train: np.ndarray,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n_features: int = 256) -&gt; tuple[np.ndarray, float]: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Linearize XGBoost into F(x) ≈ b + w^T x</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Method: gradient-weighted SHAP mean (Taylor expansion approximation)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Returns: (weights: ndarray[n_features], bias: float)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Step 1: Compute SHAP values for the full training set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explainer  = shap.TreeExplainer(model)</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shap_vals  = explainer.shap_values(X_train)  # shape: (N, n_features)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Step 2: Weight vector = mean |SHAP value| per feature (global attribution)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This is the Taylor-first-order approximation: ∂F/∂x_i ≈ E[SHAP_i] / E[x_i]</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weights = np.mean(shap_vals, axis=0)  # shape: (n_features,)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Step 3: Bias = expected model output (log-odds) at mean input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bias = explainer.expected_value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if hasattr(bias, "__len__"): bias = float(bias[0])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Step 4: Select top n_features by |weight| magnitude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if X_train.shape[1] &gt; n_features: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top_idx = np.argsort(np.abs(weights))[-n_features:]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weights = weights[top_idx]</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Step 5: Normalize weights to prevent CKKS precision loss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weights = weights / (np.linalg.norm(weights) + 1e-8)</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weights.astype(np.float64), float(bias)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def validate_linearized_auc(model, weights, bias, X_test, y_test) -&gt; float: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"""Compute AUC of linearized model. Target: ≥ 0.94."""</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from sklearn.metrics import roc_auc_score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from scipy.special import expit  # sigmoid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scores = expit(X_test[:, :len(weights)] @ weights + bias)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auc = roc_auc_score(y_test, scores)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print(f"Linearized AUC: {auc:.4f}")   # Target: ≥ 0.94</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assert auc &gt;= 0.94, f"AUC {auc:.4f} below 0.94 threshold"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auc</w:t>
            </w:r>
          </w:p>
        </w:tc>
      </w:tr>
    </w:tbl>
    <w:p>
      <w:pPr>
        <w:spacing w:after="80" w:before="180"/>
      </w:pPr>
      <w:r>
        <w:rPr>
          <w:rFonts w:ascii="Arial" w:cs="Arial" w:eastAsia="Arial" w:hAnsi="Arial"/>
          <w:b/>
          <w:bCs/>
          <w:color w:val="5B2C8D"/>
          <w:sz w:val="22"/>
          <w:szCs w:val="22"/>
        </w:rPr>
        <w:t xml:space="preserve">Step 2.3 — Binary Weight Serialization (export_weights.py)</w:t>
      </w:r>
    </w:p>
    <w:p>
      <w:pPr>
        <w:spacing w:after="80" w:before="80" w:line="320"/>
        <w:jc w:val="left"/>
      </w:pPr>
      <w:r>
        <w:rPr>
          <w:rFonts w:ascii="Arial" w:cs="Arial" w:eastAsia="Arial" w:hAnsi="Arial"/>
          <w:b w:val="false"/>
          <w:bCs w:val="false"/>
          <w:i w:val="false"/>
          <w:iCs w:val="false"/>
          <w:color w:val="2C3E50"/>
          <w:sz w:val="20"/>
          <w:szCs w:val="20"/>
        </w:rPr>
        <w:t xml:space="preserve">The binary format must be byte-compatible with SEAL Plaintext encoding in the C++ server:</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def export_weights_bin(weights: np.ndarray, bias: float,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path: str = "artifacts/model_weights.bin"):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Binary layout (little-endian):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[0:4]   uint32  n_weights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[4:8]   float64 bias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[8:]    float64 × n_weights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with open(path, "wb") as f:</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f.write(struct.pack("&lt;I", len(weights)))   # 4 bytes: count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f.write(struct.pack("&lt;d", bias))            # 8 bytes: bias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f.write(weights.astype("&lt;f8").tobytes())    # 8 × n bytes: weights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print(f"Exported {len(weights)} weights + bias to {path}")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print(f"File size: {(4 + 8 + 8*len(weights)) / 1024:.1f} KB")</w:t>
            </w:r>
          </w:p>
        </w:tc>
      </w:tr>
    </w:tbl>
    <w:p>
      <w:pPr>
        <w:spacing w:after="80" w:before="180"/>
      </w:pPr>
      <w:r>
        <w:rPr>
          <w:rFonts w:ascii="Arial" w:cs="Arial" w:eastAsia="Arial" w:hAnsi="Arial"/>
          <w:b/>
          <w:bCs/>
          <w:color w:val="5B2C8D"/>
          <w:sz w:val="22"/>
          <w:szCs w:val="22"/>
        </w:rPr>
        <w:t xml:space="preserve">Step 2.4 — C++ Weight Loader (weight_loader.cpp)</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vendor_server/src/weight_loader.cpp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"weight_loader.h"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&lt;fstream&gt;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&lt;stdexcept&gt;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seal::Plaintext load_weights_as_plaintext(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std::string&amp; path,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seal::CKKSEncoder&amp; encoder,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double scale)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std::ifstream f(path, std::ios::binary);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if (!f) throw std::runtime_error("Cannot open: " + path);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uint32_t n; double bias;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f.read(reinterpret_cast&lt;char*&gt;(&amp;n),    4);</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f.read(reinterpret_cast&lt;char*&gt;(&amp;bias), 8);</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std::vector&lt;double&gt; w(n);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f.read(reinterpret_cast&lt;char*&gt;(w.data()), n * 8);</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Tile weights across all 16 transactions (SIMD packing)</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Slot layout: [w0..w255 | w0..w255 | ... × 16]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std::vector&lt;double&gt; packed(4096, 0.0);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for (int txn = 0; txn &lt; 16; ++txn)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for (int feat = 0; feat &lt; (int)n; ++feat)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packed[txn * 256 + feat] = w[feat];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seal::Plaintext pt;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encoder.encode(packed, scale, pt);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pt;  // stays in RAM; never leaves vendor server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bl>
    <w:p>
      <w:pPr>
        <w:spacing w:after="80" w:before="180"/>
      </w:pPr>
      <w:r>
        <w:rPr>
          <w:rFonts w:ascii="Arial" w:cs="Arial" w:eastAsia="Arial" w:hAnsi="Arial"/>
          <w:b/>
          <w:bCs/>
          <w:color w:val="5B2C8D"/>
          <w:sz w:val="22"/>
          <w:szCs w:val="22"/>
        </w:rPr>
        <w:t xml:space="preserve">Step 2.5 — Pybind11 Wrapper (seal_wrapper.cpp)</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bank_client/he_wrapper/seal_wrapper.cpp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&lt;pybind11/pybind11.h&gt;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&lt;pybind11/stl.h&gt;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&lt;pybind11/numpy.h&gt;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"ckks_context.h"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namespace py = pybind11;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Global context (initialized once per process)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static std::unique_ptr&lt;CKKSContext&gt; g_ctx;</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py::bytes encrypt_batch(py::array_t&lt;double&gt; features)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if (!g_ctx) g_ctx = std::make_unique&lt;CKKSContext&gt;();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auto buf = features.request();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std::vector&lt;double&gt; data((double*)buf.ptr,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(double*)buf.ptr + buf.size);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Pad to 4096 slots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data.resize(4096, 0.0);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seal::Plaintext pt;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g_ctx-&gt;encoder.encode(data, g_ctx-&gt;scale, pt);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seal::Ciphertext ct;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g_ctx-&gt;encryptor.encrypt(pt, ct);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std::stringstream ss;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ct.save(ss);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py::bytes(ss.str());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std::vector&lt;double&gt; decrypt_batch(py::bytes ct_bytes, int batch_size)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if (!g_ctx) throw std::runtime_error("Context not initialized");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std::string s(ct_bytes);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std::stringstream ss(s);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seal::Ciphertext ct;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ct.load(g_ctx-&gt;context, ss);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seal::Plaintext pt;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g_ctx-&gt;decryptor.decrypt(ct, pt);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std::vector&lt;double&gt; result;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g_ctx-&gt;encoder.decode(pt, result);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Return only slot 0 of each transaction (post tree-sum result)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std::vector&lt;double&gt; scores;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for (int i = 0; i &lt; batch_size; ++i)</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scores.push_back(result[i * 256]);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scores;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PYBIND11_MODULE(seal_wrapper, m)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m.doc() = "PPFDaaS SEAL encryption wrapper";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m.def("encrypt_batch", &amp;encrypt_batch,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"Encrypt 16-txn batch. Returns serialized ciphertext bytes.");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m.def("decrypt_batch", &amp;decrypt_batch,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"Decrypt result ciphertext. Returns fraud scores per transaction.");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bl>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60"/>
      </w:tblGrid>
      <w:tr>
        <w:tc>
          <w:tcPr>
            <w:tcW w:type="dxa" w:w="9160"/>
            <w:tcBorders>
              <w:top w:val="none" w:color="FFFFFF" w:sz="0"/>
              <w:left w:val="single" w:color="D68910" w:sz="20"/>
              <w:bottom w:val="none" w:color="FFFFFF" w:sz="0"/>
              <w:right w:val="none" w:color="FFFFFF" w:sz="0"/>
            </w:tcBorders>
            <w:shd w:fill="FEF9E7" w:val="clear"/>
            <w:tcMar>
              <w:top w:type="dxa" w:w="100"/>
              <w:left w:type="dxa" w:w="180"/>
              <w:bottom w:type="dxa" w:w="100"/>
              <w:right w:type="dxa" w:w="180"/>
            </w:tcMar>
          </w:tcPr>
          <w:p>
            <w:pPr>
              <w:spacing w:after="40" w:before="40"/>
            </w:pPr>
            <w:r>
              <w:rPr>
                <w:rFonts w:ascii="Arial" w:cs="Arial" w:eastAsia="Arial" w:hAnsi="Arial"/>
                <w:b/>
                <w:bCs/>
                <w:color w:val="D68910"/>
                <w:sz w:val="19"/>
                <w:szCs w:val="19"/>
              </w:rPr>
              <w:t xml:space="preserve">⚠️  Pro-Tip: Pybind11 CMake</w:t>
            </w:r>
          </w:p>
          <w:p>
            <w:pPr>
              <w:spacing w:after="40" w:before="40"/>
            </w:pPr>
            <w:r>
              <w:rPr>
                <w:rFonts w:ascii="Arial" w:cs="Arial" w:eastAsia="Arial" w:hAnsi="Arial"/>
                <w:color w:val="2C3E50"/>
                <w:sz w:val="19"/>
                <w:szCs w:val="19"/>
              </w:rPr>
              <w:t xml:space="preserve">Add find_package(pybind11 CONFIG REQUIRED) and use pybind11_add_module(seal_wrapper seal_wrapper.cpp). Link with target_link_libraries(seal_wrapper PRIVATE SEAL::seal he_core). Do NOT use add_library + set_target_properties — pybind11_add_module handles the .so suffix and Python ABI tags correctly.</w:t>
            </w:r>
          </w:p>
        </w:tc>
      </w:tr>
    </w:tbl>
    <w:p>
      <w:pPr>
        <w:pStyle w:val="Heading3"/>
        <w:spacing w:after="100" w:before="220"/>
      </w:pPr>
      <w:r>
        <w:rPr>
          <w:rFonts w:ascii="Arial" w:cs="Arial" w:eastAsia="Arial" w:hAnsi="Arial"/>
          <w:b/>
          <w:bCs/>
          <w:color w:val="1B6CA8"/>
          <w:sz w:val="24"/>
          <w:szCs w:val="24"/>
        </w:rPr>
        <w:t xml:space="preserve">Key Files — Phase 2</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0"/>
        <w:gridCol w:w="5160"/>
      </w:tblGrid>
      <w:tr>
        <w:trPr>
          <w:tblHeader/>
        </w:trPr>
        <w:tc>
          <w:tcPr>
            <w:tcW w:type="dxa" w:w="40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File</w:t>
            </w:r>
          </w:p>
        </w:tc>
        <w:tc>
          <w:tcPr>
            <w:tcW w:type="dxa" w:w="516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Role</w:t>
            </w:r>
          </w:p>
        </w:tc>
      </w:tr>
      <w:tr>
        <w:tc>
          <w:tcPr>
            <w:tcW w:type="dxa" w:w="4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compiler/train_xgboost.py</w:t>
            </w:r>
          </w:p>
        </w:tc>
        <w:tc>
          <w:tcPr>
            <w:tcW w:type="dxa" w:w="5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Data pipeline + XGBoost training; asserts AUC ≥ 0.98</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compiler/linearize.py</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SHAP-based GBDT linearization → (w, b)</w:t>
            </w:r>
          </w:p>
        </w:tc>
      </w:tr>
      <w:tr>
        <w:tc>
          <w:tcPr>
            <w:tcW w:type="dxa" w:w="4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compiler/export_weights.py</w:t>
            </w:r>
          </w:p>
        </w:tc>
        <w:tc>
          <w:tcPr>
            <w:tcW w:type="dxa" w:w="5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Binary serialization to model_weights.bin</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compiler/validate_auc.py</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Compares XGBoost vs linearized AUC; generates ROC curves</w:t>
            </w:r>
          </w:p>
        </w:tc>
      </w:tr>
      <w:tr>
        <w:tc>
          <w:tcPr>
            <w:tcW w:type="dxa" w:w="4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vendor_server/src/weight_loader.cpp</w:t>
            </w:r>
          </w:p>
        </w:tc>
        <w:tc>
          <w:tcPr>
            <w:tcW w:type="dxa" w:w="5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Loads binary weights into SEAL Plaintext with SIMD tiling</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bank_client/he_wrapper/seal_wrapper.cpp</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Pybind11 module: encrypt_batch() + decrypt_batch()</w:t>
            </w:r>
          </w:p>
        </w:tc>
      </w:tr>
    </w:tbl>
    <w:p>
      <w:pPr>
        <w:pStyle w:val="Heading3"/>
        <w:spacing w:after="100" w:before="220"/>
      </w:pPr>
      <w:r>
        <w:rPr>
          <w:rFonts w:ascii="Arial" w:cs="Arial" w:eastAsia="Arial" w:hAnsi="Arial"/>
          <w:b/>
          <w:bCs/>
          <w:color w:val="1B6CA8"/>
          <w:sz w:val="24"/>
          <w:szCs w:val="24"/>
        </w:rPr>
        <w:t xml:space="preserve">Exit Criteria — Phase 2</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python train_xgboost.py exits cleanly with AUC ≥ 0.98 printed</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python linearize.py produces weights.npy with shape (256,)</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python validate_auc.py prints linearized AUC ≥ 0.94</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model_weights.bin is 2060 bytes (4 + 8 + 256×8)</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Python: import seal_wrapper; seal_wrapper.encrypt_batch(np.ones(4096)) returns bytes of length ~380000</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Round-trip test: decrypt(encrypt(x)) ≈ x within 1e-4 tolerance</w:t>
      </w:r>
    </w:p>
    <w:p>
      <w:r>
        <w:br w:type="page"/>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160"/>
      </w:tblGrid>
      <w:tr>
        <w:tc>
          <w:tcPr>
            <w:tcW w:type="dxa" w:w="9160"/>
            <w:tcBorders>
              <w:top w:val="none" w:color="FFFFFF" w:sz="0"/>
              <w:left w:val="none" w:color="FFFFFF" w:sz="0"/>
              <w:bottom w:val="none" w:color="FFFFFF" w:sz="0"/>
              <w:right w:val="none" w:color="FFFFFF" w:sz="0"/>
            </w:tcBorders>
            <w:shd w:fill="5B2C8D" w:val="clear"/>
            <w:tcMar>
              <w:top w:type="dxa" w:w="160"/>
              <w:left w:type="dxa" w:w="240"/>
              <w:bottom w:type="dxa" w:w="160"/>
              <w:right w:type="dxa" w:w="240"/>
            </w:tcMar>
          </w:tcPr>
          <w:p>
            <w:r>
              <w:rPr>
                <w:rFonts w:ascii="Arial" w:cs="Arial" w:eastAsia="Arial" w:hAnsi="Arial"/>
                <w:b/>
                <w:bCs/>
                <w:color w:val="AACCEE"/>
                <w:sz w:val="20"/>
                <w:szCs w:val="20"/>
              </w:rPr>
              <w:t xml:space="preserve">PHASE 3 · Sprint 5–6</w:t>
            </w:r>
          </w:p>
          <w:p>
            <w:pPr>
              <w:spacing w:after="40" w:before="60"/>
            </w:pPr>
            <w:r>
              <w:rPr>
                <w:rFonts w:ascii="Arial" w:cs="Arial" w:eastAsia="Arial" w:hAnsi="Arial"/>
                <w:b/>
                <w:bCs/>
                <w:color w:val="FFFFFF"/>
                <w:sz w:val="36"/>
                <w:szCs w:val="36"/>
              </w:rPr>
              <w:t xml:space="preserve">The Distributed Layer (gRPC)</w:t>
            </w:r>
          </w:p>
          <w:p>
            <w:r>
              <w:rPr>
                <w:rFonts w:ascii="Arial" w:cs="Arial" w:eastAsia="Arial" w:hAnsi="Arial"/>
                <w:color w:val="D0E8F8"/>
                <w:sz w:val="20"/>
                <w:szCs w:val="20"/>
              </w:rPr>
              <w:t xml:space="preserve">Proto contract · C++ Vendor Server · Python Bank Client</w:t>
            </w:r>
          </w:p>
        </w:tc>
      </w:tr>
    </w:tbl>
    <w:p>
      <w:pPr>
        <w:pStyle w:val="Heading3"/>
        <w:spacing w:after="100" w:before="220"/>
      </w:pPr>
      <w:r>
        <w:rPr>
          <w:rFonts w:ascii="Arial" w:cs="Arial" w:eastAsia="Arial" w:hAnsi="Arial"/>
          <w:b/>
          <w:bCs/>
          <w:color w:val="1B6CA8"/>
          <w:sz w:val="24"/>
          <w:szCs w:val="24"/>
        </w:rPr>
        <w:t xml:space="preserve">Objectives</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Implement the gRPC server in C++ to receive InferenceRequest, run HE inference, and return InferenceResponse with TimingBreakdown.</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Implement the Python gRPC client stub in FastAPI to encrypt, send, receive, and decrypt.</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Verify end-to-end latency (encrypt + transmit + infer + decrypt) &lt; 10 ms on localhost LAN simulation.</w:t>
      </w:r>
    </w:p>
    <w:p>
      <w:pPr>
        <w:pStyle w:val="Heading3"/>
        <w:spacing w:after="100" w:before="220"/>
      </w:pPr>
      <w:r>
        <w:rPr>
          <w:rFonts w:ascii="Arial" w:cs="Arial" w:eastAsia="Arial" w:hAnsi="Arial"/>
          <w:b/>
          <w:bCs/>
          <w:color w:val="1B6CA8"/>
          <w:sz w:val="24"/>
          <w:szCs w:val="24"/>
        </w:rPr>
        <w:t xml:space="preserve">Step-by-Step Implementation</w:t>
      </w:r>
    </w:p>
    <w:p>
      <w:pPr>
        <w:spacing w:after="80" w:before="180"/>
      </w:pPr>
      <w:r>
        <w:rPr>
          <w:rFonts w:ascii="Arial" w:cs="Arial" w:eastAsia="Arial" w:hAnsi="Arial"/>
          <w:b/>
          <w:bCs/>
          <w:color w:val="5B2C8D"/>
          <w:sz w:val="22"/>
          <w:szCs w:val="22"/>
        </w:rPr>
        <w:t xml:space="preserve">Step 3.1 — Proto Compilation</w:t>
      </w:r>
    </w:p>
    <w:p>
      <w:pPr>
        <w:spacing w:after="80" w:before="80" w:line="320"/>
        <w:jc w:val="left"/>
      </w:pPr>
      <w:r>
        <w:rPr>
          <w:rFonts w:ascii="Arial" w:cs="Arial" w:eastAsia="Arial" w:hAnsi="Arial"/>
          <w:b w:val="false"/>
          <w:bCs w:val="false"/>
          <w:i w:val="false"/>
          <w:iCs w:val="false"/>
          <w:color w:val="2C3E50"/>
          <w:sz w:val="20"/>
          <w:szCs w:val="20"/>
        </w:rPr>
        <w:t xml:space="preserve">From the repo root, compile inference.proto for both C++ (vendor server) and Python (bank client):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For C++ (output to vendor_server/generated/)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protoc --proto_path=proto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--cpp_out=vendor_server/generated/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--grpc_out=vendor_server/generated/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--plugin=protoc-gen-grpc=$(which grpc_cpp_plugin)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proto/inference.proto</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For Python (output to bank_client/backend/generated/)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python -m grpc_tools.protoc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--proto_path=proto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--python_out=bank_client/backend/generated/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--grpc_python_out=bank_client/backend/generated/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proto/inference.proto</w:t>
            </w:r>
          </w:p>
        </w:tc>
      </w:tr>
    </w:tbl>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60"/>
      </w:tblGrid>
      <w:tr>
        <w:tc>
          <w:tcPr>
            <w:tcW w:type="dxa" w:w="9160"/>
            <w:tcBorders>
              <w:top w:val="none" w:color="FFFFFF" w:sz="0"/>
              <w:left w:val="single" w:color="D68910" w:sz="20"/>
              <w:bottom w:val="none" w:color="FFFFFF" w:sz="0"/>
              <w:right w:val="none" w:color="FFFFFF" w:sz="0"/>
            </w:tcBorders>
            <w:shd w:fill="FEF9E7" w:val="clear"/>
            <w:tcMar>
              <w:top w:type="dxa" w:w="100"/>
              <w:left w:type="dxa" w:w="180"/>
              <w:bottom w:type="dxa" w:w="100"/>
              <w:right w:type="dxa" w:w="180"/>
            </w:tcMar>
          </w:tcPr>
          <w:p>
            <w:pPr>
              <w:spacing w:after="40" w:before="40"/>
            </w:pPr>
            <w:r>
              <w:rPr>
                <w:rFonts w:ascii="Arial" w:cs="Arial" w:eastAsia="Arial" w:hAnsi="Arial"/>
                <w:b/>
                <w:bCs/>
                <w:color w:val="D68910"/>
                <w:sz w:val="19"/>
                <w:szCs w:val="19"/>
              </w:rPr>
              <w:t xml:space="preserve">⚠️  Pro-Tip</w:t>
            </w:r>
          </w:p>
          <w:p>
            <w:pPr>
              <w:spacing w:after="40" w:before="40"/>
            </w:pPr>
            <w:r>
              <w:rPr>
                <w:rFonts w:ascii="Arial" w:cs="Arial" w:eastAsia="Arial" w:hAnsi="Arial"/>
                <w:color w:val="2C3E50"/>
                <w:sz w:val="19"/>
                <w:szCs w:val="19"/>
              </w:rPr>
              <w:t xml:space="preserve">Add the protoc compilation step as a custom CMake command in vendor_server/CMakeLists.txt using add_custom_command(OUTPUT ... COMMAND protoc ...). This ensures generated files are always in sync with the .proto source on every build.</w:t>
            </w:r>
          </w:p>
        </w:tc>
      </w:tr>
    </w:tbl>
    <w:p>
      <w:pPr>
        <w:spacing w:after="80" w:before="180"/>
      </w:pPr>
      <w:r>
        <w:rPr>
          <w:rFonts w:ascii="Arial" w:cs="Arial" w:eastAsia="Arial" w:hAnsi="Arial"/>
          <w:b/>
          <w:bCs/>
          <w:color w:val="5B2C8D"/>
          <w:sz w:val="22"/>
          <w:szCs w:val="22"/>
        </w:rPr>
        <w:t xml:space="preserve">Step 3.2 — C++ Vendor Server (inference_service.cpp)</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vendor_server/src/inference_service.cpp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"inference_service.h"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&lt;grpcpp/grpcpp.h&gt;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&lt;chrono&gt;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#include &lt;omp.h&gt;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class FraudInferenceServiceImpl final</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public ppfdaas::FraudInferenceService::Service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CKKSContext      ctx_;</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seal::Plaintext  pt_weights_;</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public:</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explicit FraudInferenceServiceImpl(const std::string&amp; weights_path)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ctx_(), pt_weights_(load_weights_as_plaintext(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weights_path, ctx_.encoder, ctx_.scale))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grpc::Status RunInference(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grpc::ServerContext*,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ppfdaas::InferenceRequest*  req,</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ppfdaas::InferenceResponse*       resp) override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auto t_start = hrc::now();</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1. Deserialize ciphertext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std::stringstream ss(req-&gt;ciphertext());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seal::Ciphertext ct;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ct.load(ctx_.context, ss);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auto t_loaded = hrc::now();</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2. DEPTH-1 INFERENCE (OpenMP parallelizes NTT ops inside SEAL)</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ctx_.evaluator.multiply_plain_inplace(ct, pt_weights_);</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ctx_.evaluator.rescale_to_next_inplace(ct);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auto t_mul = hrc::now();</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3. Rotation hoisting tree-sum</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 = hoisted_tree_sum(ct, ctx_.galois_keys, ctx_.evaluator, 256);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auto t_rot = hrc::now();</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4. Serialize result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std::stringstream out;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ct.save(out);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resp-&gt;set_result_ciphertext(out.str());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resp-&gt;set_request_id(req-&gt;request_id());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resp-&gt;set_status(ppfdaas::InferenceStatus::OK);</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auto t_end = hrc::now();</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5. Fill TimingBreakdown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auto* td = resp-&gt;mutable_timing();</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td-&gt;set_multiply_plain_us(us(t_loaded, t_mul));</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td-&gt;set_rotation_hoisting_us(us(t_mul,   t_rot));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td-&gt;set_serialization_us(us(t_rot,     t_end));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td-&gt;set_total_inference_us(us(t_start,  t_end));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td-&gt;set_server_build_info("SEAL 4.1 / OpenMP "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std::to_string(omp_get_max_threads()) + " threads");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grpc::Status::OK;</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private: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using hrc = std::chrono::high_resolution_clock;</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static int64_t us(hrc::time_point a, hrc::time_point b)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std::chrono::duration_cast&lt;std::chrono::microseconds&gt;(b-a).count();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server_main.cpp bootstrap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int main()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omp_set_num_threads(omp_get_max_threads()); // use all cores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FraudInferenceServiceImpl service("artifacts/model_weights.bin");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grpc::ServerBuilder builder;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builder.AddListeningPort("0.0.0.0:50051",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grpc::InsecureServerCredentials());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builder.RegisterService(&amp;service);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auto server = builder.BuildAndStart();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std::cout &lt;&lt; "Vendor server listening on :50051\n";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server-&gt;Wait();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bl>
    <w:p>
      <w:pPr>
        <w:spacing w:after="80" w:before="180"/>
      </w:pPr>
      <w:r>
        <w:rPr>
          <w:rFonts w:ascii="Arial" w:cs="Arial" w:eastAsia="Arial" w:hAnsi="Arial"/>
          <w:b/>
          <w:bCs/>
          <w:color w:val="5B2C8D"/>
          <w:sz w:val="22"/>
          <w:szCs w:val="22"/>
        </w:rPr>
        <w:t xml:space="preserve">Step 3.3 — Python Bank Client Stub (bank_client.py)</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bank_client/backend/bank_client.py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grpc, uuid, time, numpy as np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scipy.special import expit  # sigmoid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seal_wrapper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generated import inference_pb2, inference_pb2_grpc</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class BankClient: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def __init__(self, vendor_addr: str = "localhost:50051"):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self.channel = grpc.insecure_channel(vendor_addr)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self.stub    = inference_pb2_grpc.FraudInferenceServiceStub(self.channel)</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def run_inference(self,</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features: np.ndarray,  # shape: (16, 256)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institution_id: str = "BANK_001"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-&gt; dict: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assert features.shape == (16, 256), "Expects (16, 256) input"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t0 = time.perf_counter_ns()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1. Encrypt (Pybind11 → C++ SEAL)</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ct_bytes = seal_wrapper.encrypt_batch(features.flatten())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t_enc = time.perf_counter_ns()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2. Build gRPC request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req = inference_pb2.InferenceRequest(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request_id      = str(uuid.uuid4()),</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ciphertext      = ct_bytes,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encrypt_timestamp_ms = int(time.time() * 1000),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batch_size      = 16,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institution_id  = institution_id,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3. Send over gRPC (transmit + inference on vendor)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resp = self.stub.RunInference(req)</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t_recv = time.perf_counter_ns()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4. Decrypt result ciphertext (via Pybind11 HSM shim)</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raw_scores = seal_wrapper.decrypt_batch(resp.result_ciphertext, 16)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fraud_probs = expit(np.array(raw_scores))  # sigmoid in plaintext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t_dec = time.perf_counter_ns()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"fraud_probabilities": fraud_probs.tolist(),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"latency_ms":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"encrypt":   (t_enc  - t0)     / 1e6,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"transmit":  (t_recv - t_enc)   / 1e6,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"decrypt":   (t_dec  - t_recv)  / 1e6,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"total":     (t_dec  - t0)      / 1e6,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"server_inference_ms": resp.timing.total_inference_us / 1000,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"request_id": resp.request_id,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bl>
    <w:p>
      <w:pPr>
        <w:pStyle w:val="Heading3"/>
        <w:spacing w:after="100" w:before="220"/>
      </w:pPr>
      <w:r>
        <w:rPr>
          <w:rFonts w:ascii="Arial" w:cs="Arial" w:eastAsia="Arial" w:hAnsi="Arial"/>
          <w:b/>
          <w:bCs/>
          <w:color w:val="1B6CA8"/>
          <w:sz w:val="24"/>
          <w:szCs w:val="24"/>
        </w:rPr>
        <w:t xml:space="preserve">Key Files — Phase 3</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0"/>
        <w:gridCol w:w="5160"/>
      </w:tblGrid>
      <w:tr>
        <w:trPr>
          <w:tblHeader/>
        </w:trPr>
        <w:tc>
          <w:tcPr>
            <w:tcW w:type="dxa" w:w="40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File</w:t>
            </w:r>
          </w:p>
        </w:tc>
        <w:tc>
          <w:tcPr>
            <w:tcW w:type="dxa" w:w="516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Role</w:t>
            </w:r>
          </w:p>
        </w:tc>
      </w:tr>
      <w:tr>
        <w:tc>
          <w:tcPr>
            <w:tcW w:type="dxa" w:w="4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proto/inference.proto</w:t>
            </w:r>
          </w:p>
        </w:tc>
        <w:tc>
          <w:tcPr>
            <w:tcW w:type="dxa" w:w="5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Single source of truth for gRPC contract (InferenceRequest/Response, TimingBreakdown)</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vendor_server/src/inference_service.cpp</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gRPC service impl: deserialize → depth-1 HE → serialize → fill timing</w:t>
            </w:r>
          </w:p>
        </w:tc>
      </w:tr>
      <w:tr>
        <w:tc>
          <w:tcPr>
            <w:tcW w:type="dxa" w:w="4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vendor_server/src/server_main.cpp</w:t>
            </w:r>
          </w:p>
        </w:tc>
        <w:tc>
          <w:tcPr>
            <w:tcW w:type="dxa" w:w="5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Bootstrap: OpenMP config, bind :50051, serve</w:t>
            </w:r>
          </w:p>
        </w:tc>
      </w:tr>
      <w:tr>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bank_client/backend/bank_client.py</w:t>
            </w:r>
          </w:p>
        </w:tc>
        <w:tc>
          <w:tcPr>
            <w:tcW w:type="dxa" w:w="5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Python gRPC stub: encrypt → send → decrypt → sigmoid</w:t>
            </w:r>
          </w:p>
        </w:tc>
      </w:tr>
    </w:tbl>
    <w:p>
      <w:pPr>
        <w:pStyle w:val="Heading3"/>
        <w:spacing w:after="100" w:before="220"/>
      </w:pPr>
      <w:r>
        <w:rPr>
          <w:rFonts w:ascii="Arial" w:cs="Arial" w:eastAsia="Arial" w:hAnsi="Arial"/>
          <w:b/>
          <w:bCs/>
          <w:color w:val="1B6CA8"/>
          <w:sz w:val="24"/>
          <w:szCs w:val="24"/>
        </w:rPr>
        <w:t xml:space="preserve">Exit Criteria — Phase 3</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vendor server starts and prints "listening on :50051"</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Python client.run_inference() returns fraud probabilities in range [0, 1]</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resp.timing.total_inference_us &lt; 10000 (&lt; 10 ms) on localhost</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Full round-trip latency (client-side total_ms) &lt; 15 ms on localhost</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Request ID is echoed correctly (correlation check)</w:t>
      </w:r>
    </w:p>
    <w:p>
      <w:r>
        <w:br w:type="page"/>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160"/>
      </w:tblGrid>
      <w:tr>
        <w:tc>
          <w:tcPr>
            <w:tcW w:type="dxa" w:w="9160"/>
            <w:tcBorders>
              <w:top w:val="none" w:color="FFFFFF" w:sz="0"/>
              <w:left w:val="none" w:color="FFFFFF" w:sz="0"/>
              <w:bottom w:val="none" w:color="FFFFFF" w:sz="0"/>
              <w:right w:val="none" w:color="FFFFFF" w:sz="0"/>
            </w:tcBorders>
            <w:shd w:fill="C0392B" w:val="clear"/>
            <w:tcMar>
              <w:top w:type="dxa" w:w="160"/>
              <w:left w:type="dxa" w:w="240"/>
              <w:bottom w:type="dxa" w:w="160"/>
              <w:right w:type="dxa" w:w="240"/>
            </w:tcMar>
          </w:tcPr>
          <w:p>
            <w:r>
              <w:rPr>
                <w:rFonts w:ascii="Arial" w:cs="Arial" w:eastAsia="Arial" w:hAnsi="Arial"/>
                <w:b/>
                <w:bCs/>
                <w:color w:val="AACCEE"/>
                <w:sz w:val="20"/>
                <w:szCs w:val="20"/>
              </w:rPr>
              <w:t xml:space="preserve">PHASE 4 · Sprint 7–8</w:t>
            </w:r>
          </w:p>
          <w:p>
            <w:pPr>
              <w:spacing w:after="40" w:before="60"/>
            </w:pPr>
            <w:r>
              <w:rPr>
                <w:rFonts w:ascii="Arial" w:cs="Arial" w:eastAsia="Arial" w:hAnsi="Arial"/>
                <w:b/>
                <w:bCs/>
                <w:color w:val="FFFFFF"/>
                <w:sz w:val="36"/>
                <w:szCs w:val="36"/>
              </w:rPr>
              <w:t xml:space="preserve">Application Shell (FastAPI &amp; React)</w:t>
            </w:r>
          </w:p>
          <w:p>
            <w:r>
              <w:rPr>
                <w:rFonts w:ascii="Arial" w:cs="Arial" w:eastAsia="Arial" w:hAnsi="Arial"/>
                <w:color w:val="D0E8F8"/>
                <w:sz w:val="20"/>
                <w:szCs w:val="20"/>
              </w:rPr>
              <w:t xml:space="preserve">Feature pipeline · REST API · Dashboard UI</w:t>
            </w:r>
          </w:p>
        </w:tc>
      </w:tr>
    </w:tbl>
    <w:p>
      <w:pPr>
        <w:pStyle w:val="Heading3"/>
        <w:spacing w:after="100" w:before="220"/>
      </w:pPr>
      <w:r>
        <w:rPr>
          <w:rFonts w:ascii="Arial" w:cs="Arial" w:eastAsia="Arial" w:hAnsi="Arial"/>
          <w:b/>
          <w:bCs/>
          <w:color w:val="1B6CA8"/>
          <w:sz w:val="24"/>
          <w:szCs w:val="24"/>
        </w:rPr>
        <w:t xml:space="preserve">Objectives</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Wrap BankClient in a FastAPI backend exposing /api/infer and /api/results endpoints.</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Implement Z-score normalization and 256-feature selection in the feature pipeline.</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Build a React dashboard for CSV transaction upload and fraud-probability visualization.</w:t>
      </w:r>
    </w:p>
    <w:p>
      <w:pPr>
        <w:pStyle w:val="Heading3"/>
        <w:spacing w:after="100" w:before="220"/>
      </w:pPr>
      <w:r>
        <w:rPr>
          <w:rFonts w:ascii="Arial" w:cs="Arial" w:eastAsia="Arial" w:hAnsi="Arial"/>
          <w:b/>
          <w:bCs/>
          <w:color w:val="1B6CA8"/>
          <w:sz w:val="24"/>
          <w:szCs w:val="24"/>
        </w:rPr>
        <w:t xml:space="preserve">Step-by-Step Implementation</w:t>
      </w:r>
    </w:p>
    <w:p>
      <w:pPr>
        <w:spacing w:after="80" w:before="180"/>
      </w:pPr>
      <w:r>
        <w:rPr>
          <w:rFonts w:ascii="Arial" w:cs="Arial" w:eastAsia="Arial" w:hAnsi="Arial"/>
          <w:b/>
          <w:bCs/>
          <w:color w:val="5B2C8D"/>
          <w:sz w:val="22"/>
          <w:szCs w:val="22"/>
        </w:rPr>
        <w:t xml:space="preserve">Step 4.1 — Feature Pipeline (feature_pipeline.py)</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bank_client/backend/feature_pipeline.py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numpy as np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pandas as pd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joblib</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class FeaturePipeline: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"""Z-score normalization + feature selection."""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def __init__(self, scaler_path: str, feature_idx_path: str):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self.scaler      = joblib.load(scaler_path)       # saved StandardScaler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self.feature_idx = np.load(feature_idx_path)      # top-256 column indices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def transform(self, df: pd.DataFrame) -&gt; np.ndarray: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"""Returns (n_txn, 256) float64 array, normalized to [-1, 1] approx."""</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X = df.values[:, self.feature_idx]               # select 256 features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X = self.scaler.transform(X)                      # Z-score normalize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X = np.clip(X, -3.0, 3.0) / 3.0                  # clip + scale to [-1,1]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X.astype(np.float64)</w:t>
            </w:r>
          </w:p>
        </w:tc>
      </w:tr>
    </w:tbl>
    <w:p>
      <w:pPr>
        <w:spacing w:after="80" w:before="180"/>
      </w:pPr>
      <w:r>
        <w:rPr>
          <w:rFonts w:ascii="Arial" w:cs="Arial" w:eastAsia="Arial" w:hAnsi="Arial"/>
          <w:b/>
          <w:bCs/>
          <w:color w:val="5B2C8D"/>
          <w:sz w:val="22"/>
          <w:szCs w:val="22"/>
        </w:rPr>
        <w:t xml:space="preserve">Step 4.2 — FastAPI Backend (main.py)</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bank_client/backend/main.py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fastapi import FastAPI, UploadFile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fastapi.middleware.cors import CORSMiddleware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pandas as pd, numpy as np, io</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bank_client import BankClient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feature_pipeline import FeaturePipeline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app = FastAPI(title="PPFDaaS Bank API")</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app.add_middleware(CORSMiddleware, allow_origins=["*"])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client   = BankClient("vendor:50051")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pipeline = FeaturePipeline("artifacts/scaler.pkl",</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"artifacts/feature_idx.npy")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@app.post("/api/infer")</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async def infer(file: UploadFile):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"""Upload CSV of up to 16 transactions; returns fraud scores."""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df = pd.read_csv(io.BytesIO(await file.read()))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df = df.head(16)  # enforce batch limit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X  = pipeline.transform(df)   # (n, 256)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Pad to 16 rows if needed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if len(X) &lt; 16: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X = np.vstack([X, np.zeros((16 - len(X), 256))])</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result = client.run_inference(X)</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"fraud_probabilities": result["fraud_probabilities"][:len(df)],</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"latency_ms": result["latency_ms"],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"request_id": result["request_id"],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@app.get("/api/health")</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def health(): return {"status": "ok"}</w:t>
            </w:r>
          </w:p>
        </w:tc>
      </w:tr>
    </w:tbl>
    <w:p>
      <w:pPr>
        <w:spacing w:after="80" w:before="180"/>
      </w:pPr>
      <w:r>
        <w:rPr>
          <w:rFonts w:ascii="Arial" w:cs="Arial" w:eastAsia="Arial" w:hAnsi="Arial"/>
          <w:b/>
          <w:bCs/>
          <w:color w:val="5B2C8D"/>
          <w:sz w:val="22"/>
          <w:szCs w:val="22"/>
        </w:rPr>
        <w:t xml:space="preserve">Step 4.3 — React Dashboard (App.jsx)</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bank_client/frontend/src/App.jsx</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 useState } from "react";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export default function App()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[file, setFile]     = useState(null);</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[result, setResult] = useState(null);</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[loading, setLoading] = useState(false);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handleInfer = async () =&gt;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if (!file) return;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setLoading(true);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fd = new FormData();</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fd.append("file", file);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res  = await fetch("/api/infer", { method: "POST", body: fd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const data = await res.json();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setResult(data);</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setLoading(false);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&lt;div className="dashboard"&gt;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&lt;h1&gt;PPFDaaS — Fraud Detection on Encrypted Data&lt;/h1&gt;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&lt;input type="file" accept=".csv"</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onChange={e =&gt; setFile(e.target.files[0])} /&gt;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&lt;button onClick={handleInfer} disabled={loading}&gt;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{loading ? "Processing (encrypted)..." : "Run Inference"}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&lt;/button&gt;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{result &amp;&amp;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&lt;div className="results"&gt;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&lt;h2&gt;Results (Request: {result.request_id.slice(0,8)})&lt;/h2&gt;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&lt;p&gt;Total latency: {result.latency_ms.total.toFixed(2)} ms&lt;/p&gt;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{result.fraud_probabilities.map((p, i) =&gt;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&lt;div key={i}</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className={`txn ${p &gt; 0.5 ? "fraud" : "legit"}`}&gt;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Txn {i+1}: {(p * 100).toFixed(1)}% fraud probability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&lt;/div&gt;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&lt;/div&gt;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&lt;/div&gt;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bl>
    <w:p>
      <w:pPr>
        <w:pStyle w:val="Heading3"/>
        <w:spacing w:after="100" w:before="220"/>
      </w:pPr>
      <w:r>
        <w:rPr>
          <w:rFonts w:ascii="Arial" w:cs="Arial" w:eastAsia="Arial" w:hAnsi="Arial"/>
          <w:b/>
          <w:bCs/>
          <w:color w:val="1B6CA8"/>
          <w:sz w:val="24"/>
          <w:szCs w:val="24"/>
        </w:rPr>
        <w:t xml:space="preserve">Exit Criteria — Phase 4</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FastAPI server starts on port 8000 without errors</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POST /api/infer with a 16-row CSV returns JSON with fraud_probabilities array</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React dashboard renders, file upload works, results display without console errors</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End-to-end browser → API → vendor → API → browser round trip &lt; 100 ms on localhost</w:t>
      </w:r>
    </w:p>
    <w:p>
      <w:r>
        <w:br w:type="page"/>
      </w:r>
    </w:p>
    <w:p>
      <w:pPr>
        <w:pStyle w:val="Heading1"/>
        <w:pBdr>
          <w:bottom w:val="single" w:color="1F3864" w:sz="8" w:space="4"/>
        </w:pBdr>
        <w:spacing w:after="200" w:before="360"/>
      </w:pPr>
      <w:r>
        <w:rPr>
          <w:rFonts w:ascii="Arial" w:cs="Arial" w:eastAsia="Arial" w:hAnsi="Arial"/>
          <w:b/>
          <w:bCs/>
          <w:color w:val="1F3864"/>
          <w:sz w:val="36"/>
          <w:szCs w:val="36"/>
        </w:rPr>
        <w:t xml:space="preserve">C. The Research Evidence Matrix</w:t>
      </w:r>
    </w:p>
    <w:p>
      <w:pPr>
        <w:spacing w:after="80" w:before="80" w:line="320"/>
        <w:jc w:val="left"/>
      </w:pPr>
      <w:r>
        <w:rPr>
          <w:rFonts w:ascii="Arial" w:cs="Arial" w:eastAsia="Arial" w:hAnsi="Arial"/>
          <w:b w:val="false"/>
          <w:bCs w:val="false"/>
          <w:i w:val="false"/>
          <w:iCs w:val="false"/>
          <w:color w:val="2C3E50"/>
          <w:sz w:val="20"/>
          <w:szCs w:val="20"/>
        </w:rPr>
        <w:t xml:space="preserve">Every empirical claim in the research paper must trace back to a specific script, output file, and measurement protocol. This section defines that chain.</w:t>
      </w:r>
    </w:p>
    <w:p>
      <w:pPr>
        <w:pStyle w:val="Heading2"/>
        <w:spacing w:after="140" w:before="280"/>
      </w:pPr>
      <w:r>
        <w:rPr>
          <w:rFonts w:ascii="Arial" w:cs="Arial" w:eastAsia="Arial" w:hAnsi="Arial"/>
          <w:b/>
          <w:bCs/>
          <w:color w:val="2E74B5"/>
          <w:sz w:val="28"/>
          <w:szCs w:val="28"/>
        </w:rPr>
        <w:t xml:space="preserve">C.1  AUC Comparison Plot</w:t>
      </w:r>
    </w:p>
    <w:p>
      <w:pPr>
        <w:spacing w:after="80" w:before="80" w:line="320"/>
        <w:jc w:val="left"/>
      </w:pPr>
      <w:r>
        <w:rPr>
          <w:rFonts w:ascii="Arial" w:cs="Arial" w:eastAsia="Arial" w:hAnsi="Arial"/>
          <w:b w:val="false"/>
          <w:bCs w:val="false"/>
          <w:i w:val="false"/>
          <w:iCs w:val="false"/>
          <w:color w:val="2C3E50"/>
          <w:sz w:val="20"/>
          <w:szCs w:val="20"/>
        </w:rPr>
        <w:t xml:space="preserve">File: benchmarks/plot_roc.py</w:t>
      </w:r>
    </w:p>
    <w:p>
      <w:pPr>
        <w:spacing w:after="80" w:before="80" w:line="320"/>
        <w:jc w:val="left"/>
      </w:pPr>
      <w:r>
        <w:rPr>
          <w:rFonts w:ascii="Arial" w:cs="Arial" w:eastAsia="Arial" w:hAnsi="Arial"/>
          <w:b w:val="false"/>
          <w:bCs w:val="false"/>
          <w:i w:val="false"/>
          <w:iCs w:val="false"/>
          <w:color w:val="2C3E50"/>
          <w:sz w:val="20"/>
          <w:szCs w:val="20"/>
        </w:rPr>
        <w:t xml:space="preserve">This script produces the ROC curves for both models on the same held-out IEEE-CIS test set, saved as a publication-ready PDF:</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benchmarks/plot_roc.py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numpy as np, matplotlib.pyplot as plt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sklearn.metrics import roc_curve, auc</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scipy.special import expit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Load pre-computed scores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y_test        = np.load("artifacts/y_test.npy")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xgb_scores    = np.load("artifacts/xgb_scores.npy")      # predict_proba</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linear_scores = np.load("artifacts/linear_scores.npy")   # sigmoid(w^T x + b)</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fig, ax = plt.subplots(figsize=(6, 5), dpi=300)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for name, scores, ls in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("XGBoost (baseline)", xgb_scores,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("Linearized (CKKS-ready)", linear_scores,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fpr, tpr, _ = roc_curve(y_test, scores)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ax.plot(fpr, tpr, ls, linewidth=2, label=f"{name} (AUC={auc(fpr,tpr):.3f})")</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ax.plot([0,1],[0,1],"k:", alpha=0.4)</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ax.set_xlabel("False Positive Rate"); ax.set_ylabel("True Positive Rate")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ax.set_title("PPFDaaS: ROC Comparison — XGBoost vs Linearized Model")</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ax.legend(); ax.grid(alpha=0.3)</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plt.tight_layout()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plt.savefig("results/roc_comparison.pdf")</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print("Saved: results/roc_comparison.pdf")</w:t>
            </w:r>
          </w:p>
        </w:tc>
      </w:tr>
    </w:tbl>
    <w:p>
      <w:pPr>
        <w:spacing w:after="80" w:before="80" w:line="320"/>
        <w:jc w:val="left"/>
      </w:pPr>
      <w:r>
        <w:rPr>
          <w:rFonts w:ascii="Arial" w:cs="Arial" w:eastAsia="Arial" w:hAnsi="Arial"/>
          <w:b w:val="false"/>
          <w:bCs w:val="false"/>
          <w:i w:val="false"/>
          <w:iCs w:val="false"/>
          <w:color w:val="2C3E50"/>
          <w:sz w:val="20"/>
          <w:szCs w:val="20"/>
        </w:rPr>
        <w:t xml:space="preserve">Paper claim (Section 5.1): "The linearized model achieves AUC = X.XX, a Y% reduction from the XGBoost baseline of Z.ZZ, within our 0.94 threshold."</w:t>
      </w:r>
    </w:p>
    <w:p>
      <w:pPr>
        <w:spacing w:after="60" w:before="60"/>
      </w:pPr>
      <w:r>
        <w:rPr>
          <w:rFonts w:ascii="Arial" w:cs="Arial" w:eastAsia="Arial" w:hAnsi="Arial"/>
          <w:b w:val="false"/>
          <w:bCs w:val="false"/>
          <w:i w:val="false"/>
          <w:iCs w:val="false"/>
          <w:color w:val="2C3E50"/>
          <w:sz w:val="20"/>
          <w:szCs w:val="20"/>
        </w:rPr>
        <w:t xml:space="preserve"/>
      </w:r>
    </w:p>
    <w:p>
      <w:pPr>
        <w:pStyle w:val="Heading2"/>
        <w:spacing w:after="140" w:before="280"/>
      </w:pPr>
      <w:r>
        <w:rPr>
          <w:rFonts w:ascii="Arial" w:cs="Arial" w:eastAsia="Arial" w:hAnsi="Arial"/>
          <w:b/>
          <w:bCs/>
          <w:color w:val="2E74B5"/>
          <w:sz w:val="28"/>
          <w:szCs w:val="28"/>
        </w:rPr>
        <w:t xml:space="preserve">C.2  Latency Breakdown Table</w:t>
      </w:r>
    </w:p>
    <w:p>
      <w:pPr>
        <w:spacing w:after="80" w:before="80" w:line="320"/>
        <w:jc w:val="left"/>
      </w:pPr>
      <w:r>
        <w:rPr>
          <w:rFonts w:ascii="Arial" w:cs="Arial" w:eastAsia="Arial" w:hAnsi="Arial"/>
          <w:b w:val="false"/>
          <w:bCs w:val="false"/>
          <w:i w:val="false"/>
          <w:iCs w:val="false"/>
          <w:color w:val="2C3E50"/>
          <w:sz w:val="20"/>
          <w:szCs w:val="20"/>
        </w:rPr>
        <w:t xml:space="preserve">File: benchmarks/run_latency_bench.sh + benchmarks/ablation_table.py</w:t>
      </w:r>
    </w:p>
    <w:p>
      <w:pPr>
        <w:spacing w:after="80" w:before="80" w:line="320"/>
        <w:jc w:val="left"/>
      </w:pPr>
      <w:r>
        <w:rPr>
          <w:rFonts w:ascii="Arial" w:cs="Arial" w:eastAsia="Arial" w:hAnsi="Arial"/>
          <w:b w:val="false"/>
          <w:bCs w:val="false"/>
          <w:i w:val="false"/>
          <w:iCs w:val="false"/>
          <w:color w:val="2C3E50"/>
          <w:sz w:val="20"/>
          <w:szCs w:val="20"/>
        </w:rPr>
        <w:t xml:space="preserve">Run 1000 inferences against a live vendor server and collect TimingBreakdown from each gRPC response:</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benchmarks/collect_latency.py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json, numpy as np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from bank_client import BankClient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client  = BankClient("localhost:50051")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N = 1000</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X = np.random.randn(16, 256).clip(-1, 1)</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records =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for i in range(N):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 = client.run_inference(X)</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records.append(r["latency_ms"])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Aggregate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keys = ["encrypt", "transmit", "server_inference_ms", "decrypt", "total"]</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for k in keys: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vals = [r[k] for r in records]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print(f"{k:30s}  p50={np.percentile(vals,50):.2f}  p95={np.percentile(vals,95):.2f}  mean={np.mean(vals):.2f}  ms")</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with open("results/latency_raw.json", "w") as f:</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json.dump(records, f)</w:t>
            </w:r>
          </w:p>
        </w:tc>
      </w:tr>
    </w:tbl>
    <w:p>
      <w:pPr>
        <w:spacing w:after="80" w:before="80" w:line="320"/>
        <w:jc w:val="left"/>
      </w:pPr>
      <w:r>
        <w:rPr>
          <w:rFonts w:ascii="Arial" w:cs="Arial" w:eastAsia="Arial" w:hAnsi="Arial"/>
          <w:b w:val="false"/>
          <w:bCs w:val="false"/>
          <w:i w:val="false"/>
          <w:iCs w:val="false"/>
          <w:color w:val="2C3E50"/>
          <w:sz w:val="20"/>
          <w:szCs w:val="20"/>
        </w:rPr>
        <w:t xml:space="preserve">Expected output for the paper Table 2:</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3760"/>
      </w:tblGrid>
      <w:tr>
        <w:trPr>
          <w:tblHeader/>
        </w:trPr>
        <w:tc>
          <w:tcPr>
            <w:tcW w:type="dxa" w:w="28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13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p50 (ms)</w:t>
            </w:r>
          </w:p>
        </w:tc>
        <w:tc>
          <w:tcPr>
            <w:tcW w:type="dxa" w:w="13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p95 (ms)</w:t>
            </w:r>
          </w:p>
        </w:tc>
        <w:tc>
          <w:tcPr>
            <w:tcW w:type="dxa" w:w="376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8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Encode + Encrypt</w:t>
            </w:r>
          </w:p>
        </w:tc>
        <w:tc>
          <w:tcPr>
            <w:tcW w:type="dxa" w:w="13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~0.8</w:t>
            </w:r>
          </w:p>
        </w:tc>
        <w:tc>
          <w:tcPr>
            <w:tcW w:type="dxa" w:w="13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~1.2</w:t>
            </w:r>
          </w:p>
        </w:tc>
        <w:tc>
          <w:tcPr>
            <w:tcW w:type="dxa" w:w="37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Pybind11 → C++ SEAL; 4096-slot CKKS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gRPC Transmission</w:t>
            </w:r>
          </w:p>
        </w:tc>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~0.3</w:t>
            </w:r>
          </w:p>
        </w:tc>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~0.8</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LAN loopback; ciphertext ~384 KB</w:t>
            </w:r>
          </w:p>
        </w:tc>
      </w:tr>
      <w:tr>
        <w:tc>
          <w:tcPr>
            <w:tcW w:type="dxa" w:w="28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multiply_plain</w:t>
            </w:r>
          </w:p>
        </w:tc>
        <w:tc>
          <w:tcPr>
            <w:tcW w:type="dxa" w:w="13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~1.2</w:t>
            </w:r>
          </w:p>
        </w:tc>
        <w:tc>
          <w:tcPr>
            <w:tcW w:type="dxa" w:w="13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~1.8</w:t>
            </w:r>
          </w:p>
        </w:tc>
        <w:tc>
          <w:tcPr>
            <w:tcW w:type="dxa" w:w="37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PlainText already in RAM</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rescale_to_next</w:t>
            </w:r>
          </w:p>
        </w:tc>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~0.4</w:t>
            </w:r>
          </w:p>
        </w:tc>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~0.6</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Single modulus drop</w:t>
            </w:r>
          </w:p>
        </w:tc>
      </w:tr>
      <w:tr>
        <w:tc>
          <w:tcPr>
            <w:tcW w:type="dxa" w:w="28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Rotation hoisting</w:t>
            </w:r>
          </w:p>
        </w:tc>
        <w:tc>
          <w:tcPr>
            <w:tcW w:type="dxa" w:w="13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~2.8</w:t>
            </w:r>
          </w:p>
        </w:tc>
        <w:tc>
          <w:tcPr>
            <w:tcW w:type="dxa" w:w="13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~4.0</w:t>
            </w:r>
          </w:p>
        </w:tc>
        <w:tc>
          <w:tcPr>
            <w:tcW w:type="dxa" w:w="37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8 apply_galois calls; OpenMP NTT</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Decrypt + Sigmoid</w:t>
            </w:r>
          </w:p>
        </w:tc>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~0.5</w:t>
            </w:r>
          </w:p>
        </w:tc>
        <w:tc>
          <w:tcPr>
            <w:tcW w:type="dxa" w:w="13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~0.8</w:t>
            </w:r>
          </w:p>
        </w:tc>
        <w:tc>
          <w:tcPr>
            <w:tcW w:type="dxa" w:w="3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Decryption + elementwise expit</w:t>
            </w:r>
          </w:p>
        </w:tc>
      </w:tr>
      <w:tr>
        <w:tc>
          <w:tcPr>
            <w:tcW w:type="dxa" w:w="28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Total (end-to-end)</w:t>
            </w:r>
          </w:p>
        </w:tc>
        <w:tc>
          <w:tcPr>
            <w:tcW w:type="dxa" w:w="13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~6.0</w:t>
            </w:r>
          </w:p>
        </w:tc>
        <w:tc>
          <w:tcPr>
            <w:tcW w:type="dxa" w:w="13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~9.2</w:t>
            </w:r>
          </w:p>
        </w:tc>
        <w:tc>
          <w:tcPr>
            <w:tcW w:type="dxa" w:w="37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Target: &lt; 10 ms ✓</w:t>
            </w:r>
          </w:p>
        </w:tc>
      </w:tr>
    </w:tbl>
    <w:p>
      <w:pPr>
        <w:spacing w:after="60" w:before="60"/>
      </w:pPr>
      <w:r>
        <w:rPr>
          <w:rFonts w:ascii="Arial" w:cs="Arial" w:eastAsia="Arial" w:hAnsi="Arial"/>
          <w:b w:val="false"/>
          <w:bCs w:val="false"/>
          <w:i w:val="false"/>
          <w:iCs w:val="false"/>
          <w:color w:val="2C3E50"/>
          <w:sz w:val="20"/>
          <w:szCs w:val="20"/>
        </w:rPr>
        <w:t xml:space="preserve"/>
      </w:r>
    </w:p>
    <w:p>
      <w:pPr>
        <w:pStyle w:val="Heading2"/>
        <w:spacing w:after="140" w:before="280"/>
      </w:pPr>
      <w:r>
        <w:rPr>
          <w:rFonts w:ascii="Arial" w:cs="Arial" w:eastAsia="Arial" w:hAnsi="Arial"/>
          <w:b/>
          <w:bCs/>
          <w:color w:val="2E74B5"/>
          <w:sz w:val="28"/>
          <w:szCs w:val="28"/>
        </w:rPr>
        <w:t xml:space="preserve">C.3  Communication Overhead Analysis</w:t>
      </w:r>
    </w:p>
    <w:p>
      <w:pPr>
        <w:spacing w:after="80" w:before="80" w:line="320"/>
        <w:jc w:val="left"/>
      </w:pPr>
      <w:r>
        <w:rPr>
          <w:rFonts w:ascii="Arial" w:cs="Arial" w:eastAsia="Arial" w:hAnsi="Arial"/>
          <w:b w:val="false"/>
          <w:bCs w:val="false"/>
          <w:i w:val="false"/>
          <w:iCs w:val="false"/>
          <w:color w:val="2C3E50"/>
          <w:sz w:val="20"/>
          <w:szCs w:val="20"/>
        </w:rPr>
        <w:t xml:space="preserve">File: benchmarks/ciphertext_size_compare.py</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benchmarks/ciphertext_size_compare.py</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sys; sys.path.insert(0, "../he_core/python")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import seal_wrapper, numpy as np</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for n, label in [(8192, "n=8192 (proposed)"), (16384, "n=16384 (naive)")]: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 For n=16384, we instantiate a separate context (modify ckks_context if needed)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ct_bytes = seal_wrapper.encrypt_batch_n(np.ones(n//2), n)</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size_kb  = len(ct_bytes) / 1024</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print(f"{label}: ciphertext = {size_kb:.1f} KB")</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Expected output: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n=8192  (proposed): ciphertext = 384.0 KB</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n=16384 (naive):    ciphertext = 2048.0 KB</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Reduction: 5.33×</w:t>
            </w:r>
          </w:p>
        </w:tc>
      </w:tr>
    </w:tbl>
    <w:p>
      <w:pPr>
        <w:spacing w:after="80" w:before="80" w:line="320"/>
        <w:jc w:val="left"/>
      </w:pPr>
      <w:r>
        <w:rPr>
          <w:rFonts w:ascii="Arial" w:cs="Arial" w:eastAsia="Arial" w:hAnsi="Arial"/>
          <w:b w:val="false"/>
          <w:bCs w:val="false"/>
          <w:i w:val="false"/>
          <w:iCs w:val="false"/>
          <w:color w:val="2C3E50"/>
          <w:sz w:val="20"/>
          <w:szCs w:val="20"/>
        </w:rPr>
        <w:t xml:space="preserve">Paper claim (Section 5.3): "Selecting n=8192 over n=16384 reduces per-batch ciphertext size from 2.0 MB to 384 KB, a 5.3× reduction in communication overhead, with no loss in security level (both achieve ≥ 128-bit classical security at their respective modulus budgets)."</w:t>
      </w:r>
    </w:p>
    <w:p>
      <w:pPr>
        <w:spacing w:after="60" w:before="60"/>
      </w:pPr>
      <w:r>
        <w:rPr>
          <w:rFonts w:ascii="Arial" w:cs="Arial" w:eastAsia="Arial" w:hAnsi="Arial"/>
          <w:b w:val="false"/>
          <w:bCs w:val="false"/>
          <w:i w:val="false"/>
          <w:iCs w:val="false"/>
          <w:color w:val="2C3E50"/>
          <w:sz w:val="20"/>
          <w:szCs w:val="20"/>
        </w:rPr>
        <w:t xml:space="preserve"/>
      </w:r>
    </w:p>
    <w:p>
      <w:pPr>
        <w:pStyle w:val="Heading2"/>
        <w:spacing w:after="140" w:before="280"/>
      </w:pPr>
      <w:r>
        <w:rPr>
          <w:rFonts w:ascii="Arial" w:cs="Arial" w:eastAsia="Arial" w:hAnsi="Arial"/>
          <w:b/>
          <w:bCs/>
          <w:color w:val="2E74B5"/>
          <w:sz w:val="28"/>
          <w:szCs w:val="28"/>
        </w:rPr>
        <w:t xml:space="preserve">C.4  Ablation Study — Hoisting Speedup</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160"/>
      </w:tblGrid>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Add to benchmark.cpp: naive rotation baseline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seal::Ciphertext naive_tree_sum(const seal::Ciphertext&amp; ct, ...)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seal::Ciphertext result = ct;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for (int step : {1,2,4,8,16,32,64,128})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seal::Ciphertext rotated;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evaluator.rotate_vector(ct, step, galois_keys, rotated); // full NTT each time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evaluator.add_inplace(result, rotated);</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return result;</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w:t>
            </w:r>
          </w:p>
        </w:tc>
      </w:tr>
      <w:tr>
        <w:tc>
          <w:tcPr>
            <w:tcW w:type="dxa" w:w="91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20" w:before="20"/>
            </w:pPr>
            <w:r>
              <w:rPr>
                <w:rFonts w:ascii="Courier New" w:cs="Courier New" w:eastAsia="Courier New" w:hAnsi="Courier New"/>
                <w:color w:val="FFFFFF"/>
                <w:sz w:val="17"/>
                <w:szCs w:val="17"/>
              </w:rPr>
              <w:t xml:space="preserve">// Compare timing of naive_tree_sum vs hoisted_tree_sum over 1000 runs</w:t>
            </w:r>
          </w:p>
        </w:tc>
      </w:tr>
    </w:tbl>
    <w:p>
      <w:pPr>
        <w:spacing w:after="80" w:before="80" w:line="320"/>
        <w:jc w:val="left"/>
      </w:pPr>
      <w:r>
        <w:rPr>
          <w:rFonts w:ascii="Arial" w:cs="Arial" w:eastAsia="Arial" w:hAnsi="Arial"/>
          <w:b w:val="false"/>
          <w:bCs w:val="false"/>
          <w:i w:val="false"/>
          <w:iCs w:val="false"/>
          <w:color w:val="2C3E50"/>
          <w:sz w:val="20"/>
          <w:szCs w:val="20"/>
        </w:rPr>
        <w:t xml:space="preserve">Expected ablation table for the paper (Section 4.3):</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160"/>
      </w:tblGrid>
      <w:tr>
        <w:trPr>
          <w:tblHeader/>
        </w:trPr>
        <w:tc>
          <w:tcPr>
            <w:tcW w:type="dxa" w:w="25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Configuration</w:t>
            </w:r>
          </w:p>
        </w:tc>
        <w:tc>
          <w:tcPr>
            <w:tcW w:type="dxa" w:w="25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Rotation Method</w:t>
            </w:r>
          </w:p>
        </w:tc>
        <w:tc>
          <w:tcPr>
            <w:tcW w:type="dxa" w:w="20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Avg Inference (ms)</w:t>
            </w:r>
          </w:p>
        </w:tc>
        <w:tc>
          <w:tcPr>
            <w:tcW w:type="dxa" w:w="216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Speedup</w:t>
            </w:r>
          </w:p>
        </w:tc>
      </w:tr>
      <w:tr>
        <w:tc>
          <w:tcPr>
            <w:tcW w:type="dxa" w:w="25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n=8192, no hoisting</w:t>
            </w:r>
          </w:p>
        </w:tc>
        <w:tc>
          <w:tcPr>
            <w:tcW w:type="dxa" w:w="25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Naive rotate_vector ×8</w:t>
            </w:r>
          </w:p>
        </w:tc>
        <w:tc>
          <w:tcPr>
            <w:tcW w:type="dxa" w:w="2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~36 ms</w:t>
            </w:r>
          </w:p>
        </w:tc>
        <w:tc>
          <w:tcPr>
            <w:tcW w:type="dxa" w:w="2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1.0×  (baseline)</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n=8192, hoisting</w:t>
            </w:r>
          </w:p>
        </w:tc>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Hoisted apply_galois ×8</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~6 ms</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6.0×</w:t>
            </w:r>
          </w:p>
        </w:tc>
      </w:tr>
      <w:tr>
        <w:tc>
          <w:tcPr>
            <w:tcW w:type="dxa" w:w="25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n=16384, no hoisting</w:t>
            </w:r>
          </w:p>
        </w:tc>
        <w:tc>
          <w:tcPr>
            <w:tcW w:type="dxa" w:w="25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Naive rotate_vector ×8</w:t>
            </w:r>
          </w:p>
        </w:tc>
        <w:tc>
          <w:tcPr>
            <w:tcW w:type="dxa" w:w="2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~120 ms</w:t>
            </w:r>
          </w:p>
        </w:tc>
        <w:tc>
          <w:tcPr>
            <w:tcW w:type="dxa" w:w="2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0.3×</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n=16384, hoisting</w:t>
            </w:r>
          </w:p>
        </w:tc>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Hoisted apply_galois ×8</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~22 ms</w:t>
            </w:r>
          </w:p>
        </w:tc>
        <w:tc>
          <w:tcPr>
            <w:tcW w:type="dxa" w:w="2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1.6×</w:t>
            </w:r>
          </w:p>
        </w:tc>
      </w:tr>
    </w:tbl>
    <w:p>
      <w:r>
        <w:br w:type="page"/>
      </w:r>
    </w:p>
    <w:p>
      <w:pPr>
        <w:pStyle w:val="Heading1"/>
        <w:pBdr>
          <w:bottom w:val="single" w:color="1F3864" w:sz="8" w:space="4"/>
        </w:pBdr>
        <w:spacing w:after="200" w:before="360"/>
      </w:pPr>
      <w:r>
        <w:rPr>
          <w:rFonts w:ascii="Arial" w:cs="Arial" w:eastAsia="Arial" w:hAnsi="Arial"/>
          <w:b/>
          <w:bCs/>
          <w:color w:val="1F3864"/>
          <w:sz w:val="36"/>
          <w:szCs w:val="36"/>
        </w:rPr>
        <w:t xml:space="preserve">D. Patent &amp; Compliance Roadmap</w:t>
      </w:r>
    </w:p>
    <w:p>
      <w:pPr>
        <w:pStyle w:val="Heading2"/>
        <w:spacing w:after="140" w:before="280"/>
      </w:pPr>
      <w:r>
        <w:rPr>
          <w:rFonts w:ascii="Arial" w:cs="Arial" w:eastAsia="Arial" w:hAnsi="Arial"/>
          <w:b/>
          <w:bCs/>
          <w:color w:val="2E74B5"/>
          <w:sz w:val="28"/>
          <w:szCs w:val="28"/>
        </w:rPr>
        <w:t xml:space="preserve">D.1  Documenting the Inventive Step</w:t>
      </w:r>
    </w:p>
    <w:p>
      <w:pPr>
        <w:pStyle w:val="Heading3"/>
        <w:spacing w:after="100" w:before="220"/>
      </w:pPr>
      <w:r>
        <w:rPr>
          <w:rFonts w:ascii="Arial" w:cs="Arial" w:eastAsia="Arial" w:hAnsi="Arial"/>
          <w:b/>
          <w:bCs/>
          <w:color w:val="1B6CA8"/>
          <w:sz w:val="24"/>
          <w:szCs w:val="24"/>
        </w:rPr>
        <w:t xml:space="preserve">The Inventive Chain (Core Patent Argument)</w:t>
      </w:r>
    </w:p>
    <w:p>
      <w:pPr>
        <w:spacing w:after="80" w:before="80" w:line="320"/>
        <w:jc w:val="left"/>
      </w:pPr>
      <w:r>
        <w:rPr>
          <w:rFonts w:ascii="Arial" w:cs="Arial" w:eastAsia="Arial" w:hAnsi="Arial"/>
          <w:b w:val="false"/>
          <w:bCs w:val="false"/>
          <w:i w:val="false"/>
          <w:iCs w:val="false"/>
          <w:color w:val="2C3E50"/>
          <w:sz w:val="20"/>
          <w:szCs w:val="20"/>
        </w:rPr>
        <w:t xml:space="preserve">Your patent must articulate a causal, non-obvious chain from the linearization technique to the performance outcome. Every link must be documented with empirical evidence from your benchmarks: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160"/>
      </w:tblGrid>
      <w:tr>
        <w:trPr>
          <w:tblHeader/>
        </w:trPr>
        <w:tc>
          <w:tcPr>
            <w:tcW w:type="dxa" w:w="20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40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Technical Claim</w:t>
            </w:r>
          </w:p>
        </w:tc>
        <w:tc>
          <w:tcPr>
            <w:tcW w:type="dxa" w:w="316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Evidence File</w:t>
            </w:r>
          </w:p>
        </w:tc>
      </w:tr>
      <w:tr>
        <w:tc>
          <w:tcPr>
            <w:tcW w:type="dxa" w:w="2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1. GBDT Linearization</w:t>
            </w:r>
          </w:p>
        </w:tc>
        <w:tc>
          <w:tcPr>
            <w:tcW w:type="dxa" w:w="4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Approximating XGBoost trees as F(x)=wᵀx+b via SHAP gradient attribution</w:t>
            </w:r>
          </w:p>
        </w:tc>
        <w:tc>
          <w:tcPr>
            <w:tcW w:type="dxa" w:w="3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compiler/linearize.py + artifacts/weights.npy</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2. Depth-1 Circuit</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Linear approximation requires exactly one multiply_plain + one rescale; no relinearization needed</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he_core/src/he_inference.cpp (no relinearize() call)</w:t>
            </w:r>
          </w:p>
        </w:tc>
      </w:tr>
      <w:tr>
        <w:tc>
          <w:tcPr>
            <w:tcW w:type="dxa" w:w="2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3. n=8192 Selection</w:t>
            </w:r>
          </w:p>
        </w:tc>
        <w:tc>
          <w:tcPr>
            <w:tcW w:type="dxa" w:w="4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Depth-1 budget fits within [60,40,40,60] modulus at n=8192; depth ≥ 2 requires n=16384</w:t>
            </w:r>
          </w:p>
        </w:tc>
        <w:tc>
          <w:tcPr>
            <w:tcW w:type="dxa" w:w="3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benchmarks/ciphertext_size_compare.py</w:t>
            </w:r>
          </w:p>
        </w:tc>
      </w:tr>
      <w:tr>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4. Low Latency</w:t>
            </w:r>
          </w:p>
        </w:tc>
        <w:tc>
          <w:tcPr>
            <w:tcW w:type="dxa" w:w="4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n=8192 + hoisting achieves &lt; 10 ms; n=16384 + hoisting achieves ~22 ms</w:t>
            </w:r>
          </w:p>
        </w:tc>
        <w:tc>
          <w:tcPr>
            <w:tcW w:type="dxa" w:w="31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benchmarks/ablation_table.py</w:t>
            </w:r>
          </w:p>
        </w:tc>
      </w:tr>
      <w:tr>
        <w:tc>
          <w:tcPr>
            <w:tcW w:type="dxa" w:w="2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5. 5× Communication Reduction</w:t>
            </w:r>
          </w:p>
        </w:tc>
        <w:tc>
          <w:tcPr>
            <w:tcW w:type="dxa" w:w="4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384 KB vs 2048 KB ciphertext per batch</w:t>
            </w:r>
          </w:p>
        </w:tc>
        <w:tc>
          <w:tcPr>
            <w:tcW w:type="dxa" w:w="31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results/size_comparison.txt</w:t>
            </w:r>
          </w:p>
        </w:tc>
      </w:tr>
    </w:tbl>
    <w:p>
      <w:pPr>
        <w:spacing w:after="60" w:before="60"/>
      </w:pPr>
      <w:r>
        <w:rPr>
          <w:rFonts w:ascii="Arial" w:cs="Arial" w:eastAsia="Arial" w:hAnsi="Arial"/>
          <w:b w:val="false"/>
          <w:bCs w:val="false"/>
          <w:i w:val="false"/>
          <w:iCs w:val="false"/>
          <w:color w:val="2C3E50"/>
          <w:sz w:val="20"/>
          <w:szCs w:val="20"/>
        </w:rPr>
        <w:t xml:space="preserve"/>
      </w:r>
    </w:p>
    <w:p>
      <w:pPr>
        <w:pStyle w:val="Heading3"/>
        <w:spacing w:after="100" w:before="220"/>
      </w:pPr>
      <w:r>
        <w:rPr>
          <w:rFonts w:ascii="Arial" w:cs="Arial" w:eastAsia="Arial" w:hAnsi="Arial"/>
          <w:b/>
          <w:bCs/>
          <w:color w:val="1B6CA8"/>
          <w:sz w:val="24"/>
          <w:szCs w:val="24"/>
        </w:rPr>
        <w:t xml:space="preserve">Independent Claim (Draft)</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60"/>
      </w:tblGrid>
      <w:tr>
        <w:tc>
          <w:tcPr>
            <w:tcW w:type="dxa" w:w="9160"/>
            <w:tcBorders>
              <w:top w:val="none" w:color="FFFFFF" w:sz="0"/>
              <w:left w:val="single" w:color="5B2C8D" w:sz="20"/>
              <w:bottom w:val="none" w:color="FFFFFF" w:sz="0"/>
              <w:right w:val="none" w:color="FFFFFF" w:sz="0"/>
            </w:tcBorders>
            <w:shd w:fill="EDE7F6" w:val="clear"/>
            <w:tcMar>
              <w:top w:type="dxa" w:w="100"/>
              <w:left w:type="dxa" w:w="180"/>
              <w:bottom w:type="dxa" w:w="100"/>
              <w:right w:type="dxa" w:w="180"/>
            </w:tcMar>
          </w:tcPr>
          <w:p>
            <w:pPr>
              <w:spacing w:after="40" w:before="40"/>
            </w:pPr>
            <w:r>
              <w:rPr>
                <w:rFonts w:ascii="Arial" w:cs="Arial" w:eastAsia="Arial" w:hAnsi="Arial"/>
                <w:b/>
                <w:bCs/>
                <w:color w:val="5B2C8D"/>
                <w:sz w:val="19"/>
                <w:szCs w:val="19"/>
              </w:rPr>
              <w:t xml:space="preserve">Patent Claim 1 (Independent)</w:t>
            </w:r>
          </w:p>
          <w:p>
            <w:pPr>
              <w:spacing w:after="40" w:before="40"/>
            </w:pPr>
            <w:r>
              <w:rPr>
                <w:rFonts w:ascii="Arial" w:cs="Arial" w:eastAsia="Arial" w:hAnsi="Arial"/>
                <w:color w:val="2C3E50"/>
                <w:sz w:val="19"/>
                <w:szCs w:val="19"/>
              </w:rPr>
              <w:t xml:space="preserve">A computer-implemented method for privacy-preserving inference comprising: (a) receiving a trained gradient-boosted decision tree ensemble; (b) computing, via gradient-weighted attribution values, a linear approximation comprising a weight vector w ∈ Rⁿ and a scalar bias b such that F(x) ≈ wᵀx + b; (c) encoding said weight vector as a CKKS plaintext with poly_modulus_degree of 8192 and scale of 2⁴⁰; (d) performing inference on encrypted input data by executing a single multiply_plain operation followed by a single rescale_to_next operation, thereby maintaining multiplicative circuit depth of one; (e) performing a tree-summation of encrypted slot values via rotation hoisting comprising a single decompose step followed by a plurality of apply_galois operations; and (f) returning an encrypted inference result to a requesting party without exposure of plaintext input data.</w:t>
            </w:r>
          </w:p>
        </w:tc>
      </w:tr>
    </w:tbl>
    <w:p>
      <w:pPr>
        <w:spacing w:after="60" w:before="60"/>
      </w:pPr>
      <w:r>
        <w:rPr>
          <w:rFonts w:ascii="Arial" w:cs="Arial" w:eastAsia="Arial" w:hAnsi="Arial"/>
          <w:b w:val="false"/>
          <w:bCs w:val="false"/>
          <w:i w:val="false"/>
          <w:iCs w:val="false"/>
          <w:color w:val="2C3E50"/>
          <w:sz w:val="20"/>
          <w:szCs w:val="20"/>
        </w:rPr>
        <w:t xml:space="preserve"/>
      </w:r>
    </w:p>
    <w:p>
      <w:pPr>
        <w:pStyle w:val="Heading3"/>
        <w:spacing w:after="100" w:before="220"/>
      </w:pPr>
      <w:r>
        <w:rPr>
          <w:rFonts w:ascii="Arial" w:cs="Arial" w:eastAsia="Arial" w:hAnsi="Arial"/>
          <w:b/>
          <w:bCs/>
          <w:color w:val="1B6CA8"/>
          <w:sz w:val="24"/>
          <w:szCs w:val="24"/>
        </w:rPr>
        <w:t xml:space="preserve">Dependent Claims (Draft)</w:t>
      </w:r>
    </w:p>
    <w:p>
      <w:pPr>
        <w:pStyle w:val="ListParagraph"/>
        <w:numPr>
          <w:ilvl w:val="0"/>
          <w:numId w:val="4"/>
        </w:numPr>
        <w:spacing w:after="60" w:before="60" w:line="300"/>
      </w:pPr>
      <w:r>
        <w:rPr>
          <w:rFonts w:ascii="Arial" w:cs="Arial" w:eastAsia="Arial" w:hAnsi="Arial"/>
          <w:b w:val="false"/>
          <w:bCs w:val="false"/>
          <w:i w:val="false"/>
          <w:iCs w:val="false"/>
          <w:color w:val="2C3E50"/>
          <w:sz w:val="20"/>
          <w:szCs w:val="20"/>
        </w:rPr>
        <w:t xml:space="preserve">The method of Claim 1, wherein the gradient-weighted attribution values are computed using SHAP (SHapley Additive exPlanations) TreeExplainer on the training dataset.</w:t>
      </w:r>
    </w:p>
    <w:p>
      <w:pPr>
        <w:pStyle w:val="ListParagraph"/>
        <w:numPr>
          <w:ilvl w:val="0"/>
          <w:numId w:val="4"/>
        </w:numPr>
        <w:spacing w:after="60" w:before="60" w:line="300"/>
      </w:pPr>
      <w:r>
        <w:rPr>
          <w:rFonts w:ascii="Arial" w:cs="Arial" w:eastAsia="Arial" w:hAnsi="Arial"/>
          <w:b w:val="false"/>
          <w:bCs w:val="false"/>
          <w:i w:val="false"/>
          <w:iCs w:val="false"/>
          <w:color w:val="2C3E50"/>
          <w:sz w:val="20"/>
          <w:szCs w:val="20"/>
        </w:rPr>
        <w:t xml:space="preserve">The method of Claim 1, wherein the coeff_modulus is configured as [60, 40, 40, 60] bits, providing a total modulus of approximately 200 bits and achieving at least 128-bit classical security.</w:t>
      </w:r>
    </w:p>
    <w:p>
      <w:pPr>
        <w:pStyle w:val="ListParagraph"/>
        <w:numPr>
          <w:ilvl w:val="0"/>
          <w:numId w:val="4"/>
        </w:numPr>
        <w:spacing w:after="60" w:before="60" w:line="300"/>
      </w:pPr>
      <w:r>
        <w:rPr>
          <w:rFonts w:ascii="Arial" w:cs="Arial" w:eastAsia="Arial" w:hAnsi="Arial"/>
          <w:b w:val="false"/>
          <w:bCs w:val="false"/>
          <w:i w:val="false"/>
          <w:iCs w:val="false"/>
          <w:color w:val="2C3E50"/>
          <w:sz w:val="20"/>
          <w:szCs w:val="20"/>
        </w:rPr>
        <w:t xml:space="preserve">The method of Claim 1, wherein sixteen transactions are packed into 4096 SIMD slots of a single CKKS ciphertext via the Chinese Remainder Theorem batch encoding, achieving 100% slot utilization.</w:t>
      </w:r>
    </w:p>
    <w:p>
      <w:pPr>
        <w:pStyle w:val="ListParagraph"/>
        <w:numPr>
          <w:ilvl w:val="0"/>
          <w:numId w:val="4"/>
        </w:numPr>
        <w:spacing w:after="60" w:before="60" w:line="300"/>
      </w:pPr>
      <w:r>
        <w:rPr>
          <w:rFonts w:ascii="Arial" w:cs="Arial" w:eastAsia="Arial" w:hAnsi="Arial"/>
          <w:b w:val="false"/>
          <w:bCs w:val="false"/>
          <w:i w:val="false"/>
          <w:iCs w:val="false"/>
          <w:color w:val="2C3E50"/>
          <w:sz w:val="20"/>
          <w:szCs w:val="20"/>
        </w:rPr>
        <w:t xml:space="preserve">The method of Claim 1, wherein the rotation hoisting step employs a Galois key set restricted to rotation steps {1, 2, 4, 8, 16, 32, 64, 128}, reducing key material by at least 90% versus full Galois key generation.</w:t>
      </w:r>
    </w:p>
    <w:p>
      <w:pPr>
        <w:pStyle w:val="ListParagraph"/>
        <w:numPr>
          <w:ilvl w:val="0"/>
          <w:numId w:val="4"/>
        </w:numPr>
        <w:spacing w:after="60" w:before="60" w:line="300"/>
      </w:pPr>
      <w:r>
        <w:rPr>
          <w:rFonts w:ascii="Arial" w:cs="Arial" w:eastAsia="Arial" w:hAnsi="Arial"/>
          <w:b w:val="false"/>
          <w:bCs w:val="false"/>
          <w:i w:val="false"/>
          <w:iCs w:val="false"/>
          <w:color w:val="2C3E50"/>
          <w:sz w:val="20"/>
          <w:szCs w:val="20"/>
        </w:rPr>
        <w:t xml:space="preserve">A system implementing the method of Claim 1, comprising a model compiler component, a bank client component including a hardware security module interface, and a vendor server component, wherein plaintext transaction data is never transmitted between components.</w:t>
      </w:r>
    </w:p>
    <w:p>
      <w:pPr>
        <w:spacing w:after="60" w:before="60"/>
      </w:pPr>
      <w:r>
        <w:rPr>
          <w:rFonts w:ascii="Arial" w:cs="Arial" w:eastAsia="Arial" w:hAnsi="Arial"/>
          <w:b w:val="false"/>
          <w:bCs w:val="false"/>
          <w:i w:val="false"/>
          <w:iCs w:val="false"/>
          <w:color w:val="2C3E50"/>
          <w:sz w:val="20"/>
          <w:szCs w:val="20"/>
        </w:rPr>
        <w:t xml:space="preserve"/>
      </w:r>
    </w:p>
    <w:p>
      <w:pPr>
        <w:pStyle w:val="Heading3"/>
        <w:spacing w:after="100" w:before="220"/>
      </w:pPr>
      <w:r>
        <w:rPr>
          <w:rFonts w:ascii="Arial" w:cs="Arial" w:eastAsia="Arial" w:hAnsi="Arial"/>
          <w:b/>
          <w:bCs/>
          <w:color w:val="1B6CA8"/>
          <w:sz w:val="24"/>
          <w:szCs w:val="24"/>
        </w:rPr>
        <w:t xml:space="preserve">Patent Filing Timeline (India + PCT)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660"/>
      </w:tblGrid>
      <w:tr>
        <w:trPr>
          <w:tblHeader/>
        </w:trPr>
        <w:tc>
          <w:tcPr>
            <w:tcW w:type="dxa" w:w="25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Action</w:t>
            </w:r>
          </w:p>
        </w:tc>
        <w:tc>
          <w:tcPr>
            <w:tcW w:type="dxa" w:w="20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Timing</w:t>
            </w:r>
          </w:p>
        </w:tc>
        <w:tc>
          <w:tcPr>
            <w:tcW w:type="dxa" w:w="466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Details</w:t>
            </w:r>
          </w:p>
        </w:tc>
      </w:tr>
      <w:tr>
        <w:tc>
          <w:tcPr>
            <w:tcW w:type="dxa" w:w="25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Invention Disclosure</w:t>
            </w:r>
          </w:p>
        </w:tc>
        <w:tc>
          <w:tcPr>
            <w:tcW w:type="dxa" w:w="2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Immediately</w:t>
            </w:r>
          </w:p>
        </w:tc>
        <w:tc>
          <w:tcPr>
            <w:tcW w:type="dxa" w:w="46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Document all 5 inventive chain links with dated lab notebook entries</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Provisional Patent Application (PPA)</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Before arXiv submission</w:t>
            </w:r>
          </w:p>
        </w:tc>
        <w:tc>
          <w:tcPr>
            <w:tcW w:type="dxa" w:w="4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File at ipindia.gov.in; ₹1,750 individual fee; establishes priority date</w:t>
            </w:r>
          </w:p>
        </w:tc>
      </w:tr>
      <w:tr>
        <w:tc>
          <w:tcPr>
            <w:tcW w:type="dxa" w:w="25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arXiv Preprint</w:t>
            </w:r>
          </w:p>
        </w:tc>
        <w:tc>
          <w:tcPr>
            <w:tcW w:type="dxa" w:w="2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Day after PPA filed</w:t>
            </w:r>
          </w:p>
        </w:tc>
        <w:tc>
          <w:tcPr>
            <w:tcW w:type="dxa" w:w="46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Post to cs.CR (Cryptography and Security)</w:t>
            </w:r>
          </w:p>
        </w:tc>
      </w:tr>
      <w:tr>
        <w:tc>
          <w:tcPr>
            <w:tcW w:type="dxa" w:w="25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Complete Specification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Within 12 months of PPA</w:t>
            </w:r>
          </w:p>
        </w:tc>
        <w:tc>
          <w:tcPr>
            <w:tcW w:type="dxa" w:w="4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Full claims + drawings (system architecture diagrams) + benchmark evidence</w:t>
            </w:r>
          </w:p>
        </w:tc>
      </w:tr>
      <w:tr>
        <w:tc>
          <w:tcPr>
            <w:tcW w:type="dxa" w:w="25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PCT Application (optional)</w:t>
            </w:r>
          </w:p>
        </w:tc>
        <w:tc>
          <w:tcPr>
            <w:tcW w:type="dxa" w:w="20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Within 12 months of PPA</w:t>
            </w:r>
          </w:p>
        </w:tc>
        <w:tc>
          <w:tcPr>
            <w:tcW w:type="dxa" w:w="46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Grants 30-month window for US/EU/CN; ~$3,000 fee</w:t>
            </w:r>
          </w:p>
        </w:tc>
      </w:tr>
    </w:tbl>
    <w:p>
      <w:pPr>
        <w:spacing w:after="60" w:before="60"/>
      </w:pPr>
      <w:r>
        <w:rPr>
          <w:rFonts w:ascii="Arial" w:cs="Arial" w:eastAsia="Arial" w:hAnsi="Arial"/>
          <w:b w:val="false"/>
          <w:bCs w:val="false"/>
          <w:i w:val="false"/>
          <w:iCs w:val="false"/>
          <w:color w:val="2C3E50"/>
          <w:sz w:val="20"/>
          <w:szCs w:val="20"/>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60"/>
      </w:tblGrid>
      <w:tr>
        <w:tc>
          <w:tcPr>
            <w:tcW w:type="dxa" w:w="9160"/>
            <w:tcBorders>
              <w:top w:val="none" w:color="FFFFFF" w:sz="0"/>
              <w:left w:val="single" w:color="C0392B" w:sz="20"/>
              <w:bottom w:val="none" w:color="FFFFFF" w:sz="0"/>
              <w:right w:val="none" w:color="FFFFFF" w:sz="0"/>
            </w:tcBorders>
            <w:shd w:fill="FADBD8" w:val="clear"/>
            <w:tcMar>
              <w:top w:type="dxa" w:w="100"/>
              <w:left w:type="dxa" w:w="180"/>
              <w:bottom w:type="dxa" w:w="100"/>
              <w:right w:type="dxa" w:w="180"/>
            </w:tcMar>
          </w:tcPr>
          <w:p>
            <w:pPr>
              <w:spacing w:after="40" w:before="40"/>
            </w:pPr>
            <w:r>
              <w:rPr>
                <w:rFonts w:ascii="Arial" w:cs="Arial" w:eastAsia="Arial" w:hAnsi="Arial"/>
                <w:b/>
                <w:bCs/>
                <w:color w:val="C0392B"/>
                <w:sz w:val="19"/>
                <w:szCs w:val="19"/>
              </w:rPr>
              <w:t xml:space="preserve">⚠️  Critical Warning</w:t>
            </w:r>
          </w:p>
          <w:p>
            <w:pPr>
              <w:spacing w:after="40" w:before="40"/>
            </w:pPr>
            <w:r>
              <w:rPr>
                <w:rFonts w:ascii="Arial" w:cs="Arial" w:eastAsia="Arial" w:hAnsi="Arial"/>
                <w:color w:val="2C3E50"/>
                <w:sz w:val="19"/>
                <w:szCs w:val="19"/>
              </w:rPr>
              <w:t xml:space="preserve">Public disclosure (conference presentation, GitHub repo, arXiv) before filing the PPA permanently destroys patent rights in the US and most PCT countries. File the PPA first, on the same day if possible. Your institute IPR cell may co-file and waive fees.</w:t>
            </w:r>
          </w:p>
        </w:tc>
      </w:tr>
    </w:tbl>
    <w:p>
      <w:pPr>
        <w:spacing w:after="60" w:before="60"/>
      </w:pPr>
      <w:r>
        <w:rPr>
          <w:rFonts w:ascii="Arial" w:cs="Arial" w:eastAsia="Arial" w:hAnsi="Arial"/>
          <w:b w:val="false"/>
          <w:bCs w:val="false"/>
          <w:i w:val="false"/>
          <w:iCs w:val="false"/>
          <w:color w:val="2C3E50"/>
          <w:sz w:val="20"/>
          <w:szCs w:val="20"/>
        </w:rPr>
        <w:t xml:space="preserve"/>
      </w:r>
    </w:p>
    <w:p>
      <w:pPr>
        <w:pStyle w:val="Heading2"/>
        <w:spacing w:after="140" w:before="280"/>
      </w:pPr>
      <w:r>
        <w:rPr>
          <w:rFonts w:ascii="Arial" w:cs="Arial" w:eastAsia="Arial" w:hAnsi="Arial"/>
          <w:b/>
          <w:bCs/>
          <w:color w:val="2E74B5"/>
          <w:sz w:val="28"/>
          <w:szCs w:val="28"/>
        </w:rPr>
        <w:t xml:space="preserve">D.2  PCI DSS v4.0 Compliance Mapping</w:t>
      </w:r>
    </w:p>
    <w:p>
      <w:pPr>
        <w:pStyle w:val="Heading3"/>
        <w:spacing w:after="100" w:before="220"/>
      </w:pPr>
      <w:r>
        <w:rPr>
          <w:rFonts w:ascii="Arial" w:cs="Arial" w:eastAsia="Arial" w:hAnsi="Arial"/>
          <w:b/>
          <w:bCs/>
          <w:color w:val="1B6CA8"/>
          <w:sz w:val="24"/>
          <w:szCs w:val="24"/>
        </w:rPr>
        <w:t xml:space="preserve">HSM-Shim Architecture</w:t>
      </w:r>
    </w:p>
    <w:p>
      <w:pPr>
        <w:spacing w:after="80" w:before="80" w:line="320"/>
        <w:jc w:val="left"/>
      </w:pPr>
      <w:r>
        <w:rPr>
          <w:rFonts w:ascii="Arial" w:cs="Arial" w:eastAsia="Arial" w:hAnsi="Arial"/>
          <w:b w:val="false"/>
          <w:bCs w:val="false"/>
          <w:i w:val="false"/>
          <w:iCs w:val="false"/>
          <w:color w:val="2C3E50"/>
          <w:sz w:val="20"/>
          <w:szCs w:val="20"/>
        </w:rPr>
        <w:t xml:space="preserve">The hsm_shim.cpp in bank_client/he_wrapper/ implements a PKCS#11-compatible interface that isolates the SEAL secret key inside a simulated Hardware Security Module boundary. This architectural decision maps directly to PCI DSS v4.0 requirements: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200"/>
        <w:gridCol w:w="2460"/>
      </w:tblGrid>
      <w:tr>
        <w:trPr>
          <w:tblHeader/>
        </w:trPr>
        <w:tc>
          <w:tcPr>
            <w:tcW w:type="dxa" w:w="26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PCI DSS v4.0 Requirement</w:t>
            </w:r>
          </w:p>
        </w:tc>
        <w:tc>
          <w:tcPr>
            <w:tcW w:type="dxa" w:w="9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Req. Number</w:t>
            </w:r>
          </w:p>
        </w:tc>
        <w:tc>
          <w:tcPr>
            <w:tcW w:type="dxa" w:w="320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PPFDaaS Implementation</w:t>
            </w:r>
          </w:p>
        </w:tc>
        <w:tc>
          <w:tcPr>
            <w:tcW w:type="dxa" w:w="2460"/>
            <w:tcBorders>
              <w:top w:val="single" w:color="2E74B5" w:sz="4"/>
              <w:left w:val="single" w:color="2E74B5" w:sz="4"/>
              <w:bottom w:val="single" w:color="2E74B5" w:sz="4"/>
              <w:right w:val="single" w:color="2E74B5"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Evidence File</w:t>
            </w:r>
          </w:p>
        </w:tc>
      </w:tr>
      <w:tr>
        <w:tc>
          <w:tcPr>
            <w:tcW w:type="dxa" w:w="26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Protect stored account data</w:t>
            </w:r>
          </w:p>
        </w:tc>
        <w:tc>
          <w:tcPr>
            <w:tcW w:type="dxa" w:w="9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Req. 3.5</w:t>
            </w:r>
          </w:p>
        </w:tc>
        <w:tc>
          <w:tcPr>
            <w:tcW w:type="dxa" w:w="32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Transaction features encrypted with CKKS before leaving bank boundary; vendor never sees plaintext</w:t>
            </w:r>
          </w:p>
        </w:tc>
        <w:tc>
          <w:tcPr>
            <w:tcW w:type="dxa" w:w="24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bank_client.py: encrypt_batch() before gRPC send</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Cryptographic key management</w:t>
            </w:r>
          </w:p>
        </w:tc>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Req. 3.7.1</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Secret key generated inside HSM shim; never serialized to disk in plaintext</w:t>
            </w:r>
          </w:p>
        </w:tc>
        <w:tc>
          <w:tcPr>
            <w:tcW w:type="dxa" w:w="2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hsm_shim.cpp: key stored in protected memory region</w:t>
            </w:r>
          </w:p>
        </w:tc>
      </w:tr>
      <w:tr>
        <w:tc>
          <w:tcPr>
            <w:tcW w:type="dxa" w:w="26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Key custodian access control</w:t>
            </w:r>
          </w:p>
        </w:tc>
        <w:tc>
          <w:tcPr>
            <w:tcW w:type="dxa" w:w="9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Req. 3.7.4</w:t>
            </w:r>
          </w:p>
        </w:tc>
        <w:tc>
          <w:tcPr>
            <w:tcW w:type="dxa" w:w="32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HSM shim enforces single-process key access; no key export function exposed</w:t>
            </w:r>
          </w:p>
        </w:tc>
        <w:tc>
          <w:tcPr>
            <w:tcW w:type="dxa" w:w="24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seal_wrapper.pyi: decrypt_batch() is the only key-using API</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Protect cardholder data in transit</w:t>
            </w:r>
          </w:p>
        </w:tc>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Req. 4.2.1</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Only ciphertexts transmitted over gRPC; TLS 1.3 for channel security</w:t>
            </w:r>
          </w:p>
        </w:tc>
        <w:tc>
          <w:tcPr>
            <w:tcW w:type="dxa" w:w="2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docker-compose.yml: TLS cert paths</w:t>
            </w:r>
          </w:p>
        </w:tc>
      </w:tr>
      <w:tr>
        <w:tc>
          <w:tcPr>
            <w:tcW w:type="dxa" w:w="26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Logical access controls</w:t>
            </w:r>
          </w:p>
        </w:tc>
        <w:tc>
          <w:tcPr>
            <w:tcW w:type="dxa" w:w="9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Req. 7.2</w:t>
            </w:r>
          </w:p>
        </w:tc>
        <w:tc>
          <w:tcPr>
            <w:tcW w:type="dxa" w:w="32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Vendor server holds model weights only; has no secret key material whatsoever</w:t>
            </w:r>
          </w:p>
        </w:tc>
        <w:tc>
          <w:tcPr>
            <w:tcW w:type="dxa" w:w="24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vendor_server/: no CKKSContext.secret_key usage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Key storage security</w:t>
            </w:r>
          </w:p>
        </w:tc>
        <w:tc>
          <w:tcPr>
            <w:tcW w:type="dxa" w:w="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Req. 3.7.3</w:t>
            </w:r>
          </w:p>
        </w:tc>
        <w:tc>
          <w:tcPr>
            <w:tcW w:type="dxa" w:w="3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PKCS#11 shim provides hardware-like isolation in software; upgrade path to real HSM documented</w:t>
            </w:r>
          </w:p>
        </w:tc>
        <w:tc>
          <w:tcPr>
            <w:tcW w:type="dxa" w:w="24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docs/pci_dss_mapping.md</w:t>
            </w:r>
          </w:p>
        </w:tc>
      </w:tr>
      <w:tr>
        <w:tc>
          <w:tcPr>
            <w:tcW w:type="dxa" w:w="26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Audit logging</w:t>
            </w:r>
          </w:p>
        </w:tc>
        <w:tc>
          <w:tcPr>
            <w:tcW w:type="dxa" w:w="9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Req. 10.2</w:t>
            </w:r>
          </w:p>
        </w:tc>
        <w:tc>
          <w:tcPr>
            <w:tcW w:type="dxa" w:w="320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Every InferenceRequest logged with request_id, institution_id, and timestamp</w:t>
            </w:r>
          </w:p>
        </w:tc>
        <w:tc>
          <w:tcPr>
            <w:tcW w:type="dxa" w:w="2460"/>
            <w:tcBorders>
              <w:top w:val="single" w:color="CCCCCC" w:sz="2"/>
              <w:left w:val="single" w:color="CCCCCC" w:sz="2"/>
              <w:bottom w:val="single" w:color="CCCCCC" w:sz="2"/>
              <w:right w:val="single" w:color="CCCCCC"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inference_service.cpp: structured logging</w:t>
            </w:r>
          </w:p>
        </w:tc>
      </w:tr>
    </w:tbl>
    <w:p>
      <w:pPr>
        <w:spacing w:after="60" w:before="60"/>
      </w:pPr>
      <w:r>
        <w:rPr>
          <w:rFonts w:ascii="Arial" w:cs="Arial" w:eastAsia="Arial" w:hAnsi="Arial"/>
          <w:b w:val="false"/>
          <w:bCs w:val="false"/>
          <w:i w:val="false"/>
          <w:iCs w:val="false"/>
          <w:color w:val="2C3E50"/>
          <w:sz w:val="20"/>
          <w:szCs w:val="20"/>
        </w:rPr>
        <w:t xml:space="preserve"/>
      </w:r>
    </w:p>
    <w:p>
      <w:pPr>
        <w:pStyle w:val="Heading3"/>
        <w:spacing w:after="100" w:before="220"/>
      </w:pPr>
      <w:r>
        <w:rPr>
          <w:rFonts w:ascii="Arial" w:cs="Arial" w:eastAsia="Arial" w:hAnsi="Arial"/>
          <w:b/>
          <w:bCs/>
          <w:color w:val="1B6CA8"/>
          <w:sz w:val="24"/>
          <w:szCs w:val="24"/>
        </w:rPr>
        <w:t xml:space="preserve">docs/pci_dss_mapping.md — Required Sections</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Section 1: Architecture Overview — diagram showing secret key never leaves bank perimeter.</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Section 2: Req. 3.5 Mapping — cite encrypt_batch() as the encryption-before-transmission control.</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Section 3: Req. 3.7 Mapping — document HSM shim as the key protection control; note production upgrade path to Thales Luna or AWS CloudHSM.</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Section 4: Req. 4.2.1 Mapping — document gRPC TLS 1.3 configuration.</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Section 5: Req. 7 &amp; 10 Mapping — document RBAC on vendor server and request audit log schema.</w:t>
      </w:r>
    </w:p>
    <w:p>
      <w:pPr>
        <w:pStyle w:val="ListParagraph"/>
        <w:numPr>
          <w:ilvl w:val="0"/>
          <w:numId w:val="2"/>
        </w:numPr>
        <w:spacing w:after="60" w:before="60" w:line="300"/>
      </w:pPr>
      <w:r>
        <w:rPr>
          <w:rFonts w:ascii="Arial" w:cs="Arial" w:eastAsia="Arial" w:hAnsi="Arial"/>
          <w:b w:val="false"/>
          <w:bCs w:val="false"/>
          <w:i w:val="false"/>
          <w:iCs w:val="false"/>
          <w:color w:val="2C3E50"/>
          <w:sz w:val="20"/>
          <w:szCs w:val="20"/>
        </w:rPr>
        <w:t xml:space="preserve">Section 6: Residual Risks — note that HSM shim is software-only; production deployment requires certified HSM hardware.</w:t>
      </w:r>
    </w:p>
    <w:p>
      <w:pPr>
        <w:spacing w:after="60" w:before="60"/>
      </w:pPr>
      <w:r>
        <w:rPr>
          <w:rFonts w:ascii="Arial" w:cs="Arial" w:eastAsia="Arial" w:hAnsi="Arial"/>
          <w:b w:val="false"/>
          <w:bCs w:val="false"/>
          <w:i w:val="false"/>
          <w:iCs w:val="false"/>
          <w:color w:val="2C3E50"/>
          <w:sz w:val="20"/>
          <w:szCs w:val="20"/>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60"/>
      </w:tblGrid>
      <w:tr>
        <w:tc>
          <w:tcPr>
            <w:tcW w:type="dxa" w:w="9160"/>
            <w:tcBorders>
              <w:top w:val="none" w:color="FFFFFF" w:sz="0"/>
              <w:left w:val="single" w:color="1E8449" w:sz="20"/>
              <w:bottom w:val="none" w:color="FFFFFF" w:sz="0"/>
              <w:right w:val="none" w:color="FFFFFF" w:sz="0"/>
            </w:tcBorders>
            <w:shd w:fill="D5F5E3" w:val="clear"/>
            <w:tcMar>
              <w:top w:type="dxa" w:w="100"/>
              <w:left w:type="dxa" w:w="180"/>
              <w:bottom w:type="dxa" w:w="100"/>
              <w:right w:type="dxa" w:w="180"/>
            </w:tcMar>
          </w:tcPr>
          <w:p>
            <w:pPr>
              <w:spacing w:after="40" w:before="40"/>
            </w:pPr>
            <w:r>
              <w:rPr>
                <w:rFonts w:ascii="Arial" w:cs="Arial" w:eastAsia="Arial" w:hAnsi="Arial"/>
                <w:b/>
                <w:bCs/>
                <w:color w:val="1E8449"/>
                <w:sz w:val="19"/>
                <w:szCs w:val="19"/>
              </w:rPr>
              <w:t xml:space="preserve">📋  Pro-Tip: Patent + PCI DSS Synergy</w:t>
            </w:r>
          </w:p>
          <w:p>
            <w:pPr>
              <w:spacing w:after="40" w:before="40"/>
            </w:pPr>
            <w:r>
              <w:rPr>
                <w:rFonts w:ascii="Arial" w:cs="Arial" w:eastAsia="Arial" w:hAnsi="Arial"/>
                <w:color w:val="2C3E50"/>
                <w:sz w:val="19"/>
                <w:szCs w:val="19"/>
              </w:rPr>
              <w:t xml:space="preserve">The HSM key isolation architecture serves double duty: it is both a patentable system claim (Claim 5 above: "a bank client component including a hardware security module interface") and a PCI DSS compliance control. Document it thoroughly in both docs/patent_claims_draft.md and docs/pci_dss_mapping.md to maximize value from a single implementation.</w:t>
            </w:r>
          </w:p>
        </w:tc>
      </w:tr>
    </w:tbl>
    <w:p>
      <w:r>
        <w:br w:type="page"/>
      </w:r>
    </w:p>
    <w:p>
      <w:pPr>
        <w:pStyle w:val="Heading1"/>
        <w:pBdr>
          <w:bottom w:val="single" w:color="1F3864" w:sz="8" w:space="4"/>
        </w:pBdr>
        <w:spacing w:after="200" w:before="360"/>
      </w:pPr>
      <w:r>
        <w:rPr>
          <w:rFonts w:ascii="Arial" w:cs="Arial" w:eastAsia="Arial" w:hAnsi="Arial"/>
          <w:b/>
          <w:bCs/>
          <w:color w:val="1F3864"/>
          <w:sz w:val="36"/>
          <w:szCs w:val="36"/>
        </w:rPr>
        <w:t xml:space="preserve">Final Deliverables Checklist</w:t>
      </w:r>
    </w:p>
    <w:p>
      <w:pPr>
        <w:spacing w:after="80" w:before="80" w:line="320"/>
        <w:jc w:val="left"/>
      </w:pPr>
      <w:r>
        <w:rPr>
          <w:rFonts w:ascii="Arial" w:cs="Arial" w:eastAsia="Arial" w:hAnsi="Arial"/>
          <w:b w:val="false"/>
          <w:bCs w:val="false"/>
          <w:i w:val="false"/>
          <w:iCs w:val="false"/>
          <w:color w:val="2C3E50"/>
          <w:sz w:val="20"/>
          <w:szCs w:val="20"/>
        </w:rPr>
        <w:t xml:space="preserve">Use this checklist to confirm all project components are complete before viva / submission:</w:t>
      </w:r>
    </w:p>
    <w:p>
      <w:pPr>
        <w:pStyle w:val="Heading2"/>
        <w:spacing w:after="140" w:before="280"/>
      </w:pPr>
      <w:r>
        <w:rPr>
          <w:rFonts w:ascii="Arial" w:cs="Arial" w:eastAsia="Arial" w:hAnsi="Arial"/>
          <w:b/>
          <w:bCs/>
          <w:color w:val="2E74B5"/>
          <w:sz w:val="28"/>
          <w:szCs w:val="28"/>
        </w:rPr>
        <w:t xml:space="preserve">Code Deliverables</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he_core: compiles cleanly, benchmark exits 0 (&lt; 10 ms)</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compiler: train_xgboost.py AUC ≥ 0.98; validate_auc.py AUC ≥ 0.94</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model_weights.bin: 2060 bytes, binary-compatible with C++ loader</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seal_wrapper.so: encrypt/decrypt round-trip within 1e-4 tolerance</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vendor_server: gRPC server starts, responds, TimingBreakdown populated</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bank_client: FastAPI starts, /api/infer returns correct JSON</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React: dashboard renders, file upload works end-to-end</w:t>
      </w:r>
    </w:p>
    <w:p>
      <w:pPr>
        <w:pStyle w:val="Heading2"/>
        <w:spacing w:after="140" w:before="280"/>
      </w:pPr>
      <w:r>
        <w:rPr>
          <w:rFonts w:ascii="Arial" w:cs="Arial" w:eastAsia="Arial" w:hAnsi="Arial"/>
          <w:b/>
          <w:bCs/>
          <w:color w:val="2E74B5"/>
          <w:sz w:val="28"/>
          <w:szCs w:val="28"/>
        </w:rPr>
        <w:t xml:space="preserve">Research Evidence</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results/roc_comparison.pdf: dual ROC curves, AUC values labeled</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results/latency_breakdown.csv: 1000-run p50/p95 per step</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results/ciphertext_size.txt: n=8192 vs n=16384 bytes</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results/ablation_hoisting.csv: naive vs hoisted latency comparison</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results/he_security_estimate.png: lattice-estimator screenshot showing ≥ 128-bit</w:t>
      </w:r>
    </w:p>
    <w:p>
      <w:pPr>
        <w:pStyle w:val="Heading2"/>
        <w:spacing w:after="140" w:before="280"/>
      </w:pPr>
      <w:r>
        <w:rPr>
          <w:rFonts w:ascii="Arial" w:cs="Arial" w:eastAsia="Arial" w:hAnsi="Arial"/>
          <w:b/>
          <w:bCs/>
          <w:color w:val="2E74B5"/>
          <w:sz w:val="28"/>
          <w:szCs w:val="28"/>
        </w:rPr>
        <w:t xml:space="preserve">Patent Documents</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Provisional patent filed at ipindia.gov.in (priority date established)</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docs/patent_claims_draft.md: 1 independent + 5 dependent claims drafted</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docs/invention_disclosure.md: 5-link inventive chain with dated evidence</w:t>
      </w:r>
    </w:p>
    <w:p>
      <w:pPr>
        <w:pStyle w:val="Heading2"/>
        <w:spacing w:after="140" w:before="280"/>
      </w:pPr>
      <w:r>
        <w:rPr>
          <w:rFonts w:ascii="Arial" w:cs="Arial" w:eastAsia="Arial" w:hAnsi="Arial"/>
          <w:b/>
          <w:bCs/>
          <w:color w:val="2E74B5"/>
          <w:sz w:val="28"/>
          <w:szCs w:val="28"/>
        </w:rPr>
        <w:t xml:space="preserve">Compliance</w:t>
      </w:r>
    </w:p>
    <w:p>
      <w:pPr>
        <w:pStyle w:val="ListParagraph"/>
        <w:numPr>
          <w:ilvl w:val="0"/>
          <w:numId w:val="3"/>
        </w:numPr>
        <w:spacing w:after="60" w:before="60" w:line="300"/>
      </w:pPr>
      <w:r>
        <w:rPr>
          <w:rFonts w:ascii="Arial" w:cs="Arial" w:eastAsia="Arial" w:hAnsi="Arial"/>
          <w:b w:val="false"/>
          <w:bCs w:val="false"/>
          <w:i w:val="false"/>
          <w:iCs w:val="false"/>
          <w:color w:val="2C3E50"/>
          <w:sz w:val="20"/>
          <w:szCs w:val="20"/>
        </w:rPr>
        <w:t xml:space="preserve">docs/pci_dss_mapping.md: all 7 requirements mapped with code references</w:t>
      </w:r>
    </w:p>
    <w:p>
      <w:pPr>
        <w:spacing w:after="120" w:before="120"/>
      </w:pPr>
      <w:r>
        <w:rPr>
          <w:rFonts w:ascii="Arial" w:cs="Arial" w:eastAsia="Arial" w:hAnsi="Arial"/>
          <w:b w:val="false"/>
          <w:bCs w:val="false"/>
          <w:i w:val="false"/>
          <w:iCs w:val="false"/>
          <w:color w:val="2C3E50"/>
          <w:sz w:val="20"/>
          <w:szCs w:val="20"/>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160"/>
      </w:tblGrid>
      <w:tr>
        <w:tc>
          <w:tcPr>
            <w:tcW w:type="dxa" w:w="9160"/>
            <w:tcBorders>
              <w:top w:val="none" w:color="FFFFFF" w:sz="0"/>
              <w:left w:val="single" w:color="1F3864" w:sz="20"/>
              <w:bottom w:val="none" w:color="FFFFFF" w:sz="0"/>
              <w:right w:val="none" w:color="FFFFFF" w:sz="0"/>
            </w:tcBorders>
            <w:shd w:fill="D6E4F0" w:val="clear"/>
            <w:tcMar>
              <w:top w:type="dxa" w:w="100"/>
              <w:left w:type="dxa" w:w="180"/>
              <w:bottom w:type="dxa" w:w="100"/>
              <w:right w:type="dxa" w:w="180"/>
            </w:tcMar>
          </w:tcPr>
          <w:p>
            <w:pPr>
              <w:spacing w:after="40" w:before="40"/>
            </w:pPr>
            <w:r>
              <w:rPr>
                <w:rFonts w:ascii="Arial" w:cs="Arial" w:eastAsia="Arial" w:hAnsi="Arial"/>
                <w:b/>
                <w:bCs/>
                <w:color w:val="1F3864"/>
                <w:sz w:val="19"/>
                <w:szCs w:val="19"/>
              </w:rPr>
              <w:t xml:space="preserve">🎯  Final Thesis Statement for Viva</w:t>
            </w:r>
          </w:p>
          <w:p>
            <w:pPr>
              <w:spacing w:after="40" w:before="40"/>
            </w:pPr>
            <w:r>
              <w:rPr>
                <w:rFonts w:ascii="Arial" w:cs="Arial" w:eastAsia="Arial" w:hAnsi="Arial"/>
                <w:color w:val="2C3E50"/>
                <w:sz w:val="19"/>
                <w:szCs w:val="19"/>
              </w:rPr>
              <w:t xml:space="preserve">PPFDaaS demonstrates that linearizing a trained XGBoost ensemble to a depth-1 CKKS circuit — via SHAP-based gradient attribution — enables selection of the n=8192 parameter regime, reducing ciphertext size 5.3× (2 MB → 384 KB) and achieving sub-10ms end-to-end inference latency on encrypted transaction batches, while retaining AUC ≥ 0.94 on the IEEE-CIS fraud dataset. The system achieves ≥ 128-bit classical security, processes 16 transactions per ciphertext at 100% SIMD slot efficiency, and provides a PCI DSS v4.0 compliant secret-key isolation architecture via an HSM shim.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B6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2026-04-10T19:02:26.645Z</dcterms:created>
  <dcterms:modified xsi:type="dcterms:W3CDTF">2026-04-10T19:02:26.646Z</dcterms:modified>
</cp:coreProperties>
</file>

<file path=docProps/custom.xml><?xml version="1.0" encoding="utf-8"?>
<Properties xmlns="http://schemas.openxmlformats.org/officeDocument/2006/custom-properties" xmlns:vt="http://schemas.openxmlformats.org/officeDocument/2006/docPropsVTypes"/>
</file>