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0" w:before="0"/>
      </w:pPr>
    </w:p>
    <w:p>
      <w:pPr>
        <w:keepNext w:val="0"/>
        <w:spacing w:after="40" w:before="0"/>
        <w:jc w:val="center"/>
      </w:pPr>
      <w:r>
        <w:rPr>
          <w:sz w:val="28"/>
        </w:rPr>
        <w:t>ACCA</w:t>
      </w:r>
    </w:p>
    <w:p>
      <w:pPr>
        <w:keepNext w:val="0"/>
        <w:spacing w:after="120" w:before="0"/>
        <w:jc w:val="center"/>
      </w:pPr>
      <w:r>
        <w:rPr>
          <w:b/>
          <w:sz w:val="44"/>
        </w:rPr>
        <w:t>Financial Management (FM)</w:t>
      </w:r>
    </w:p>
    <w:p>
      <w:pPr>
        <w:keepNext w:val="0"/>
        <w:spacing w:after="80" w:before="0"/>
        <w:jc w:val="center"/>
      </w:pPr>
      <w:r>
        <w:rPr>
          <w:sz w:val="30"/>
        </w:rPr>
        <w:t>Mock Examination 02: Solutions and Marking Guide</w:t>
      </w:r>
    </w:p>
    <w:p>
      <w:pPr>
        <w:keepNext w:val="0"/>
        <w:spacing w:after="600" w:before="0"/>
        <w:jc w:val="center"/>
      </w:pPr>
      <w:r>
        <w:rPr>
          <w:sz w:val="20"/>
        </w:rPr>
        <w:t>For use with the question paper FM_Mock_Exam_02_Questions.docx</w:t>
      </w:r>
    </w:p>
    <w:p>
      <w:pPr>
        <w:keepNext w:val="0"/>
        <w:spacing w:after="80" w:before="0"/>
      </w:pPr>
      <w:r>
        <w:rPr>
          <w:b/>
        </w:rPr>
        <w:t>Contents</w:t>
      </w:r>
    </w:p>
    <w:p>
      <w:pPr>
        <w:pStyle w:val="ListBullet"/>
        <w:spacing w:after="40"/>
      </w:pPr>
      <w:r>
        <w:rPr/>
        <w:t>Answer summary for Sections A and B</w:t>
      </w:r>
    </w:p>
    <w:p>
      <w:pPr>
        <w:pStyle w:val="ListBullet"/>
        <w:spacing w:after="40"/>
      </w:pPr>
      <w:r>
        <w:rPr/>
        <w:t>Section A: worked solutions and distractor rationale (Questions 1 to 15)</w:t>
      </w:r>
    </w:p>
    <w:p>
      <w:pPr>
        <w:pStyle w:val="ListBullet"/>
        <w:spacing w:after="40"/>
      </w:pPr>
      <w:r>
        <w:rPr/>
        <w:t>Section B: worked solutions and distractor rationale (Questions 16 to 30)</w:t>
      </w:r>
    </w:p>
    <w:p>
      <w:pPr>
        <w:pStyle w:val="ListBullet"/>
        <w:spacing w:after="40"/>
      </w:pPr>
      <w:r>
        <w:rPr/>
        <w:t>Section C: full calculations, marking guides and model answers (Questions 31 and 32)</w:t>
      </w:r>
    </w:p>
    <w:p>
      <w:pPr>
        <w:pStyle w:val="Heading1"/>
        <w:pageBreakBefore/>
      </w:pPr>
      <w:r>
        <w:rPr>
          <w:color w:val="000000"/>
        </w:rPr>
        <w:t>Solution Key and Examiner Rationale</w:t>
      </w:r>
    </w:p>
    <w:p>
      <w:pPr>
        <w:keepNext w:val="0"/>
        <w:spacing w:after="80" w:before="0"/>
      </w:pPr>
      <w:r>
        <w:rPr>
          <w:i/>
        </w:rPr>
        <w:t>Difficulty mix by marks: Hard 50, Average 30, Easy 20. In Sections A and B (60 marks), 14 questions are Hard, 10 Average and 6 Easy. In Section C (40 marks), 22 marks are Hard, 10 Average and 8 Easy.</w:t>
      </w:r>
    </w:p>
    <w:p>
      <w:pPr>
        <w:pStyle w:val="Heading2"/>
        <w:pageBreakBefore w:val="0"/>
      </w:pPr>
      <w:r>
        <w:rPr>
          <w:color w:val="000000"/>
        </w:rPr>
        <w:t>Answer summary: Sections A and B</w:t>
      </w:r>
    </w:p>
    <w:tbl>
      <w:tblPr>
        <w:tblStyle w:val="TableGrid"/>
        <w:tblW w:type="auto" w:w="0"/>
        <w:jc w:val="center"/>
        <w:tblLayout w:type="fixed"/>
        <w:tblLook w:firstColumn="1" w:firstRow="1" w:lastColumn="0" w:lastRow="0" w:noHBand="0" w:noVBand="1" w:val="04A0"/>
      </w:tblPr>
      <w:tblGrid>
        <w:gridCol w:w="567"/>
        <w:gridCol w:w="2154"/>
        <w:gridCol w:w="1134"/>
        <w:gridCol w:w="2268"/>
        <w:gridCol w:w="3288"/>
      </w:tblGrid>
      <w:tr>
        <w:trPr>
          <w:cantSplit/>
          <w:tblHeader/>
        </w:trPr>
        <w:tc>
          <w:tcPr>
            <w:tcW w:type="dxa" w:w="567"/>
          </w:tcPr>
          <w:p>
            <w:pPr>
              <w:spacing w:after="0"/>
              <w:jc w:val="center"/>
            </w:pPr>
            <w:r>
              <w:rPr>
                <w:b/>
              </w:rPr>
            </w:r>
            <w:r>
              <w:rPr>
                <w:b/>
                <w:sz w:val="17"/>
              </w:rPr>
              <w:t>Q</w:t>
            </w:r>
          </w:p>
        </w:tc>
        <w:tc>
          <w:tcPr>
            <w:tcW w:type="dxa" w:w="2154"/>
          </w:tcPr>
          <w:p>
            <w:pPr>
              <w:spacing w:after="0"/>
            </w:pPr>
            <w:r>
              <w:rPr>
                <w:b/>
              </w:rPr>
            </w:r>
            <w:r>
              <w:rPr>
                <w:b/>
                <w:sz w:val="17"/>
              </w:rPr>
              <w:t>Answer</w:t>
            </w:r>
          </w:p>
        </w:tc>
        <w:tc>
          <w:tcPr>
            <w:tcW w:type="dxa" w:w="1134"/>
          </w:tcPr>
          <w:p>
            <w:pPr>
              <w:spacing w:after="0"/>
              <w:jc w:val="center"/>
            </w:pPr>
            <w:r>
              <w:rPr>
                <w:b/>
              </w:rPr>
            </w:r>
            <w:r>
              <w:rPr>
                <w:b/>
                <w:sz w:val="17"/>
              </w:rPr>
              <w:t>Level</w:t>
            </w:r>
          </w:p>
        </w:tc>
        <w:tc>
          <w:tcPr>
            <w:tcW w:type="dxa" w:w="2268"/>
          </w:tcPr>
          <w:p>
            <w:pPr>
              <w:spacing w:after="0"/>
            </w:pPr>
            <w:r>
              <w:rPr>
                <w:b/>
              </w:rPr>
            </w:r>
            <w:r>
              <w:rPr>
                <w:b/>
                <w:sz w:val="17"/>
              </w:rPr>
              <w:t>Format</w:t>
            </w:r>
          </w:p>
        </w:tc>
        <w:tc>
          <w:tcPr>
            <w:tcW w:type="dxa" w:w="3288"/>
          </w:tcPr>
          <w:p>
            <w:pPr>
              <w:spacing w:after="0"/>
            </w:pPr>
            <w:r>
              <w:rPr>
                <w:b/>
              </w:rPr>
            </w:r>
            <w:r>
              <w:rPr>
                <w:b/>
                <w:sz w:val="17"/>
              </w:rPr>
              <w:t>Chapter</w:t>
            </w:r>
          </w:p>
        </w:tc>
      </w:tr>
      <w:tr>
        <w:trPr>
          <w:cantSplit/>
        </w:trPr>
        <w:tc>
          <w:tcPr>
            <w:tcW w:type="dxa" w:w="567"/>
          </w:tcPr>
          <w:p>
            <w:pPr>
              <w:spacing w:after="0"/>
              <w:jc w:val="center"/>
            </w:pPr>
            <w:r/>
            <w:r>
              <w:rPr>
                <w:sz w:val="17"/>
              </w:rPr>
              <w:t>1</w:t>
            </w:r>
          </w:p>
        </w:tc>
        <w:tc>
          <w:tcPr>
            <w:tcW w:type="dxa" w:w="2154"/>
          </w:tcPr>
          <w:p>
            <w:pPr>
              <w:spacing w:after="0"/>
            </w:pPr>
            <w:r/>
            <w:r>
              <w:rPr>
                <w:sz w:val="17"/>
              </w:rPr>
              <w:t>B</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2</w:t>
            </w:r>
          </w:p>
        </w:tc>
        <w:tc>
          <w:tcPr>
            <w:tcW w:type="dxa" w:w="2154"/>
          </w:tcPr>
          <w:p>
            <w:pPr>
              <w:spacing w:after="0"/>
            </w:pPr>
            <w:r/>
            <w:r>
              <w:rPr>
                <w:sz w:val="17"/>
              </w:rPr>
              <w:t>True, False, False</w:t>
            </w:r>
          </w:p>
        </w:tc>
        <w:tc>
          <w:tcPr>
            <w:tcW w:type="dxa" w:w="1134"/>
          </w:tcPr>
          <w:p>
            <w:pPr>
              <w:spacing w:after="0"/>
              <w:jc w:val="center"/>
            </w:pPr>
            <w:r/>
            <w:r>
              <w:rPr>
                <w:sz w:val="17"/>
              </w:rPr>
              <w:t>Average</w:t>
            </w:r>
          </w:p>
        </w:tc>
        <w:tc>
          <w:tcPr>
            <w:tcW w:type="dxa" w:w="2268"/>
          </w:tcPr>
          <w:p>
            <w:pPr>
              <w:spacing w:after="0"/>
            </w:pPr>
            <w:r/>
            <w:r>
              <w:rPr>
                <w:sz w:val="17"/>
              </w:rPr>
              <w:t>True/False</w:t>
            </w:r>
          </w:p>
        </w:tc>
        <w:tc>
          <w:tcPr>
            <w:tcW w:type="dxa" w:w="3288"/>
          </w:tcPr>
          <w:p>
            <w:pPr>
              <w:spacing w:after="0"/>
            </w:pPr>
            <w:r/>
            <w:r>
              <w:rPr>
                <w:sz w:val="17"/>
              </w:rPr>
              <w:t>5 Asset investment decisions</w:t>
            </w:r>
          </w:p>
        </w:tc>
      </w:tr>
      <w:tr>
        <w:trPr>
          <w:cantSplit/>
        </w:trPr>
        <w:tc>
          <w:tcPr>
            <w:tcW w:type="dxa" w:w="567"/>
          </w:tcPr>
          <w:p>
            <w:pPr>
              <w:spacing w:after="0"/>
              <w:jc w:val="center"/>
            </w:pPr>
            <w:r/>
            <w:r>
              <w:rPr>
                <w:sz w:val="17"/>
              </w:rPr>
              <w:t>3</w:t>
            </w:r>
          </w:p>
        </w:tc>
        <w:tc>
          <w:tcPr>
            <w:tcW w:type="dxa" w:w="2154"/>
          </w:tcPr>
          <w:p>
            <w:pPr>
              <w:spacing w:after="0"/>
            </w:pPr>
            <w:r/>
            <w:r>
              <w:rPr>
                <w:sz w:val="17"/>
              </w:rPr>
              <w:t>$41,675</w:t>
            </w:r>
          </w:p>
        </w:tc>
        <w:tc>
          <w:tcPr>
            <w:tcW w:type="dxa" w:w="1134"/>
          </w:tcPr>
          <w:p>
            <w:pPr>
              <w:spacing w:after="0"/>
              <w:jc w:val="center"/>
            </w:pPr>
            <w:r/>
            <w:r>
              <w:rPr>
                <w:sz w:val="17"/>
              </w:rPr>
              <w:t>Hard</w:t>
            </w:r>
          </w:p>
        </w:tc>
        <w:tc>
          <w:tcPr>
            <w:tcW w:type="dxa" w:w="2268"/>
          </w:tcPr>
          <w:p>
            <w:pPr>
              <w:spacing w:after="0"/>
            </w:pPr>
            <w:r/>
            <w:r>
              <w:rPr>
                <w:sz w:val="17"/>
              </w:rPr>
              <w:t>Numeric</w:t>
            </w:r>
          </w:p>
        </w:tc>
        <w:tc>
          <w:tcPr>
            <w:tcW w:type="dxa" w:w="3288"/>
          </w:tcPr>
          <w:p>
            <w:pPr>
              <w:spacing w:after="0"/>
            </w:pPr>
            <w:r/>
            <w:r>
              <w:rPr>
                <w:sz w:val="17"/>
              </w:rPr>
              <w:t>5 Asset investment decisions</w:t>
            </w:r>
          </w:p>
        </w:tc>
      </w:tr>
      <w:tr>
        <w:trPr>
          <w:cantSplit/>
        </w:trPr>
        <w:tc>
          <w:tcPr>
            <w:tcW w:type="dxa" w:w="567"/>
          </w:tcPr>
          <w:p>
            <w:pPr>
              <w:spacing w:after="0"/>
              <w:jc w:val="center"/>
            </w:pPr>
            <w:r/>
            <w:r>
              <w:rPr>
                <w:sz w:val="17"/>
              </w:rPr>
              <w:t>4</w:t>
            </w:r>
          </w:p>
        </w:tc>
        <w:tc>
          <w:tcPr>
            <w:tcW w:type="dxa" w:w="2154"/>
          </w:tcPr>
          <w:p>
            <w:pPr>
              <w:spacing w:after="0"/>
            </w:pPr>
            <w:r/>
            <w:r>
              <w:rPr>
                <w:sz w:val="17"/>
              </w:rPr>
              <w:t>D</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5</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7 Working capital management</w:t>
            </w:r>
          </w:p>
        </w:tc>
      </w:tr>
      <w:tr>
        <w:trPr>
          <w:cantSplit/>
        </w:trPr>
        <w:tc>
          <w:tcPr>
            <w:tcW w:type="dxa" w:w="567"/>
          </w:tcPr>
          <w:p>
            <w:pPr>
              <w:spacing w:after="0"/>
              <w:jc w:val="center"/>
            </w:pPr>
            <w:r/>
            <w:r>
              <w:rPr>
                <w:sz w:val="17"/>
              </w:rPr>
              <w:t>6</w:t>
            </w:r>
          </w:p>
        </w:tc>
        <w:tc>
          <w:tcPr>
            <w:tcW w:type="dxa" w:w="2154"/>
          </w:tcPr>
          <w:p>
            <w:pPr>
              <w:spacing w:after="0"/>
            </w:pPr>
            <w:r/>
            <w:r>
              <w:rPr>
                <w:sz w:val="17"/>
              </w:rPr>
              <w:t>7,800 units</w:t>
            </w:r>
          </w:p>
        </w:tc>
        <w:tc>
          <w:tcPr>
            <w:tcW w:type="dxa" w:w="1134"/>
          </w:tcPr>
          <w:p>
            <w:pPr>
              <w:spacing w:after="0"/>
              <w:jc w:val="center"/>
            </w:pPr>
            <w:r/>
            <w:r>
              <w:rPr>
                <w:sz w:val="17"/>
              </w:rPr>
              <w:t>Hard</w:t>
            </w:r>
          </w:p>
        </w:tc>
        <w:tc>
          <w:tcPr>
            <w:tcW w:type="dxa" w:w="2268"/>
          </w:tcPr>
          <w:p>
            <w:pPr>
              <w:spacing w:after="0"/>
            </w:pPr>
            <w:r/>
            <w:r>
              <w:rPr>
                <w:sz w:val="17"/>
              </w:rPr>
              <w:t>Numeric</w:t>
            </w:r>
          </w:p>
        </w:tc>
        <w:tc>
          <w:tcPr>
            <w:tcW w:type="dxa" w:w="3288"/>
          </w:tcPr>
          <w:p>
            <w:pPr>
              <w:spacing w:after="0"/>
            </w:pPr>
            <w:r/>
            <w:r>
              <w:rPr>
                <w:sz w:val="17"/>
              </w:rPr>
              <w:t>8 Inventory control</w:t>
            </w:r>
          </w:p>
        </w:tc>
      </w:tr>
      <w:tr>
        <w:trPr>
          <w:cantSplit/>
        </w:trPr>
        <w:tc>
          <w:tcPr>
            <w:tcW w:type="dxa" w:w="567"/>
          </w:tcPr>
          <w:p>
            <w:pPr>
              <w:spacing w:after="0"/>
              <w:jc w:val="center"/>
            </w:pPr>
            <w:r/>
            <w:r>
              <w:rPr>
                <w:sz w:val="17"/>
              </w:rPr>
              <w:t>7</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9 Receivables and payables</w:t>
            </w:r>
          </w:p>
        </w:tc>
      </w:tr>
      <w:tr>
        <w:trPr>
          <w:cantSplit/>
        </w:trPr>
        <w:tc>
          <w:tcPr>
            <w:tcW w:type="dxa" w:w="567"/>
          </w:tcPr>
          <w:p>
            <w:pPr>
              <w:spacing w:after="0"/>
              <w:jc w:val="center"/>
            </w:pPr>
            <w:r/>
            <w:r>
              <w:rPr>
                <w:sz w:val="17"/>
              </w:rPr>
              <w:t>8</w:t>
            </w:r>
          </w:p>
        </w:tc>
        <w:tc>
          <w:tcPr>
            <w:tcW w:type="dxa" w:w="2154"/>
          </w:tcPr>
          <w:p>
            <w:pPr>
              <w:spacing w:after="0"/>
            </w:pPr>
            <w:r/>
            <w:r>
              <w:rPr>
                <w:sz w:val="17"/>
              </w:rPr>
              <w:t>$84,853</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10 Cash and funding</w:t>
            </w:r>
          </w:p>
        </w:tc>
      </w:tr>
      <w:tr>
        <w:trPr>
          <w:cantSplit/>
        </w:trPr>
        <w:tc>
          <w:tcPr>
            <w:tcW w:type="dxa" w:w="567"/>
          </w:tcPr>
          <w:p>
            <w:pPr>
              <w:spacing w:after="0"/>
              <w:jc w:val="center"/>
            </w:pPr>
            <w:r/>
            <w:r>
              <w:rPr>
                <w:sz w:val="17"/>
              </w:rPr>
              <w:t>9</w:t>
            </w:r>
          </w:p>
        </w:tc>
        <w:tc>
          <w:tcPr>
            <w:tcW w:type="dxa" w:w="2154"/>
          </w:tcPr>
          <w:p>
            <w:pPr>
              <w:spacing w:after="0"/>
            </w:pPr>
            <w:r/>
            <w:r>
              <w:rPr>
                <w:sz w:val="17"/>
              </w:rPr>
              <w:t>C</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2 Basic investment appraisal</w:t>
            </w:r>
          </w:p>
        </w:tc>
      </w:tr>
      <w:tr>
        <w:trPr>
          <w:cantSplit/>
        </w:trPr>
        <w:tc>
          <w:tcPr>
            <w:tcW w:type="dxa" w:w="567"/>
          </w:tcPr>
          <w:p>
            <w:pPr>
              <w:spacing w:after="0"/>
              <w:jc w:val="center"/>
            </w:pPr>
            <w:r/>
            <w:r>
              <w:rPr>
                <w:sz w:val="17"/>
              </w:rPr>
              <w:t>10</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3 DCF techniques</w:t>
            </w:r>
          </w:p>
        </w:tc>
      </w:tr>
      <w:tr>
        <w:trPr>
          <w:cantSplit/>
        </w:trPr>
        <w:tc>
          <w:tcPr>
            <w:tcW w:type="dxa" w:w="567"/>
          </w:tcPr>
          <w:p>
            <w:pPr>
              <w:spacing w:after="0"/>
              <w:jc w:val="center"/>
            </w:pPr>
            <w:r/>
            <w:r>
              <w:rPr>
                <w:sz w:val="17"/>
              </w:rPr>
              <w:t>11</w:t>
            </w:r>
          </w:p>
        </w:tc>
        <w:tc>
          <w:tcPr>
            <w:tcW w:type="dxa" w:w="2154"/>
          </w:tcPr>
          <w:p>
            <w:pPr>
              <w:spacing w:after="0"/>
            </w:pPr>
            <w:r/>
            <w:r>
              <w:rPr>
                <w:sz w:val="17"/>
              </w:rPr>
              <w:t>$13,188</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3 DCF techniques</w:t>
            </w:r>
          </w:p>
        </w:tc>
      </w:tr>
      <w:tr>
        <w:trPr>
          <w:cantSplit/>
        </w:trPr>
        <w:tc>
          <w:tcPr>
            <w:tcW w:type="dxa" w:w="567"/>
          </w:tcPr>
          <w:p>
            <w:pPr>
              <w:spacing w:after="0"/>
              <w:jc w:val="center"/>
            </w:pPr>
            <w:r/>
            <w:r>
              <w:rPr>
                <w:sz w:val="17"/>
              </w:rPr>
              <w:t>12</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13</w:t>
            </w:r>
          </w:p>
        </w:tc>
        <w:tc>
          <w:tcPr>
            <w:tcW w:type="dxa" w:w="2154"/>
          </w:tcPr>
          <w:p>
            <w:pPr>
              <w:spacing w:after="0"/>
            </w:pPr>
            <w:r/>
            <w:r>
              <w:rPr>
                <w:sz w:val="17"/>
              </w:rPr>
              <w:t>True, False, True</w:t>
            </w:r>
          </w:p>
        </w:tc>
        <w:tc>
          <w:tcPr>
            <w:tcW w:type="dxa" w:w="1134"/>
          </w:tcPr>
          <w:p>
            <w:pPr>
              <w:spacing w:after="0"/>
              <w:jc w:val="center"/>
            </w:pPr>
            <w:r/>
            <w:r>
              <w:rPr>
                <w:sz w:val="17"/>
              </w:rPr>
              <w:t>Hard</w:t>
            </w:r>
          </w:p>
        </w:tc>
        <w:tc>
          <w:tcPr>
            <w:tcW w:type="dxa" w:w="2268"/>
          </w:tcPr>
          <w:p>
            <w:pPr>
              <w:spacing w:after="0"/>
            </w:pPr>
            <w:r/>
            <w:r>
              <w:rPr>
                <w:sz w:val="17"/>
              </w:rPr>
              <w:t>True/False</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14</w:t>
            </w:r>
          </w:p>
        </w:tc>
        <w:tc>
          <w:tcPr>
            <w:tcW w:type="dxa" w:w="2154"/>
          </w:tcPr>
          <w:p>
            <w:pPr>
              <w:spacing w:after="0"/>
            </w:pPr>
            <w:r/>
            <w:r>
              <w:rPr>
                <w:sz w:val="17"/>
              </w:rPr>
              <w:t>$38,500</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6 Uncertainty</w:t>
            </w:r>
          </w:p>
        </w:tc>
      </w:tr>
      <w:tr>
        <w:trPr>
          <w:cantSplit/>
        </w:trPr>
        <w:tc>
          <w:tcPr>
            <w:tcW w:type="dxa" w:w="567"/>
          </w:tcPr>
          <w:p>
            <w:pPr>
              <w:spacing w:after="0"/>
              <w:jc w:val="center"/>
            </w:pPr>
            <w:r/>
            <w:r>
              <w:rPr>
                <w:sz w:val="17"/>
              </w:rPr>
              <w:t>15</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5 Asset investment decisions</w:t>
            </w:r>
          </w:p>
        </w:tc>
      </w:tr>
      <w:tr>
        <w:trPr>
          <w:cantSplit/>
        </w:trPr>
        <w:tc>
          <w:tcPr>
            <w:tcW w:type="dxa" w:w="567"/>
          </w:tcPr>
          <w:p>
            <w:pPr>
              <w:spacing w:after="0"/>
              <w:jc w:val="center"/>
            </w:pPr>
            <w:r/>
            <w:r>
              <w:rPr>
                <w:sz w:val="17"/>
              </w:rPr>
              <w:t>16</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9 Receivables and payables</w:t>
            </w:r>
          </w:p>
        </w:tc>
      </w:tr>
      <w:tr>
        <w:trPr>
          <w:cantSplit/>
        </w:trPr>
        <w:tc>
          <w:tcPr>
            <w:tcW w:type="dxa" w:w="567"/>
          </w:tcPr>
          <w:p>
            <w:pPr>
              <w:spacing w:after="0"/>
              <w:jc w:val="center"/>
            </w:pPr>
            <w:r/>
            <w:r>
              <w:rPr>
                <w:sz w:val="17"/>
              </w:rPr>
              <w:t>17</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9 Receivables and payables</w:t>
            </w:r>
          </w:p>
        </w:tc>
      </w:tr>
      <w:tr>
        <w:trPr>
          <w:cantSplit/>
        </w:trPr>
        <w:tc>
          <w:tcPr>
            <w:tcW w:type="dxa" w:w="567"/>
          </w:tcPr>
          <w:p>
            <w:pPr>
              <w:spacing w:after="0"/>
              <w:jc w:val="center"/>
            </w:pPr>
            <w:r/>
            <w:r>
              <w:rPr>
                <w:sz w:val="17"/>
              </w:rPr>
              <w:t>18</w:t>
            </w:r>
          </w:p>
        </w:tc>
        <w:tc>
          <w:tcPr>
            <w:tcW w:type="dxa" w:w="2154"/>
          </w:tcPr>
          <w:p>
            <w:pPr>
              <w:spacing w:after="0"/>
            </w:pPr>
            <w:r/>
            <w:r>
              <w:rPr>
                <w:sz w:val="17"/>
              </w:rPr>
              <w:t>0.90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7 Working capital management</w:t>
            </w:r>
          </w:p>
        </w:tc>
      </w:tr>
      <w:tr>
        <w:trPr>
          <w:cantSplit/>
        </w:trPr>
        <w:tc>
          <w:tcPr>
            <w:tcW w:type="dxa" w:w="567"/>
          </w:tcPr>
          <w:p>
            <w:pPr>
              <w:spacing w:after="0"/>
              <w:jc w:val="center"/>
            </w:pPr>
            <w:r/>
            <w:r>
              <w:rPr>
                <w:sz w:val="17"/>
              </w:rPr>
              <w:t>19</w:t>
            </w:r>
          </w:p>
        </w:tc>
        <w:tc>
          <w:tcPr>
            <w:tcW w:type="dxa" w:w="2154"/>
          </w:tcPr>
          <w:p>
            <w:pPr>
              <w:spacing w:after="0"/>
            </w:pPr>
            <w:r/>
            <w:r>
              <w:rPr>
                <w:sz w:val="17"/>
              </w:rPr>
              <w:t>True, True, False</w:t>
            </w:r>
          </w:p>
        </w:tc>
        <w:tc>
          <w:tcPr>
            <w:tcW w:type="dxa" w:w="1134"/>
          </w:tcPr>
          <w:p>
            <w:pPr>
              <w:spacing w:after="0"/>
              <w:jc w:val="center"/>
            </w:pPr>
            <w:r/>
            <w:r>
              <w:rPr>
                <w:sz w:val="17"/>
              </w:rPr>
              <w:t>Average</w:t>
            </w:r>
          </w:p>
        </w:tc>
        <w:tc>
          <w:tcPr>
            <w:tcW w:type="dxa" w:w="2268"/>
          </w:tcPr>
          <w:p>
            <w:pPr>
              <w:spacing w:after="0"/>
            </w:pPr>
            <w:r/>
            <w:r>
              <w:rPr>
                <w:sz w:val="17"/>
              </w:rPr>
              <w:t>True/False</w:t>
            </w:r>
          </w:p>
        </w:tc>
        <w:tc>
          <w:tcPr>
            <w:tcW w:type="dxa" w:w="3288"/>
          </w:tcPr>
          <w:p>
            <w:pPr>
              <w:spacing w:after="0"/>
            </w:pPr>
            <w:r/>
            <w:r>
              <w:rPr>
                <w:sz w:val="17"/>
              </w:rPr>
              <w:t>7 Working capital management</w:t>
            </w:r>
          </w:p>
        </w:tc>
      </w:tr>
      <w:tr>
        <w:trPr>
          <w:cantSplit/>
        </w:trPr>
        <w:tc>
          <w:tcPr>
            <w:tcW w:type="dxa" w:w="567"/>
          </w:tcPr>
          <w:p>
            <w:pPr>
              <w:spacing w:after="0"/>
              <w:jc w:val="center"/>
            </w:pPr>
            <w:r/>
            <w:r>
              <w:rPr>
                <w:sz w:val="17"/>
              </w:rPr>
              <w:t>20</w:t>
            </w:r>
          </w:p>
        </w:tc>
        <w:tc>
          <w:tcPr>
            <w:tcW w:type="dxa" w:w="2154"/>
          </w:tcPr>
          <w:p>
            <w:pPr>
              <w:spacing w:after="0"/>
            </w:pPr>
            <w:r/>
            <w:r>
              <w:rPr>
                <w:sz w:val="17"/>
              </w:rPr>
              <w:t>B</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9 Receivables and payables</w:t>
            </w:r>
          </w:p>
        </w:tc>
      </w:tr>
      <w:tr>
        <w:trPr>
          <w:cantSplit/>
        </w:trPr>
        <w:tc>
          <w:tcPr>
            <w:tcW w:type="dxa" w:w="567"/>
          </w:tcPr>
          <w:p>
            <w:pPr>
              <w:spacing w:after="0"/>
              <w:jc w:val="center"/>
            </w:pPr>
            <w:r/>
            <w:r>
              <w:rPr>
                <w:sz w:val="17"/>
              </w:rPr>
              <w:t>21</w:t>
            </w:r>
          </w:p>
        </w:tc>
        <w:tc>
          <w:tcPr>
            <w:tcW w:type="dxa" w:w="2154"/>
          </w:tcPr>
          <w:p>
            <w:pPr>
              <w:spacing w:after="0"/>
            </w:pPr>
            <w:r/>
            <w:r>
              <w:rPr>
                <w:sz w:val="17"/>
              </w:rPr>
              <w:t>10.0%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22</w:t>
            </w:r>
          </w:p>
        </w:tc>
        <w:tc>
          <w:tcPr>
            <w:tcW w:type="dxa" w:w="2154"/>
          </w:tcPr>
          <w:p>
            <w:pPr>
              <w:spacing w:after="0"/>
            </w:pPr>
            <w:r/>
            <w:r>
              <w:rPr>
                <w:sz w:val="17"/>
              </w:rPr>
              <w:t>C</w:t>
            </w:r>
          </w:p>
        </w:tc>
        <w:tc>
          <w:tcPr>
            <w:tcW w:type="dxa" w:w="1134"/>
          </w:tcPr>
          <w:p>
            <w:pPr>
              <w:spacing w:after="0"/>
              <w:jc w:val="center"/>
            </w:pPr>
            <w:r/>
            <w:r>
              <w:rPr>
                <w:sz w:val="17"/>
              </w:rPr>
              <w:t>Average</w:t>
            </w:r>
          </w:p>
        </w:tc>
        <w:tc>
          <w:tcPr>
            <w:tcW w:type="dxa" w:w="2268"/>
          </w:tcPr>
          <w:p>
            <w:pPr>
              <w:spacing w:after="0"/>
            </w:pPr>
            <w:r/>
            <w:r>
              <w:rPr>
                <w:sz w:val="17"/>
              </w:rPr>
              <w:t>MCQ</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23</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24</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25</w:t>
            </w:r>
          </w:p>
        </w:tc>
        <w:tc>
          <w:tcPr>
            <w:tcW w:type="dxa" w:w="2154"/>
          </w:tcPr>
          <w:p>
            <w:pPr>
              <w:spacing w:after="0"/>
            </w:pPr>
            <w:r/>
            <w:r>
              <w:rPr>
                <w:sz w:val="17"/>
              </w:rPr>
              <w:t>B</w:t>
            </w:r>
          </w:p>
        </w:tc>
        <w:tc>
          <w:tcPr>
            <w:tcW w:type="dxa" w:w="1134"/>
          </w:tcPr>
          <w:p>
            <w:pPr>
              <w:spacing w:after="0"/>
              <w:jc w:val="center"/>
            </w:pPr>
            <w:r/>
            <w:r>
              <w:rPr>
                <w:sz w:val="17"/>
              </w:rPr>
              <w:t>Average</w:t>
            </w:r>
          </w:p>
        </w:tc>
        <w:tc>
          <w:tcPr>
            <w:tcW w:type="dxa" w:w="2268"/>
          </w:tcPr>
          <w:p>
            <w:pPr>
              <w:spacing w:after="0"/>
            </w:pPr>
            <w:r/>
            <w:r>
              <w:rPr>
                <w:sz w:val="17"/>
              </w:rPr>
              <w:t>Statement combination</w:t>
            </w:r>
          </w:p>
        </w:tc>
        <w:tc>
          <w:tcPr>
            <w:tcW w:type="dxa" w:w="3288"/>
          </w:tcPr>
          <w:p>
            <w:pPr>
              <w:spacing w:after="0"/>
            </w:pPr>
            <w:r/>
            <w:r>
              <w:rPr>
                <w:sz w:val="17"/>
              </w:rPr>
              <w:t>4 Further aspects of DCF</w:t>
            </w:r>
          </w:p>
        </w:tc>
      </w:tr>
      <w:tr>
        <w:trPr>
          <w:cantSplit/>
        </w:trPr>
        <w:tc>
          <w:tcPr>
            <w:tcW w:type="dxa" w:w="567"/>
          </w:tcPr>
          <w:p>
            <w:pPr>
              <w:spacing w:after="0"/>
              <w:jc w:val="center"/>
            </w:pPr>
            <w:r/>
            <w:r>
              <w:rPr>
                <w:sz w:val="17"/>
              </w:rPr>
              <w:t>26</w:t>
            </w:r>
          </w:p>
        </w:tc>
        <w:tc>
          <w:tcPr>
            <w:tcW w:type="dxa" w:w="2154"/>
          </w:tcPr>
          <w:p>
            <w:pPr>
              <w:spacing w:after="0"/>
            </w:pPr>
            <w:r/>
            <w:r>
              <w:rPr>
                <w:sz w:val="17"/>
              </w:rPr>
              <w:t>4.0%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1 FM function</w:t>
            </w:r>
          </w:p>
        </w:tc>
      </w:tr>
      <w:tr>
        <w:trPr>
          <w:cantSplit/>
        </w:trPr>
        <w:tc>
          <w:tcPr>
            <w:tcW w:type="dxa" w:w="567"/>
          </w:tcPr>
          <w:p>
            <w:pPr>
              <w:spacing w:after="0"/>
              <w:jc w:val="center"/>
            </w:pPr>
            <w:r/>
            <w:r>
              <w:rPr>
                <w:sz w:val="17"/>
              </w:rPr>
              <w:t>27</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28</w:t>
            </w:r>
          </w:p>
        </w:tc>
        <w:tc>
          <w:tcPr>
            <w:tcW w:type="dxa" w:w="2154"/>
          </w:tcPr>
          <w:p>
            <w:pPr>
              <w:spacing w:after="0"/>
            </w:pPr>
            <w:r/>
            <w:r>
              <w:rPr>
                <w:sz w:val="17"/>
              </w:rPr>
              <w:t>True, False, True</w:t>
            </w:r>
          </w:p>
        </w:tc>
        <w:tc>
          <w:tcPr>
            <w:tcW w:type="dxa" w:w="1134"/>
          </w:tcPr>
          <w:p>
            <w:pPr>
              <w:spacing w:after="0"/>
              <w:jc w:val="center"/>
            </w:pPr>
            <w:r/>
            <w:r>
              <w:rPr>
                <w:sz w:val="17"/>
              </w:rPr>
              <w:t>Hard</w:t>
            </w:r>
          </w:p>
        </w:tc>
        <w:tc>
          <w:tcPr>
            <w:tcW w:type="dxa" w:w="2268"/>
          </w:tcPr>
          <w:p>
            <w:pPr>
              <w:spacing w:after="0"/>
            </w:pPr>
            <w:r/>
            <w:r>
              <w:rPr>
                <w:sz w:val="17"/>
              </w:rPr>
              <w:t>True/False</w:t>
            </w:r>
          </w:p>
        </w:tc>
        <w:tc>
          <w:tcPr>
            <w:tcW w:type="dxa" w:w="3288"/>
          </w:tcPr>
          <w:p>
            <w:pPr>
              <w:spacing w:after="0"/>
            </w:pPr>
            <w:r/>
            <w:r>
              <w:rPr>
                <w:sz w:val="17"/>
              </w:rPr>
              <w:t>1 FM function</w:t>
            </w:r>
          </w:p>
        </w:tc>
      </w:tr>
      <w:tr>
        <w:trPr>
          <w:cantSplit/>
        </w:trPr>
        <w:tc>
          <w:tcPr>
            <w:tcW w:type="dxa" w:w="567"/>
          </w:tcPr>
          <w:p>
            <w:pPr>
              <w:spacing w:after="0"/>
              <w:jc w:val="center"/>
            </w:pPr>
            <w:r/>
            <w:r>
              <w:rPr>
                <w:sz w:val="17"/>
              </w:rPr>
              <w:t>29</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1 FM function</w:t>
            </w:r>
          </w:p>
        </w:tc>
      </w:tr>
      <w:tr>
        <w:trPr>
          <w:cantSplit/>
        </w:trPr>
        <w:tc>
          <w:tcPr>
            <w:tcW w:type="dxa" w:w="567"/>
          </w:tcPr>
          <w:p>
            <w:pPr>
              <w:spacing w:after="0"/>
              <w:jc w:val="center"/>
            </w:pPr>
            <w:r/>
            <w:r>
              <w:rPr>
                <w:sz w:val="17"/>
              </w:rPr>
              <w:t>30</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Grid MCQ</w:t>
            </w:r>
          </w:p>
        </w:tc>
        <w:tc>
          <w:tcPr>
            <w:tcW w:type="dxa" w:w="3288"/>
          </w:tcPr>
          <w:p>
            <w:pPr>
              <w:spacing w:after="0"/>
            </w:pPr>
            <w:r/>
            <w:r>
              <w:rPr>
                <w:sz w:val="17"/>
              </w:rPr>
              <w:t>1 FM function</w:t>
            </w:r>
          </w:p>
        </w:tc>
      </w:tr>
    </w:tbl>
    <w:p>
      <w:pPr>
        <w:spacing w:after="160"/>
      </w:pPr>
    </w:p>
    <w:p>
      <w:pPr>
        <w:pStyle w:val="Heading2"/>
        <w:pageBreakBefore/>
      </w:pPr>
      <w:r>
        <w:rPr>
          <w:color w:val="000000"/>
        </w:rPr>
        <w:t>Section A</w:t>
      </w:r>
    </w:p>
    <w:p>
      <w:pPr>
        <w:pStyle w:val="Heading3"/>
        <w:pageBreakBefore w:val="0"/>
      </w:pPr>
      <w:r>
        <w:rPr>
          <w:color w:val="000000"/>
        </w:rPr>
        <w:t>Question 1: B (Long-term lenders)</w:t>
      </w:r>
    </w:p>
    <w:p>
      <w:pPr>
        <w:keepNext w:val="0"/>
        <w:spacing w:after="80" w:before="0"/>
      </w:pPr>
      <w:r>
        <w:rPr/>
        <w:t>Lenders are concerned with the company's ability to service and repay debt. That is why they look at interest cover and gearing, and why loan agreements include covenants.</w:t>
      </w:r>
    </w:p>
    <w:p>
      <w:pPr>
        <w:pStyle w:val="ListBullet"/>
        <w:spacing w:after="40"/>
      </w:pPr>
      <w:r>
        <w:rPr>
          <w:b/>
        </w:rPr>
        <w:t>A:</w:t>
      </w:r>
      <w:r>
        <w:rPr/>
        <w:t xml:space="preserve"> shareholders are mainly concerned with dividends and share price growth, not repayment of capital.</w:t>
      </w:r>
    </w:p>
    <w:p>
      <w:pPr>
        <w:pStyle w:val="ListBullet"/>
        <w:spacing w:after="40"/>
      </w:pPr>
      <w:r>
        <w:rPr>
          <w:b/>
        </w:rPr>
        <w:t>C and D:</w:t>
      </w:r>
      <w:r>
        <w:rPr/>
        <w:t xml:space="preserve"> employees care about pay and job security, and customers about quality, price and continuity of supply.</w:t>
      </w:r>
    </w:p>
    <w:p>
      <w:pPr>
        <w:pBdr>
          <w:bottom w:val="single" w:sz="8" w:space="1" w:color="000000"/>
        </w:pBdr>
        <w:spacing w:before="0" w:after="160"/>
      </w:pPr>
    </w:p>
    <w:p>
      <w:pPr>
        <w:pStyle w:val="Heading3"/>
        <w:pageBreakBefore w:val="0"/>
      </w:pPr>
      <w:r>
        <w:rPr>
          <w:color w:val="000000"/>
        </w:rPr>
        <w:t>Question 2: True, False, False</w:t>
      </w:r>
    </w:p>
    <w:p>
      <w:pPr>
        <w:pStyle w:val="ListBullet"/>
        <w:spacing w:after="40"/>
      </w:pPr>
      <w:r>
        <w:rPr>
          <w:b/>
        </w:rPr>
        <w:t>True.</w:t>
      </w:r>
      <w:r>
        <w:rPr/>
        <w:t xml:space="preserve"> The equivalent annual cost method compares replacement cycles of different lengths by assuming each cycle repeats indefinitely with an identical asset, ignoring inflation and technological change.</w:t>
      </w:r>
    </w:p>
    <w:p>
      <w:pPr>
        <w:pStyle w:val="ListBullet"/>
        <w:spacing w:after="40"/>
      </w:pPr>
      <w:r>
        <w:rPr>
          <w:b/>
        </w:rPr>
        <w:t>False.</w:t>
      </w:r>
      <w:r>
        <w:rPr/>
        <w:t xml:space="preserve"> This is the trap. A lease or buy decision is a financing decision, so the cash flows are discounted at the (after-tax) cost of borrowing, not the WACC.</w:t>
      </w:r>
    </w:p>
    <w:p>
      <w:pPr>
        <w:pStyle w:val="ListBullet"/>
        <w:spacing w:after="40"/>
      </w:pPr>
      <w:r>
        <w:rPr>
          <w:b/>
        </w:rPr>
        <w:t>False.</w:t>
      </w:r>
      <w:r>
        <w:rPr/>
        <w:t xml:space="preserve"> Limits set by the company's own management are </w:t>
      </w:r>
      <w:r>
        <w:rPr>
          <w:b/>
        </w:rPr>
        <w:t>soft</w:t>
      </w:r>
      <w:r>
        <w:rPr/>
        <w:t xml:space="preserve"> capital rationing. Hard capital rationing is imposed from outside the company, for example when lenders will not provide more finance.</w:t>
      </w:r>
    </w:p>
    <w:p>
      <w:pPr>
        <w:pBdr>
          <w:bottom w:val="single" w:sz="8" w:space="1" w:color="000000"/>
        </w:pBdr>
        <w:spacing w:before="0" w:after="160"/>
      </w:pPr>
    </w:p>
    <w:p>
      <w:pPr>
        <w:pStyle w:val="Heading3"/>
        <w:pageBreakBefore w:val="0"/>
      </w:pPr>
      <w:r>
        <w:rPr>
          <w:color w:val="000000"/>
        </w:rPr>
        <w:t>Question 3: $41,675</w:t>
      </w:r>
    </w:p>
    <w:tbl>
      <w:tblPr>
        <w:tblStyle w:val="TableGrid"/>
        <w:tblW w:type="auto" w:w="0"/>
        <w:jc w:val="center"/>
        <w:tblLayout w:type="fixed"/>
        <w:tblLook w:firstColumn="1" w:firstRow="1" w:lastColumn="0" w:lastRow="0" w:noHBand="0" w:noVBand="1" w:val="04A0"/>
      </w:tblPr>
      <w:tblGrid>
        <w:gridCol w:w="4329"/>
        <w:gridCol w:w="1694"/>
        <w:gridCol w:w="1694"/>
        <w:gridCol w:w="1694"/>
      </w:tblGrid>
      <w:tr>
        <w:trPr>
          <w:cantSplit/>
          <w:tblHeader/>
        </w:trPr>
        <w:tc>
          <w:tcPr>
            <w:tcW w:type="dxa" w:w="4329"/>
          </w:tcPr>
          <w:p>
            <w:pPr>
              <w:spacing w:after="0"/>
            </w:pPr>
            <w:r>
              <w:rPr>
                <w:b/>
              </w:rPr>
            </w:r>
            <w:r>
              <w:rPr>
                <w:b/>
                <w:sz w:val="18"/>
              </w:rPr>
              <w:t>Year</w:t>
            </w:r>
          </w:p>
        </w:tc>
        <w:tc>
          <w:tcPr>
            <w:tcW w:type="dxa" w:w="1694"/>
          </w:tcPr>
          <w:p>
            <w:pPr>
              <w:spacing w:after="0"/>
              <w:jc w:val="center"/>
            </w:pPr>
            <w:r>
              <w:rPr>
                <w:b/>
              </w:rPr>
            </w:r>
            <w:r>
              <w:rPr>
                <w:b/>
                <w:sz w:val="18"/>
              </w:rPr>
              <w:t>Cash flow ($)</w:t>
            </w:r>
          </w:p>
        </w:tc>
        <w:tc>
          <w:tcPr>
            <w:tcW w:type="dxa" w:w="1694"/>
          </w:tcPr>
          <w:p>
            <w:pPr>
              <w:spacing w:after="0"/>
              <w:jc w:val="center"/>
            </w:pPr>
            <w:r>
              <w:rPr>
                <w:b/>
              </w:rPr>
            </w:r>
            <w:r>
              <w:rPr>
                <w:b/>
                <w:sz w:val="18"/>
              </w:rPr>
              <w:t>Discount factor at 12%</w:t>
            </w:r>
          </w:p>
        </w:tc>
        <w:tc>
          <w:tcPr>
            <w:tcW w:type="dxa" w:w="1694"/>
          </w:tcPr>
          <w:p>
            <w:pPr>
              <w:spacing w:after="0"/>
              <w:jc w:val="center"/>
            </w:pPr>
            <w:r>
              <w:rPr>
                <w:b/>
              </w:rPr>
            </w:r>
            <w:r>
              <w:rPr>
                <w:b/>
                <w:sz w:val="18"/>
              </w:rPr>
              <w:t>Present value ($)</w:t>
            </w:r>
          </w:p>
        </w:tc>
      </w:tr>
      <w:tr>
        <w:trPr>
          <w:cantSplit/>
        </w:trPr>
        <w:tc>
          <w:tcPr>
            <w:tcW w:type="dxa" w:w="4329"/>
          </w:tcPr>
          <w:p>
            <w:pPr>
              <w:spacing w:after="0"/>
            </w:pPr>
            <w:r/>
            <w:r>
              <w:rPr>
                <w:sz w:val="18"/>
              </w:rPr>
              <w:t>0</w:t>
            </w:r>
          </w:p>
        </w:tc>
        <w:tc>
          <w:tcPr>
            <w:tcW w:type="dxa" w:w="1694"/>
          </w:tcPr>
          <w:p>
            <w:pPr>
              <w:spacing w:after="0"/>
              <w:jc w:val="center"/>
            </w:pPr>
            <w:r/>
            <w:r>
              <w:rPr>
                <w:sz w:val="18"/>
              </w:rPr>
              <w:t>(85,000)</w:t>
            </w:r>
          </w:p>
        </w:tc>
        <w:tc>
          <w:tcPr>
            <w:tcW w:type="dxa" w:w="1694"/>
          </w:tcPr>
          <w:p>
            <w:pPr>
              <w:spacing w:after="0"/>
              <w:jc w:val="center"/>
            </w:pPr>
            <w:r/>
            <w:r>
              <w:rPr>
                <w:sz w:val="18"/>
              </w:rPr>
              <w:t>1.000</w:t>
            </w:r>
          </w:p>
        </w:tc>
        <w:tc>
          <w:tcPr>
            <w:tcW w:type="dxa" w:w="1694"/>
          </w:tcPr>
          <w:p>
            <w:pPr>
              <w:spacing w:after="0"/>
              <w:jc w:val="center"/>
            </w:pPr>
            <w:r/>
            <w:r>
              <w:rPr>
                <w:sz w:val="18"/>
              </w:rPr>
              <w:t>(85,000)</w:t>
            </w:r>
          </w:p>
        </w:tc>
      </w:tr>
      <w:tr>
        <w:trPr>
          <w:cantSplit/>
        </w:trPr>
        <w:tc>
          <w:tcPr>
            <w:tcW w:type="dxa" w:w="4329"/>
          </w:tcPr>
          <w:p>
            <w:pPr>
              <w:spacing w:after="0"/>
            </w:pPr>
            <w:r/>
            <w:r>
              <w:rPr>
                <w:sz w:val="18"/>
              </w:rPr>
              <w:t>1</w:t>
            </w:r>
          </w:p>
        </w:tc>
        <w:tc>
          <w:tcPr>
            <w:tcW w:type="dxa" w:w="1694"/>
          </w:tcPr>
          <w:p>
            <w:pPr>
              <w:spacing w:after="0"/>
              <w:jc w:val="center"/>
            </w:pPr>
            <w:r/>
            <w:r>
              <w:rPr>
                <w:sz w:val="18"/>
              </w:rPr>
              <w:t>(10,000)</w:t>
            </w:r>
          </w:p>
        </w:tc>
        <w:tc>
          <w:tcPr>
            <w:tcW w:type="dxa" w:w="1694"/>
          </w:tcPr>
          <w:p>
            <w:pPr>
              <w:spacing w:after="0"/>
              <w:jc w:val="center"/>
            </w:pPr>
            <w:r/>
            <w:r>
              <w:rPr>
                <w:sz w:val="18"/>
              </w:rPr>
              <w:t>0.893</w:t>
            </w:r>
          </w:p>
        </w:tc>
        <w:tc>
          <w:tcPr>
            <w:tcW w:type="dxa" w:w="1694"/>
          </w:tcPr>
          <w:p>
            <w:pPr>
              <w:spacing w:after="0"/>
              <w:jc w:val="center"/>
            </w:pPr>
            <w:r/>
            <w:r>
              <w:rPr>
                <w:sz w:val="18"/>
              </w:rPr>
              <w:t>(8,930)</w:t>
            </w:r>
          </w:p>
        </w:tc>
      </w:tr>
      <w:tr>
        <w:trPr>
          <w:cantSplit/>
        </w:trPr>
        <w:tc>
          <w:tcPr>
            <w:tcW w:type="dxa" w:w="4329"/>
          </w:tcPr>
          <w:p>
            <w:pPr>
              <w:spacing w:after="0"/>
            </w:pPr>
            <w:r/>
            <w:r>
              <w:rPr>
                <w:sz w:val="18"/>
              </w:rPr>
              <w:t>2</w:t>
            </w:r>
          </w:p>
        </w:tc>
        <w:tc>
          <w:tcPr>
            <w:tcW w:type="dxa" w:w="1694"/>
          </w:tcPr>
          <w:p>
            <w:pPr>
              <w:spacing w:after="0"/>
              <w:jc w:val="center"/>
            </w:pPr>
            <w:r/>
            <w:r>
              <w:rPr>
                <w:sz w:val="18"/>
              </w:rPr>
              <w:t>(14,000)</w:t>
            </w:r>
          </w:p>
        </w:tc>
        <w:tc>
          <w:tcPr>
            <w:tcW w:type="dxa" w:w="1694"/>
          </w:tcPr>
          <w:p>
            <w:pPr>
              <w:spacing w:after="0"/>
              <w:jc w:val="center"/>
            </w:pPr>
            <w:r/>
            <w:r>
              <w:rPr>
                <w:sz w:val="18"/>
              </w:rPr>
              <w:t>0.797</w:t>
            </w:r>
          </w:p>
        </w:tc>
        <w:tc>
          <w:tcPr>
            <w:tcW w:type="dxa" w:w="1694"/>
          </w:tcPr>
          <w:p>
            <w:pPr>
              <w:spacing w:after="0"/>
              <w:jc w:val="center"/>
            </w:pPr>
            <w:r/>
            <w:r>
              <w:rPr>
                <w:sz w:val="18"/>
              </w:rPr>
              <w:t>(11,158)</w:t>
            </w:r>
          </w:p>
        </w:tc>
      </w:tr>
      <w:tr>
        <w:trPr>
          <w:cantSplit/>
        </w:trPr>
        <w:tc>
          <w:tcPr>
            <w:tcW w:type="dxa" w:w="4329"/>
          </w:tcPr>
          <w:p>
            <w:pPr>
              <w:spacing w:after="0"/>
            </w:pPr>
            <w:r/>
            <w:r>
              <w:rPr>
                <w:sz w:val="18"/>
              </w:rPr>
              <w:t>3</w:t>
            </w:r>
          </w:p>
        </w:tc>
        <w:tc>
          <w:tcPr>
            <w:tcW w:type="dxa" w:w="1694"/>
          </w:tcPr>
          <w:p>
            <w:pPr>
              <w:spacing w:after="0"/>
              <w:jc w:val="center"/>
            </w:pPr>
            <w:r/>
            <w:r>
              <w:rPr>
                <w:sz w:val="18"/>
              </w:rPr>
              <w:t>(18,000) + 25,000 = 7,000</w:t>
            </w:r>
          </w:p>
        </w:tc>
        <w:tc>
          <w:tcPr>
            <w:tcW w:type="dxa" w:w="1694"/>
          </w:tcPr>
          <w:p>
            <w:pPr>
              <w:spacing w:after="0"/>
              <w:jc w:val="center"/>
            </w:pPr>
            <w:r/>
            <w:r>
              <w:rPr>
                <w:sz w:val="18"/>
              </w:rPr>
              <w:t>0.712</w:t>
            </w:r>
          </w:p>
        </w:tc>
        <w:tc>
          <w:tcPr>
            <w:tcW w:type="dxa" w:w="1694"/>
          </w:tcPr>
          <w:p>
            <w:pPr>
              <w:spacing w:after="0"/>
              <w:jc w:val="center"/>
            </w:pPr>
            <w:r/>
            <w:r>
              <w:rPr>
                <w:sz w:val="18"/>
              </w:rPr>
              <w:t>4,984</w:t>
            </w:r>
          </w:p>
        </w:tc>
      </w:tr>
      <w:tr>
        <w:trPr>
          <w:cantSplit/>
        </w:trPr>
        <w:tc>
          <w:tcPr>
            <w:tcW w:type="dxa" w:w="4329"/>
          </w:tcPr>
          <w:p>
            <w:pPr>
              <w:spacing w:after="0"/>
            </w:pPr>
            <w:r/>
            <w:r>
              <w:rPr>
                <w:b/>
                <w:sz w:val="18"/>
              </w:rPr>
              <w:t>PV of costs</w:t>
            </w:r>
          </w:p>
        </w:tc>
        <w:tc>
          <w:tcPr>
            <w:tcW w:type="dxa" w:w="1694"/>
          </w:tcPr>
          <w:p>
            <w:pPr>
              <w:spacing w:after="0"/>
              <w:jc w:val="center"/>
            </w:pPr>
            <w:r/>
          </w:p>
        </w:tc>
        <w:tc>
          <w:tcPr>
            <w:tcW w:type="dxa" w:w="1694"/>
          </w:tcPr>
          <w:p>
            <w:pPr>
              <w:spacing w:after="0"/>
              <w:jc w:val="center"/>
            </w:pPr>
            <w:r/>
          </w:p>
        </w:tc>
        <w:tc>
          <w:tcPr>
            <w:tcW w:type="dxa" w:w="1694"/>
          </w:tcPr>
          <w:p>
            <w:pPr>
              <w:spacing w:after="0"/>
              <w:jc w:val="center"/>
            </w:pPr>
            <w:r/>
            <w:r>
              <w:rPr>
                <w:b/>
                <w:sz w:val="18"/>
              </w:rPr>
              <w:t>(100,104)</w:t>
            </w:r>
          </w:p>
        </w:tc>
      </w:tr>
    </w:tbl>
    <w:p>
      <w:pPr>
        <w:spacing w:after="160"/>
      </w:pPr>
    </w:p>
    <w:p>
      <w:pPr>
        <w:keepNext w:val="0"/>
        <w:spacing w:after="80" w:before="0"/>
      </w:pPr>
      <w:r>
        <w:rPr/>
        <w:t xml:space="preserve">Equivalent annual cost = 100,104 / annuity factor (12%, 3 years) 2.402 = </w:t>
      </w:r>
      <w:r>
        <w:rPr>
          <w:b/>
        </w:rPr>
        <w:t>$41,675</w:t>
      </w:r>
    </w:p>
    <w:p>
      <w:pPr>
        <w:keepNext w:val="0"/>
        <w:spacing w:after="80" w:before="0"/>
      </w:pPr>
      <w:r>
        <w:rPr/>
        <w:t>Traps:</w:t>
      </w:r>
    </w:p>
    <w:p>
      <w:pPr>
        <w:pStyle w:val="ListBullet"/>
        <w:spacing w:after="40"/>
      </w:pPr>
      <w:r>
        <w:rPr/>
        <w:t>Forgetting the trade-in value gives $49,086.</w:t>
      </w:r>
    </w:p>
    <w:p>
      <w:pPr>
        <w:pStyle w:val="ListBullet"/>
        <w:spacing w:after="40"/>
      </w:pPr>
      <w:r>
        <w:rPr/>
        <w:t>Deducting the trade-in without discounting it gives $38,678.</w:t>
      </w:r>
    </w:p>
    <w:p>
      <w:pPr>
        <w:pStyle w:val="ListBullet"/>
        <w:spacing w:after="40"/>
      </w:pPr>
      <w:r>
        <w:rPr/>
        <w:t>Dividing the PV by 3 years instead of by the annuity factor gives $33,368. Dividing by the number of years ignores the time value of money.</w:t>
      </w:r>
    </w:p>
    <w:p>
      <w:pPr>
        <w:pBdr>
          <w:bottom w:val="single" w:sz="8" w:space="1" w:color="000000"/>
        </w:pBdr>
        <w:spacing w:before="0" w:after="160"/>
      </w:pPr>
    </w:p>
    <w:p>
      <w:pPr>
        <w:pStyle w:val="Heading3"/>
        <w:pageBreakBefore w:val="0"/>
      </w:pPr>
      <w:r>
        <w:rPr>
          <w:color w:val="000000"/>
        </w:rPr>
        <w:t>Question 4: D (15.75 times)</w:t>
      </w:r>
    </w:p>
    <w:p>
      <w:pPr>
        <w:keepNext w:val="0"/>
        <w:spacing w:after="80" w:before="0"/>
      </w:pPr>
      <w:r>
        <w:rPr/>
        <w:t>Earnings attributable to ordinary shareholders = (4.20 − 0.60) × 75% − 0.30 = 2.70 − 0.30 = $2.40m</w:t>
      </w:r>
    </w:p>
    <w:p>
      <w:pPr>
        <w:keepNext w:val="0"/>
        <w:spacing w:after="80" w:before="0"/>
      </w:pPr>
      <w:r>
        <w:rPr/>
        <w:t xml:space="preserve">EPS = 2.40 / 12 = 20.0 cents, so P/E = 3.15 / 0.20 = </w:t>
      </w:r>
      <w:r>
        <w:rPr>
          <w:b/>
        </w:rPr>
        <w:t>15.75 times</w:t>
      </w:r>
    </w:p>
    <w:p>
      <w:pPr>
        <w:keepNext w:val="0"/>
        <w:spacing w:after="80" w:before="0"/>
      </w:pPr>
      <w:r>
        <w:rPr/>
        <w:t>Distractors:</w:t>
      </w:r>
    </w:p>
    <w:p>
      <w:pPr>
        <w:pStyle w:val="ListBullet"/>
        <w:spacing w:after="40"/>
      </w:pPr>
      <w:r>
        <w:rPr>
          <w:b/>
        </w:rPr>
        <w:t>C (14.0):</w:t>
      </w:r>
      <w:r>
        <w:rPr/>
        <w:t xml:space="preserve"> forgets to deduct preference dividends (EPS 22.5c).</w:t>
      </w:r>
    </w:p>
    <w:p>
      <w:pPr>
        <w:pStyle w:val="ListBullet"/>
        <w:spacing w:after="40"/>
      </w:pPr>
      <w:r>
        <w:rPr>
          <w:b/>
        </w:rPr>
        <w:t>B (12.0):</w:t>
      </w:r>
      <w:r>
        <w:rPr/>
        <w:t xml:space="preserve"> taxes PBIT without deducting interest (EPS 26.25c).</w:t>
      </w:r>
    </w:p>
    <w:p>
      <w:pPr>
        <w:pStyle w:val="ListBullet"/>
        <w:spacing w:after="40"/>
      </w:pPr>
      <w:r>
        <w:rPr>
          <w:b/>
        </w:rPr>
        <w:t>A (10.5):</w:t>
      </w:r>
      <w:r>
        <w:rPr/>
        <w:t xml:space="preserve"> uses profit before tax (EPS 30c).</w:t>
      </w:r>
    </w:p>
    <w:p>
      <w:pPr>
        <w:pBdr>
          <w:bottom w:val="single" w:sz="8" w:space="1" w:color="000000"/>
        </w:pBdr>
        <w:spacing w:before="0" w:after="160"/>
      </w:pPr>
    </w:p>
    <w:p>
      <w:pPr>
        <w:pStyle w:val="Heading3"/>
        <w:pageBreakBefore w:val="0"/>
      </w:pPr>
      <w:r>
        <w:rPr>
          <w:color w:val="000000"/>
        </w:rPr>
        <w:t>Question 5: 1st and 3rd</w:t>
      </w:r>
    </w:p>
    <w:p>
      <w:pPr>
        <w:keepNext w:val="0"/>
        <w:spacing w:after="80" w:before="0"/>
      </w:pPr>
      <w:r>
        <w:rPr/>
        <w:t>Cash operating cycle = inventory days + receivables days − payables days.</w:t>
      </w:r>
    </w:p>
    <w:p>
      <w:pPr>
        <w:pStyle w:val="ListBullet"/>
        <w:spacing w:after="40"/>
      </w:pPr>
      <w:r>
        <w:rPr>
          <w:b/>
        </w:rPr>
        <w:t>Less time in inventory: correct.</w:t>
      </w:r>
      <w:r>
        <w:rPr/>
        <w:t xml:space="preserve"> It shortens the cycle.</w:t>
      </w:r>
    </w:p>
    <w:p>
      <w:pPr>
        <w:pStyle w:val="ListBullet"/>
        <w:spacing w:after="40"/>
      </w:pPr>
      <w:r>
        <w:rPr>
          <w:b/>
        </w:rPr>
        <w:t>Longer supplier credit: correct.</w:t>
      </w:r>
      <w:r>
        <w:rPr/>
        <w:t xml:space="preserve"> More payables days reduce the cycle.</w:t>
      </w:r>
    </w:p>
    <w:p>
      <w:pPr>
        <w:pStyle w:val="ListBullet"/>
        <w:spacing w:after="40"/>
      </w:pPr>
      <w:r>
        <w:rPr>
          <w:b/>
        </w:rPr>
        <w:t>Paying suppliers in 10 days: wrong.</w:t>
      </w:r>
      <w:r>
        <w:rPr/>
        <w:t xml:space="preserve"> It *reduces* payables days, so the cycle gets longer. The discount may still be worth taking, but that is a separate cost/benefit decision.</w:t>
      </w:r>
    </w:p>
    <w:p>
      <w:pPr>
        <w:pStyle w:val="ListBullet"/>
        <w:spacing w:after="40"/>
      </w:pPr>
      <w:r>
        <w:rPr>
          <w:b/>
        </w:rPr>
        <w:t>Longer customer credit: wrong.</w:t>
      </w:r>
      <w:r>
        <w:rPr/>
        <w:t xml:space="preserve"> It increases receivables days.</w:t>
      </w:r>
    </w:p>
    <w:p>
      <w:pPr>
        <w:pBdr>
          <w:bottom w:val="single" w:sz="8" w:space="1" w:color="000000"/>
        </w:pBdr>
        <w:spacing w:before="0" w:after="160"/>
      </w:pPr>
    </w:p>
    <w:p>
      <w:pPr>
        <w:pStyle w:val="Heading3"/>
        <w:pageBreakBefore w:val="0"/>
      </w:pPr>
      <w:r>
        <w:rPr>
          <w:color w:val="000000"/>
        </w:rPr>
        <w:t>Question 6: 7,800 units</w:t>
      </w:r>
    </w:p>
    <w:p>
      <w:pPr>
        <w:keepNext w:val="0"/>
        <w:spacing w:after="80" w:before="0"/>
      </w:pPr>
      <w:r>
        <w:rPr/>
        <w:t>Reorder level = maximum usage × maximum lead time = 900 × 4 = 3,600 units</w:t>
      </w:r>
    </w:p>
    <w:p>
      <w:pPr>
        <w:keepNext w:val="0"/>
        <w:spacing w:after="80" w:before="0"/>
      </w:pPr>
      <w:r>
        <w:rPr/>
        <w:t xml:space="preserve">Maximum inventory = reorder level + reorder quantity − (minimum usage × minimum lead time) = 3,600 + 5,000 − (400 × 2) = </w:t>
      </w:r>
      <w:r>
        <w:rPr>
          <w:b/>
        </w:rPr>
        <w:t>7,800 units</w:t>
      </w:r>
    </w:p>
    <w:p>
      <w:pPr>
        <w:keepNext w:val="0"/>
        <w:spacing w:after="80" w:before="0"/>
      </w:pPr>
      <w:r>
        <w:rPr/>
        <w:t>Traps:</w:t>
      </w:r>
    </w:p>
    <w:p>
      <w:pPr>
        <w:pStyle w:val="ListBullet"/>
        <w:spacing w:after="40"/>
      </w:pPr>
      <w:r>
        <w:rPr/>
        <w:t>8,600: leaves out the deduction for minimum usage during the minimum lead time.</w:t>
      </w:r>
    </w:p>
    <w:p>
      <w:pPr>
        <w:pStyle w:val="ListBullet"/>
        <w:spacing w:after="40"/>
      </w:pPr>
      <w:r>
        <w:rPr/>
        <w:t>6,800: deducts average usage × average lead time (600 × 3) instead of the minimums.</w:t>
      </w:r>
    </w:p>
    <w:p>
      <w:pPr>
        <w:pBdr>
          <w:bottom w:val="single" w:sz="8" w:space="1" w:color="000000"/>
        </w:pBdr>
        <w:spacing w:before="0" w:after="160"/>
      </w:pPr>
    </w:p>
    <w:p>
      <w:pPr>
        <w:pStyle w:val="Heading3"/>
        <w:pageBreakBefore w:val="0"/>
      </w:pPr>
      <w:r>
        <w:rPr>
          <w:color w:val="000000"/>
        </w:rPr>
        <w:t>Question 7: 1st and 3rd</w:t>
      </w:r>
    </w:p>
    <w:p>
      <w:pPr>
        <w:pStyle w:val="ListBullet"/>
        <w:spacing w:after="40"/>
      </w:pPr>
      <w:r>
        <w:rPr>
          <w:b/>
        </w:rPr>
        <w:t>Credit rating damage: correct.</w:t>
      </w:r>
      <w:r>
        <w:rPr/>
        <w:t xml:space="preserve"> Persistent late payment is reported to credit agencies and damages the company's rating.</w:t>
      </w:r>
    </w:p>
    <w:p>
      <w:pPr>
        <w:pStyle w:val="ListBullet"/>
        <w:spacing w:after="40"/>
      </w:pPr>
      <w:r>
        <w:rPr>
          <w:b/>
        </w:rPr>
        <w:t>Suppliers refusing credit: correct.</w:t>
      </w:r>
      <w:r>
        <w:rPr/>
        <w:t xml:space="preserve"> Suppliers may withdraw credit, insist on cash on delivery, or give the company lower priority.</w:t>
      </w:r>
    </w:p>
    <w:p>
      <w:pPr>
        <w:pStyle w:val="ListBullet"/>
        <w:spacing w:after="40"/>
      </w:pPr>
      <w:r>
        <w:rPr>
          <w:b/>
        </w:rPr>
        <w:t>Longer cash operating cycle: wrong.</w:t>
      </w:r>
      <w:r>
        <w:rPr/>
        <w:t xml:space="preserve"> Paying later *shortens* the cycle. This is the benefit the company is seeking, not a risk.</w:t>
      </w:r>
    </w:p>
    <w:p>
      <w:pPr>
        <w:pStyle w:val="ListBullet"/>
        <w:spacing w:after="40"/>
      </w:pPr>
      <w:r>
        <w:rPr>
          <w:b/>
        </w:rPr>
        <w:t>Longer inventory holding period: wrong.</w:t>
      </w:r>
      <w:r>
        <w:rPr/>
        <w:t xml:space="preserve"> Payment terms do not directly affect inventory days.</w:t>
      </w:r>
    </w:p>
    <w:p>
      <w:pPr>
        <w:pBdr>
          <w:bottom w:val="single" w:sz="8" w:space="1" w:color="000000"/>
        </w:pBdr>
        <w:spacing w:before="0" w:after="160"/>
      </w:pPr>
    </w:p>
    <w:p>
      <w:pPr>
        <w:pStyle w:val="Heading3"/>
        <w:pageBreakBefore w:val="0"/>
      </w:pPr>
      <w:r>
        <w:rPr>
          <w:color w:val="000000"/>
        </w:rPr>
        <w:t>Question 8: $84,853</w:t>
      </w:r>
    </w:p>
    <w:p>
      <w:pPr>
        <w:keepNext w:val="0"/>
        <w:spacing w:after="80" w:before="0"/>
      </w:pPr>
      <w:r>
        <w:rPr/>
        <w:t xml:space="preserve">Q = √(2 × 60 × 2,400,000 / 0.04) = √7,200,000,000 = </w:t>
      </w:r>
      <w:r>
        <w:rPr>
          <w:b/>
        </w:rPr>
        <w:t>$84,853</w:t>
      </w:r>
    </w:p>
    <w:p>
      <w:pPr>
        <w:keepNext w:val="0"/>
        <w:spacing w:after="80" w:before="0"/>
      </w:pPr>
      <w:r>
        <w:rPr/>
        <w:t>At this amount, annual transaction costs (2,400,000 / 84,853 × $60 = $1,697) equal the interest forgone on the average cash balance (84,853 / 2 × 4% = $1,697).</w:t>
      </w:r>
    </w:p>
    <w:p>
      <w:pPr>
        <w:keepNext w:val="0"/>
        <w:spacing w:after="80" w:before="0"/>
      </w:pPr>
      <w:r>
        <w:rPr/>
        <w:t>Traps:</w:t>
      </w:r>
    </w:p>
    <w:p>
      <w:pPr>
        <w:pStyle w:val="ListBullet"/>
        <w:spacing w:after="40"/>
      </w:pPr>
      <w:r>
        <w:rPr/>
        <w:t>Entering the interest rate as 4 instead of 0.04 gives $8,485.</w:t>
      </w:r>
    </w:p>
    <w:p>
      <w:pPr>
        <w:pStyle w:val="ListBullet"/>
        <w:spacing w:after="40"/>
      </w:pPr>
      <w:r>
        <w:rPr/>
        <w:t>Omitting the 2 in the formula gives $60,000.</w:t>
      </w:r>
    </w:p>
    <w:p>
      <w:pPr>
        <w:pBdr>
          <w:bottom w:val="single" w:sz="8" w:space="1" w:color="000000"/>
        </w:pBdr>
        <w:spacing w:before="0" w:after="160"/>
      </w:pPr>
    </w:p>
    <w:p>
      <w:pPr>
        <w:pStyle w:val="Heading3"/>
        <w:pageBreakBefore w:val="0"/>
      </w:pPr>
      <w:r>
        <w:rPr>
          <w:color w:val="000000"/>
        </w:rPr>
        <w:t>Question 9: C</w:t>
      </w:r>
    </w:p>
    <w:p>
      <w:pPr>
        <w:keepNext w:val="0"/>
        <w:spacing w:after="80" w:before="0"/>
      </w:pPr>
      <w:r>
        <w:rPr/>
        <w:t>Simplicity is an *advantage* of payback, so it is the only option that is not a disadvantage.</w:t>
      </w:r>
    </w:p>
    <w:p>
      <w:pPr>
        <w:pStyle w:val="ListBullet"/>
        <w:spacing w:after="40"/>
      </w:pPr>
      <w:r>
        <w:rPr>
          <w:b/>
        </w:rPr>
        <w:t>A, B and D</w:t>
      </w:r>
      <w:r>
        <w:rPr/>
        <w:t xml:space="preserve"> are all standard criticisms of payback.</w:t>
      </w:r>
    </w:p>
    <w:p>
      <w:pPr>
        <w:pBdr>
          <w:bottom w:val="single" w:sz="8" w:space="1" w:color="000000"/>
        </w:pBdr>
        <w:spacing w:before="0" w:after="160"/>
      </w:pPr>
    </w:p>
    <w:p>
      <w:pPr>
        <w:pStyle w:val="Heading3"/>
        <w:pageBreakBefore w:val="0"/>
      </w:pPr>
      <w:r>
        <w:rPr>
          <w:color w:val="000000"/>
        </w:rPr>
        <w:t>Question 10: B ($386,000)</w:t>
      </w:r>
    </w:p>
    <w:p>
      <w:pPr>
        <w:keepNext w:val="0"/>
        <w:spacing w:after="80" w:before="0"/>
      </w:pPr>
      <w:r>
        <w:rPr/>
        <w:t>The perpetuity formula values a stream starting one year later, so a stream starting in Year 4 is valued at Year 3: 45,000 / 0.09 = $500,000</w:t>
      </w:r>
    </w:p>
    <w:p>
      <w:pPr>
        <w:keepNext w:val="0"/>
        <w:spacing w:after="80" w:before="0"/>
      </w:pPr>
      <w:r>
        <w:rPr/>
        <w:t xml:space="preserve">Discount back three years: PV = 500,000 × 0.772 = </w:t>
      </w:r>
      <w:r>
        <w:rPr>
          <w:b/>
        </w:rPr>
        <w:t>$386,000</w:t>
      </w:r>
    </w:p>
    <w:p>
      <w:pPr>
        <w:keepNext w:val="0"/>
        <w:spacing w:after="80" w:before="0"/>
      </w:pPr>
      <w:r>
        <w:rPr/>
        <w:t>An alternative method gives the same answer to rounding: 500,000 − (45,000 × annuity factor for Years 1 to 3 of 2.531) = $386,105.</w:t>
      </w:r>
    </w:p>
    <w:p>
      <w:pPr>
        <w:keepNext w:val="0"/>
        <w:spacing w:after="80" w:before="0"/>
      </w:pPr>
      <w:r>
        <w:rPr/>
        <w:t>Distractors:</w:t>
      </w:r>
    </w:p>
    <w:p>
      <w:pPr>
        <w:pStyle w:val="ListBullet"/>
        <w:spacing w:after="40"/>
      </w:pPr>
      <w:r>
        <w:rPr>
          <w:b/>
        </w:rPr>
        <w:t>A ($354,000):</w:t>
      </w:r>
      <w:r>
        <w:rPr/>
        <w:t xml:space="preserve"> discounts with the Year 4 factor (0.708). This is the classic off-by-one trap.</w:t>
      </w:r>
    </w:p>
    <w:p>
      <w:pPr>
        <w:pStyle w:val="ListBullet"/>
        <w:spacing w:after="40"/>
      </w:pPr>
      <w:r>
        <w:rPr>
          <w:b/>
        </w:rPr>
        <w:t>C ($421,000):</w:t>
      </w:r>
      <w:r>
        <w:rPr/>
        <w:t xml:space="preserve"> discounts with the Year 2 factor.</w:t>
      </w:r>
    </w:p>
    <w:p>
      <w:pPr>
        <w:pStyle w:val="ListBullet"/>
        <w:spacing w:after="40"/>
      </w:pPr>
      <w:r>
        <w:rPr>
          <w:b/>
        </w:rPr>
        <w:t>D ($500,000):</w:t>
      </w:r>
      <w:r>
        <w:rPr/>
        <w:t xml:space="preserve"> no discounting at all.</w:t>
      </w:r>
    </w:p>
    <w:p>
      <w:pPr>
        <w:pBdr>
          <w:bottom w:val="single" w:sz="8" w:space="1" w:color="000000"/>
        </w:pBdr>
        <w:spacing w:before="0" w:after="160"/>
      </w:pPr>
    </w:p>
    <w:p>
      <w:pPr>
        <w:pStyle w:val="Heading3"/>
        <w:pageBreakBefore w:val="0"/>
      </w:pPr>
      <w:r>
        <w:rPr>
          <w:color w:val="000000"/>
        </w:rPr>
        <w:t>Question 11: $13,188</w:t>
      </w:r>
    </w:p>
    <w:p>
      <w:pPr>
        <w:keepNext w:val="0"/>
        <w:spacing w:after="80" w:before="0"/>
      </w:pPr>
      <w:r>
        <w:rPr/>
        <w:t xml:space="preserve">NPV = −250,000 + 68,000 × 3.696 + 20,000 × 0.593 = −250,000 + 251,328 + 11,860 = </w:t>
      </w:r>
      <w:r>
        <w:rPr>
          <w:b/>
        </w:rPr>
        <w:t>$13,188</w:t>
      </w:r>
    </w:p>
    <w:p>
      <w:pPr>
        <w:keepNext w:val="0"/>
        <w:spacing w:after="80" w:before="0"/>
      </w:pPr>
      <w:r>
        <w:rPr/>
        <w:t>Trap: leaving out the scrap value gives $1,328.</w:t>
      </w:r>
    </w:p>
    <w:p>
      <w:pPr>
        <w:pBdr>
          <w:bottom w:val="single" w:sz="8" w:space="1" w:color="000000"/>
        </w:pBdr>
        <w:spacing w:before="0" w:after="160"/>
      </w:pPr>
    </w:p>
    <w:p>
      <w:pPr>
        <w:pStyle w:val="Heading3"/>
        <w:pageBreakBefore w:val="0"/>
      </w:pPr>
      <w:r>
        <w:rPr>
          <w:color w:val="000000"/>
        </w:rPr>
        <w:t>Question 12: A ($5,069)</w:t>
      </w:r>
    </w:p>
    <w:p>
      <w:pPr>
        <w:keepNext w:val="0"/>
        <w:spacing w:after="80" w:before="0"/>
      </w:pPr>
      <w:r>
        <w:rPr/>
        <w:t>Year 2 TAD = 120,000 × 75% × 25% = $22,500</w:t>
      </w:r>
    </w:p>
    <w:p>
      <w:pPr>
        <w:keepNext w:val="0"/>
        <w:spacing w:after="80" w:before="0"/>
      </w:pPr>
      <w:r>
        <w:rPr/>
        <w:t xml:space="preserve">Tax saving = 22,500 × 30% = $6,750, received in </w:t>
      </w:r>
      <w:r>
        <w:rPr>
          <w:b/>
        </w:rPr>
        <w:t>Year 3</w:t>
      </w:r>
      <w:r>
        <w:rPr/>
        <w:t xml:space="preserve"> because tax is paid one year in arrears.</w:t>
      </w:r>
    </w:p>
    <w:p>
      <w:pPr>
        <w:keepNext w:val="0"/>
        <w:spacing w:after="80" w:before="0"/>
      </w:pPr>
      <w:r>
        <w:rPr/>
        <w:t xml:space="preserve">PV = 6,750 × 0.751 = </w:t>
      </w:r>
      <w:r>
        <w:rPr>
          <w:b/>
        </w:rPr>
        <w:t>$5,069</w:t>
      </w:r>
    </w:p>
    <w:p>
      <w:pPr>
        <w:keepNext w:val="0"/>
        <w:spacing w:after="80" w:before="0"/>
      </w:pPr>
      <w:r>
        <w:rPr/>
        <w:t>Distractors:</w:t>
      </w:r>
    </w:p>
    <w:p>
      <w:pPr>
        <w:pStyle w:val="ListBullet"/>
        <w:spacing w:after="40"/>
      </w:pPr>
      <w:r>
        <w:rPr>
          <w:b/>
        </w:rPr>
        <w:t>B ($5,576):</w:t>
      </w:r>
      <w:r>
        <w:rPr/>
        <w:t xml:space="preserve"> discounts with the Year 2 factor, ignoring the arrears timing.</w:t>
      </w:r>
    </w:p>
    <w:p>
      <w:pPr>
        <w:pStyle w:val="ListBullet"/>
        <w:spacing w:after="40"/>
      </w:pPr>
      <w:r>
        <w:rPr>
          <w:b/>
        </w:rPr>
        <w:t>C ($6,750):</w:t>
      </w:r>
      <w:r>
        <w:rPr/>
        <w:t xml:space="preserve"> not discounted.</w:t>
      </w:r>
    </w:p>
    <w:p>
      <w:pPr>
        <w:pStyle w:val="ListBullet"/>
        <w:spacing w:after="40"/>
      </w:pPr>
      <w:r>
        <w:rPr>
          <w:b/>
        </w:rPr>
        <w:t>D ($6,759):</w:t>
      </w:r>
      <w:r>
        <w:rPr/>
        <w:t xml:space="preserve"> uses the Year 1 allowance (30,000 × 30% × 0.751).</w:t>
      </w:r>
    </w:p>
    <w:p>
      <w:pPr>
        <w:pBdr>
          <w:bottom w:val="single" w:sz="8" w:space="1" w:color="000000"/>
        </w:pBdr>
        <w:spacing w:before="0" w:after="160"/>
      </w:pPr>
    </w:p>
    <w:p>
      <w:pPr>
        <w:pStyle w:val="Heading3"/>
        <w:pageBreakBefore w:val="0"/>
      </w:pPr>
      <w:r>
        <w:rPr>
          <w:color w:val="000000"/>
        </w:rPr>
        <w:t>Question 13: True, False, True</w:t>
      </w:r>
    </w:p>
    <w:p>
      <w:pPr>
        <w:pStyle w:val="ListBullet"/>
        <w:spacing w:after="40"/>
      </w:pPr>
      <w:r>
        <w:rPr>
          <w:b/>
        </w:rPr>
        <w:t>True.</w:t>
      </w:r>
      <w:r>
        <w:rPr/>
        <w:t xml:space="preserve"> The real and money methods give the same NPV when every cash flow inflates at the general rate.</w:t>
      </w:r>
    </w:p>
    <w:p>
      <w:pPr>
        <w:pStyle w:val="ListBullet"/>
        <w:spacing w:after="40"/>
      </w:pPr>
      <w:r>
        <w:rPr>
          <w:b/>
        </w:rPr>
        <w:t>False.</w:t>
      </w:r>
      <w:r>
        <w:rPr/>
        <w:t xml:space="preserve"> Tax-allowable depreciation is based on the historic cost of the asset and is </w:t>
      </w:r>
      <w:r>
        <w:rPr>
          <w:b/>
        </w:rPr>
        <w:t>not</w:t>
      </w:r>
      <w:r>
        <w:rPr/>
        <w:t xml:space="preserve"> inflated. This is a common error in Section C.</w:t>
      </w:r>
    </w:p>
    <w:p>
      <w:pPr>
        <w:pStyle w:val="ListBullet"/>
        <w:spacing w:after="40"/>
      </w:pPr>
      <w:r>
        <w:rPr>
          <w:b/>
        </w:rPr>
        <w:t>True.</w:t>
      </w:r>
      <w:r>
        <w:rPr/>
        <w:t xml:space="preserve"> Working capital is held in money terms, so rising prices increase the amount needed even if volumes are unchanged. The increase is an extra cash outflow each year.</w:t>
      </w:r>
    </w:p>
    <w:p>
      <w:pPr>
        <w:pBdr>
          <w:bottom w:val="single" w:sz="8" w:space="1" w:color="000000"/>
        </w:pBdr>
        <w:spacing w:before="0" w:after="160"/>
      </w:pPr>
    </w:p>
    <w:p>
      <w:pPr>
        <w:pStyle w:val="Heading3"/>
        <w:pageBreakBefore w:val="0"/>
      </w:pPr>
      <w:r>
        <w:rPr>
          <w:color w:val="000000"/>
        </w:rPr>
        <w:t>Question 14: $38,500</w:t>
      </w:r>
    </w:p>
    <w:p>
      <w:pPr>
        <w:keepNext w:val="0"/>
        <w:spacing w:after="80" w:before="0"/>
      </w:pPr>
      <w:r>
        <w:rPr/>
        <w:t xml:space="preserve">ENPV = (0.40 × 120,000) + (0.35 × 30,000) + (0.25 × −80,000) = 48,000 + 10,500 − 20,000 = </w:t>
      </w:r>
      <w:r>
        <w:rPr>
          <w:b/>
        </w:rPr>
        <w:t>$38,500</w:t>
      </w:r>
    </w:p>
    <w:p>
      <w:pPr>
        <w:keepNext w:val="0"/>
        <w:spacing w:after="80" w:before="0"/>
      </w:pPr>
      <w:r>
        <w:rPr/>
        <w:t>Note: the ENPV is not a possible outcome. There is also a 25% chance of a negative NPV, which the ENPV hides.</w:t>
      </w:r>
    </w:p>
    <w:p>
      <w:pPr>
        <w:pBdr>
          <w:bottom w:val="single" w:sz="8" w:space="1" w:color="000000"/>
        </w:pBdr>
        <w:spacing w:before="0" w:after="160"/>
      </w:pPr>
    </w:p>
    <w:p>
      <w:pPr>
        <w:pStyle w:val="Heading3"/>
        <w:pageBreakBefore w:val="0"/>
      </w:pPr>
      <w:r>
        <w:rPr>
          <w:color w:val="000000"/>
        </w:rPr>
        <w:t>Question 15: C ($153,000)</w:t>
      </w:r>
    </w:p>
    <w:p>
      <w:pPr>
        <w:keepNext w:val="0"/>
        <w:spacing w:after="80" w:before="0"/>
      </w:pPr>
      <w:r>
        <w:rPr/>
        <w:t>Indivisible projects mean the feasible combinations within $500,000 must be compared:</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tcPr>
          <w:p>
            <w:pPr>
              <w:spacing w:after="0"/>
            </w:pPr>
            <w:r>
              <w:rPr>
                <w:b/>
              </w:rPr>
            </w:r>
            <w:r>
              <w:rPr>
                <w:b/>
                <w:sz w:val="18"/>
              </w:rPr>
              <w:t>Combination</w:t>
            </w:r>
          </w:p>
        </w:tc>
        <w:tc>
          <w:tcPr>
            <w:tcW w:type="dxa" w:w="2541"/>
          </w:tcPr>
          <w:p>
            <w:pPr>
              <w:spacing w:after="0"/>
              <w:jc w:val="center"/>
            </w:pPr>
            <w:r>
              <w:rPr>
                <w:b/>
              </w:rPr>
            </w:r>
            <w:r>
              <w:rPr>
                <w:b/>
                <w:sz w:val="18"/>
              </w:rPr>
              <w:t>Cost ($'000)</w:t>
            </w:r>
          </w:p>
        </w:tc>
        <w:tc>
          <w:tcPr>
            <w:tcW w:type="dxa" w:w="2541"/>
          </w:tcPr>
          <w:p>
            <w:pPr>
              <w:spacing w:after="0"/>
              <w:jc w:val="center"/>
            </w:pPr>
            <w:r>
              <w:rPr>
                <w:b/>
              </w:rPr>
            </w:r>
            <w:r>
              <w:rPr>
                <w:b/>
                <w:sz w:val="18"/>
              </w:rPr>
              <w:t>NPV ($'000)</w:t>
            </w:r>
          </w:p>
        </w:tc>
      </w:tr>
      <w:tr>
        <w:trPr>
          <w:cantSplit/>
        </w:trPr>
        <w:tc>
          <w:tcPr>
            <w:tcW w:type="dxa" w:w="4329"/>
          </w:tcPr>
          <w:p>
            <w:pPr>
              <w:spacing w:after="0"/>
            </w:pPr>
            <w:r/>
            <w:r>
              <w:rPr>
                <w:sz w:val="18"/>
              </w:rPr>
              <w:t>A + B</w:t>
            </w:r>
          </w:p>
        </w:tc>
        <w:tc>
          <w:tcPr>
            <w:tcW w:type="dxa" w:w="2541"/>
          </w:tcPr>
          <w:p>
            <w:pPr>
              <w:spacing w:after="0"/>
              <w:jc w:val="center"/>
            </w:pPr>
            <w:r/>
            <w:r>
              <w:rPr>
                <w:sz w:val="18"/>
              </w:rPr>
              <w:t>450</w:t>
            </w:r>
          </w:p>
        </w:tc>
        <w:tc>
          <w:tcPr>
            <w:tcW w:type="dxa" w:w="2541"/>
          </w:tcPr>
          <w:p>
            <w:pPr>
              <w:spacing w:after="0"/>
              <w:jc w:val="center"/>
            </w:pPr>
            <w:r/>
            <w:r>
              <w:rPr>
                <w:sz w:val="18"/>
              </w:rPr>
              <w:t>150</w:t>
            </w:r>
          </w:p>
        </w:tc>
      </w:tr>
      <w:tr>
        <w:trPr>
          <w:cantSplit/>
        </w:trPr>
        <w:tc>
          <w:tcPr>
            <w:tcW w:type="dxa" w:w="4329"/>
          </w:tcPr>
          <w:p>
            <w:pPr>
              <w:spacing w:after="0"/>
            </w:pPr>
            <w:r/>
            <w:r>
              <w:rPr>
                <w:sz w:val="18"/>
              </w:rPr>
              <w:t>A + C</w:t>
            </w:r>
          </w:p>
        </w:tc>
        <w:tc>
          <w:tcPr>
            <w:tcW w:type="dxa" w:w="2541"/>
          </w:tcPr>
          <w:p>
            <w:pPr>
              <w:spacing w:after="0"/>
              <w:jc w:val="center"/>
            </w:pPr>
            <w:r/>
            <w:r>
              <w:rPr>
                <w:sz w:val="18"/>
              </w:rPr>
              <w:t>350</w:t>
            </w:r>
          </w:p>
        </w:tc>
        <w:tc>
          <w:tcPr>
            <w:tcW w:type="dxa" w:w="2541"/>
          </w:tcPr>
          <w:p>
            <w:pPr>
              <w:spacing w:after="0"/>
              <w:jc w:val="center"/>
            </w:pPr>
            <w:r/>
            <w:r>
              <w:rPr>
                <w:sz w:val="18"/>
              </w:rPr>
              <w:t>118</w:t>
            </w:r>
          </w:p>
        </w:tc>
      </w:tr>
      <w:tr>
        <w:trPr>
          <w:cantSplit/>
        </w:trPr>
        <w:tc>
          <w:tcPr>
            <w:tcW w:type="dxa" w:w="4329"/>
          </w:tcPr>
          <w:p>
            <w:pPr>
              <w:spacing w:after="0"/>
            </w:pPr>
            <w:r/>
            <w:r>
              <w:rPr>
                <w:sz w:val="18"/>
              </w:rPr>
              <w:t>B + C</w:t>
            </w:r>
          </w:p>
        </w:tc>
        <w:tc>
          <w:tcPr>
            <w:tcW w:type="dxa" w:w="2541"/>
          </w:tcPr>
          <w:p>
            <w:pPr>
              <w:spacing w:after="0"/>
              <w:jc w:val="center"/>
            </w:pPr>
            <w:r/>
            <w:r>
              <w:rPr>
                <w:sz w:val="18"/>
              </w:rPr>
              <w:t>400</w:t>
            </w:r>
          </w:p>
        </w:tc>
        <w:tc>
          <w:tcPr>
            <w:tcW w:type="dxa" w:w="2541"/>
          </w:tcPr>
          <w:p>
            <w:pPr>
              <w:spacing w:after="0"/>
              <w:jc w:val="center"/>
            </w:pPr>
            <w:r/>
            <w:r>
              <w:rPr>
                <w:sz w:val="18"/>
              </w:rPr>
              <w:t>128</w:t>
            </w:r>
          </w:p>
        </w:tc>
      </w:tr>
      <w:tr>
        <w:trPr>
          <w:cantSplit/>
        </w:trPr>
        <w:tc>
          <w:tcPr>
            <w:tcW w:type="dxa" w:w="4329"/>
          </w:tcPr>
          <w:p>
            <w:pPr>
              <w:spacing w:after="0"/>
            </w:pPr>
            <w:r/>
            <w:r>
              <w:rPr>
                <w:sz w:val="18"/>
              </w:rPr>
              <w:t>C + D</w:t>
            </w:r>
          </w:p>
        </w:tc>
        <w:tc>
          <w:tcPr>
            <w:tcW w:type="dxa" w:w="2541"/>
          </w:tcPr>
          <w:p>
            <w:pPr>
              <w:spacing w:after="0"/>
              <w:jc w:val="center"/>
            </w:pPr>
            <w:r/>
            <w:r>
              <w:rPr>
                <w:sz w:val="18"/>
              </w:rPr>
              <w:t>450</w:t>
            </w:r>
          </w:p>
        </w:tc>
        <w:tc>
          <w:tcPr>
            <w:tcW w:type="dxa" w:w="2541"/>
          </w:tcPr>
          <w:p>
            <w:pPr>
              <w:spacing w:after="0"/>
              <w:jc w:val="center"/>
            </w:pPr>
            <w:r/>
            <w:r>
              <w:rPr>
                <w:b/>
                <w:sz w:val="18"/>
              </w:rPr>
              <w:t>153</w:t>
            </w:r>
          </w:p>
        </w:tc>
      </w:tr>
      <w:tr>
        <w:trPr>
          <w:cantSplit/>
        </w:trPr>
        <w:tc>
          <w:tcPr>
            <w:tcW w:type="dxa" w:w="4329"/>
          </w:tcPr>
          <w:p>
            <w:pPr>
              <w:spacing w:after="0"/>
            </w:pPr>
            <w:r/>
            <w:r>
              <w:rPr>
                <w:sz w:val="18"/>
              </w:rPr>
              <w:t>A + D</w:t>
            </w:r>
          </w:p>
        </w:tc>
        <w:tc>
          <w:tcPr>
            <w:tcW w:type="dxa" w:w="2541"/>
          </w:tcPr>
          <w:p>
            <w:pPr>
              <w:spacing w:after="0"/>
              <w:jc w:val="center"/>
            </w:pPr>
            <w:r/>
            <w:r>
              <w:rPr>
                <w:sz w:val="18"/>
              </w:rPr>
              <w:t>500</w:t>
            </w:r>
          </w:p>
        </w:tc>
        <w:tc>
          <w:tcPr>
            <w:tcW w:type="dxa" w:w="2541"/>
          </w:tcPr>
          <w:p>
            <w:pPr>
              <w:spacing w:after="0"/>
              <w:jc w:val="center"/>
            </w:pPr>
            <w:r/>
            <w:r>
              <w:rPr>
                <w:sz w:val="18"/>
              </w:rPr>
              <w:t>175 (not allowed: mutually exclusive)</w:t>
            </w:r>
          </w:p>
        </w:tc>
      </w:tr>
    </w:tbl>
    <w:p>
      <w:pPr>
        <w:spacing w:after="160"/>
      </w:pPr>
    </w:p>
    <w:p>
      <w:pPr>
        <w:keepNext w:val="0"/>
        <w:spacing w:after="80" w:before="0"/>
      </w:pPr>
      <w:r>
        <w:rPr/>
        <w:t>Distractors:</w:t>
      </w:r>
    </w:p>
    <w:p>
      <w:pPr>
        <w:pStyle w:val="ListBullet"/>
        <w:spacing w:after="40"/>
      </w:pPr>
      <w:r>
        <w:rPr>
          <w:b/>
        </w:rPr>
        <w:t>D ($175,000):</w:t>
      </w:r>
      <w:r>
        <w:rPr/>
        <w:t xml:space="preserve"> ignores the mutual exclusivity. Ranking by profitability index (D and A both 0.35) gives the same wrong combination, and PI ranking is only valid for divisible projects anyway.</w:t>
      </w:r>
    </w:p>
    <w:p>
      <w:pPr>
        <w:pBdr>
          <w:bottom w:val="single" w:sz="8" w:space="1" w:color="000000"/>
        </w:pBdr>
        <w:spacing w:before="0" w:after="160"/>
      </w:pPr>
    </w:p>
    <w:p>
      <w:pPr>
        <w:pStyle w:val="Heading2"/>
        <w:pageBreakBefore/>
      </w:pPr>
      <w:r>
        <w:rPr>
          <w:color w:val="000000"/>
        </w:rPr>
        <w:t>Section B</w:t>
      </w:r>
    </w:p>
    <w:p>
      <w:pPr>
        <w:pStyle w:val="Heading3"/>
        <w:pageBreakBefore w:val="0"/>
      </w:pPr>
      <w:r>
        <w:rPr>
          <w:color w:val="000000"/>
        </w:rPr>
        <w:t>Question 16: C ($124,800)</w:t>
      </w:r>
    </w:p>
    <w:p>
      <w:pPr>
        <w:keepNext w:val="0"/>
        <w:spacing w:after="80" w:before="0"/>
      </w:pPr>
      <w:r>
        <w:rPr/>
        <w:t>Current receivables = 21.9m × 40/365 = $2.40m</w:t>
      </w:r>
    </w:p>
    <w:p>
      <w:pPr>
        <w:keepNext w:val="0"/>
        <w:spacing w:after="80" w:before="0"/>
      </w:pPr>
      <w:r>
        <w:rPr/>
        <w:t>New sales = 21.9m × 1.10 = $24.09m, so new receivables = 24.09m × 60/365 = $3.96m</w:t>
      </w:r>
    </w:p>
    <w:p>
      <w:pPr>
        <w:keepNext w:val="0"/>
        <w:spacing w:after="80" w:before="0"/>
      </w:pPr>
      <w:r>
        <w:rPr/>
        <w:t xml:space="preserve">Increase in receivables = $1.56m × 8% = </w:t>
      </w:r>
      <w:r>
        <w:rPr>
          <w:b/>
        </w:rPr>
        <w:t>$124,800</w:t>
      </w:r>
    </w:p>
    <w:p>
      <w:pPr>
        <w:keepNext w:val="0"/>
        <w:spacing w:after="80" w:before="0"/>
      </w:pPr>
      <w:r>
        <w:rPr/>
        <w:t>Distractors:</w:t>
      </w:r>
    </w:p>
    <w:p>
      <w:pPr>
        <w:pStyle w:val="ListBullet"/>
        <w:spacing w:after="40"/>
      </w:pPr>
      <w:r>
        <w:rPr>
          <w:b/>
        </w:rPr>
        <w:t>B ($96,000):</w:t>
      </w:r>
      <w:r>
        <w:rPr/>
        <w:t xml:space="preserve"> applies 60 days to the *old* sales figure.</w:t>
      </w:r>
    </w:p>
    <w:p>
      <w:pPr>
        <w:pStyle w:val="ListBullet"/>
        <w:spacing w:after="40"/>
      </w:pPr>
      <w:r>
        <w:rPr>
          <w:b/>
        </w:rPr>
        <w:t>D ($316,800):</w:t>
      </w:r>
      <w:r>
        <w:rPr/>
        <w:t xml:space="preserve"> finances the whole new balance instead of the increase.</w:t>
      </w:r>
    </w:p>
    <w:p>
      <w:pPr>
        <w:pStyle w:val="ListBullet"/>
        <w:spacing w:after="40"/>
      </w:pPr>
      <w:r>
        <w:rPr>
          <w:b/>
        </w:rPr>
        <w:t>A ($19,200):</w:t>
      </w:r>
      <w:r>
        <w:rPr/>
        <w:t xml:space="preserve"> grows sales but keeps 40 days.</w:t>
      </w:r>
    </w:p>
    <w:p>
      <w:pPr>
        <w:pBdr>
          <w:bottom w:val="single" w:sz="8" w:space="1" w:color="000000"/>
        </w:pBdr>
        <w:spacing w:before="0" w:after="160"/>
      </w:pPr>
    </w:p>
    <w:p>
      <w:pPr>
        <w:pStyle w:val="Heading3"/>
        <w:pageBreakBefore w:val="0"/>
      </w:pPr>
      <w:r>
        <w:rPr>
          <w:color w:val="000000"/>
        </w:rPr>
        <w:t>Question 17: A (Increase of $280,350)</w:t>
      </w:r>
    </w:p>
    <w:p>
      <w:pPr>
        <w:keepNext w:val="0"/>
        <w:spacing w:after="80" w:before="0"/>
      </w:pPr>
      <w:r>
        <w:rPr/>
        <w:t>Extra contribution = 2.19m × 25% = $547,500</w:t>
      </w:r>
    </w:p>
    <w:p>
      <w:pPr>
        <w:keepNext w:val="0"/>
        <w:spacing w:after="80" w:before="0"/>
      </w:pPr>
      <w:r>
        <w:rPr/>
        <w:t>Extra bad debts = (1.5% × 24.09m) − (1% × 21.9m) = 361,350 − 219,000 = $(142,350)</w:t>
      </w:r>
    </w:p>
    <w:p>
      <w:pPr>
        <w:keepNext w:val="0"/>
        <w:spacing w:after="80" w:before="0"/>
      </w:pPr>
      <w:r>
        <w:rPr/>
        <w:t>Extra financing cost (Q16) = $(124,800)</w:t>
      </w:r>
    </w:p>
    <w:p>
      <w:pPr>
        <w:keepNext w:val="0"/>
        <w:spacing w:after="80" w:before="0"/>
      </w:pPr>
      <w:r>
        <w:rPr/>
        <w:t xml:space="preserve">Net benefit = </w:t>
      </w:r>
      <w:r>
        <w:rPr>
          <w:b/>
        </w:rPr>
        <w:t>$280,350</w:t>
      </w:r>
    </w:p>
    <w:p>
      <w:pPr>
        <w:keepNext w:val="0"/>
        <w:spacing w:after="80" w:before="0"/>
      </w:pPr>
      <w:r>
        <w:rPr/>
        <w:t>Distractors:</w:t>
      </w:r>
    </w:p>
    <w:p>
      <w:pPr>
        <w:pStyle w:val="ListBullet"/>
        <w:spacing w:after="40"/>
      </w:pPr>
      <w:r>
        <w:rPr>
          <w:b/>
        </w:rPr>
        <w:t>B:</w:t>
      </w:r>
      <w:r>
        <w:rPr/>
        <w:t xml:space="preserve"> charges 1.5% bad debts only on the *new* sales. The higher rate applies to all sales.</w:t>
      </w:r>
    </w:p>
    <w:p>
      <w:pPr>
        <w:pStyle w:val="ListBullet"/>
        <w:spacing w:after="40"/>
      </w:pPr>
      <w:r>
        <w:rPr>
          <w:b/>
        </w:rPr>
        <w:t>C:</w:t>
      </w:r>
      <w:r>
        <w:rPr/>
        <w:t xml:space="preserve"> ignores the financing cost.</w:t>
      </w:r>
    </w:p>
    <w:p>
      <w:pPr>
        <w:pStyle w:val="ListBullet"/>
        <w:spacing w:after="40"/>
      </w:pPr>
      <w:r>
        <w:rPr>
          <w:b/>
        </w:rPr>
        <w:t>D:</w:t>
      </w:r>
      <w:r>
        <w:rPr/>
        <w:t xml:space="preserve"> ignores the bad debts.</w:t>
      </w:r>
    </w:p>
    <w:p>
      <w:pPr>
        <w:pBdr>
          <w:bottom w:val="single" w:sz="8" w:space="1" w:color="000000"/>
        </w:pBdr>
        <w:spacing w:before="0" w:after="160"/>
      </w:pPr>
    </w:p>
    <w:p>
      <w:pPr>
        <w:pStyle w:val="Heading3"/>
        <w:pageBreakBefore w:val="0"/>
      </w:pPr>
      <w:r>
        <w:rPr>
          <w:color w:val="000000"/>
        </w:rPr>
        <w:t>Question 18: 0.90</w:t>
      </w:r>
    </w:p>
    <w:p>
      <w:pPr>
        <w:keepNext w:val="0"/>
        <w:spacing w:after="80" w:before="0"/>
      </w:pPr>
      <w:r>
        <w:rPr/>
        <w:t xml:space="preserve">Quick ratio = (receivables + cash) / current liabilities = (2.4 + 0.3) / (1.9 + 1.1) = 2.7 / 3.0 = </w:t>
      </w:r>
      <w:r>
        <w:rPr>
          <w:b/>
        </w:rPr>
        <w:t>0.90</w:t>
      </w:r>
    </w:p>
    <w:p>
      <w:pPr>
        <w:keepNext w:val="0"/>
        <w:spacing w:after="80" w:before="0"/>
      </w:pPr>
      <w:r>
        <w:rPr/>
        <w:t>Traps:</w:t>
      </w:r>
    </w:p>
    <w:p>
      <w:pPr>
        <w:pStyle w:val="ListBullet"/>
        <w:spacing w:after="40"/>
      </w:pPr>
      <w:r>
        <w:rPr/>
        <w:t>Including inventory gives the *current* ratio, 1.50.</w:t>
      </w:r>
    </w:p>
    <w:p>
      <w:pPr>
        <w:pStyle w:val="ListBullet"/>
        <w:spacing w:after="40"/>
      </w:pPr>
      <w:r>
        <w:rPr/>
        <w:t>Leaving the overdraft out of current liabilities gives 1.42.</w:t>
      </w:r>
    </w:p>
    <w:p>
      <w:pPr>
        <w:pBdr>
          <w:bottom w:val="single" w:sz="8" w:space="1" w:color="000000"/>
        </w:pBdr>
        <w:spacing w:before="0" w:after="160"/>
      </w:pPr>
    </w:p>
    <w:p>
      <w:pPr>
        <w:pStyle w:val="Heading3"/>
        <w:pageBreakBefore w:val="0"/>
      </w:pPr>
      <w:r>
        <w:rPr>
          <w:color w:val="000000"/>
        </w:rPr>
        <w:t>Question 19: True, True, False</w:t>
      </w:r>
    </w:p>
    <w:p>
      <w:pPr>
        <w:pStyle w:val="ListBullet"/>
        <w:spacing w:after="40"/>
      </w:pPr>
      <w:r>
        <w:rPr>
          <w:b/>
        </w:rPr>
        <w:t>True.</w:t>
      </w:r>
      <w:r>
        <w:rPr/>
        <w:t xml:space="preserve"> A conservative policy holds high levels of inventory and cash and offers generous credit.</w:t>
      </w:r>
    </w:p>
    <w:p>
      <w:pPr>
        <w:pStyle w:val="ListBullet"/>
        <w:spacing w:after="40"/>
      </w:pPr>
      <w:r>
        <w:rPr>
          <w:b/>
        </w:rPr>
        <w:t>True.</w:t>
      </w:r>
      <w:r>
        <w:rPr/>
        <w:t xml:space="preserve"> An aggressive policy keeps the investment lower, which raises ROCE but increases liquidity risk.</w:t>
      </w:r>
    </w:p>
    <w:p>
      <w:pPr>
        <w:pStyle w:val="ListBullet"/>
        <w:spacing w:after="40"/>
      </w:pPr>
      <w:r>
        <w:rPr>
          <w:b/>
        </w:rPr>
        <w:t>False.</w:t>
      </w:r>
      <w:r>
        <w:rPr/>
        <w:t xml:space="preserve"> Industry norms are a key influence. A supermarket and a construction company need very different levels of working capital.</w:t>
      </w:r>
    </w:p>
    <w:p>
      <w:pPr>
        <w:pBdr>
          <w:bottom w:val="single" w:sz="8" w:space="1" w:color="000000"/>
        </w:pBdr>
        <w:spacing w:before="0" w:after="160"/>
      </w:pPr>
    </w:p>
    <w:p>
      <w:pPr>
        <w:pStyle w:val="Heading3"/>
        <w:pageBreakBefore w:val="0"/>
      </w:pPr>
      <w:r>
        <w:rPr>
          <w:color w:val="000000"/>
        </w:rPr>
        <w:t>Question 20: B</w:t>
      </w:r>
    </w:p>
    <w:p>
      <w:pPr>
        <w:keepNext w:val="0"/>
        <w:spacing w:after="80" w:before="0"/>
      </w:pPr>
      <w:r>
        <w:rPr/>
        <w:t>An aged analysis groups balances by how long they have been outstanding, so overdue accounts can be chased first.</w:t>
      </w:r>
    </w:p>
    <w:p>
      <w:pPr>
        <w:pStyle w:val="ListBullet"/>
        <w:spacing w:after="40"/>
      </w:pPr>
      <w:r>
        <w:rPr>
          <w:b/>
        </w:rPr>
        <w:t>A:</w:t>
      </w:r>
      <w:r>
        <w:rPr/>
        <w:t xml:space="preserve"> the collection period is calculated from receivables and sales, not from an aged analysis.</w:t>
      </w:r>
    </w:p>
    <w:p>
      <w:pPr>
        <w:pStyle w:val="ListBullet"/>
        <w:spacing w:after="40"/>
      </w:pPr>
      <w:r>
        <w:rPr>
          <w:b/>
        </w:rPr>
        <w:t>C:</w:t>
      </w:r>
      <w:r>
        <w:rPr/>
        <w:t xml:space="preserve"> new customers have no balances to analyse.</w:t>
      </w:r>
    </w:p>
    <w:p>
      <w:pPr>
        <w:pStyle w:val="ListBullet"/>
        <w:spacing w:after="40"/>
      </w:pPr>
      <w:r>
        <w:rPr>
          <w:b/>
        </w:rPr>
        <w:t>D:</w:t>
      </w:r>
      <w:r>
        <w:rPr/>
        <w:t xml:space="preserve"> an aged analysis may help *inform* the allowance for bad debts, but that is not its main purpose for credit control.</w:t>
      </w:r>
    </w:p>
    <w:p>
      <w:pPr>
        <w:pBdr>
          <w:bottom w:val="single" w:sz="8" w:space="1" w:color="000000"/>
        </w:pBdr>
        <w:spacing w:before="0" w:after="160"/>
      </w:pPr>
    </w:p>
    <w:p>
      <w:pPr>
        <w:pStyle w:val="Heading3"/>
        <w:pageBreakBefore w:val="0"/>
      </w:pPr>
      <w:r>
        <w:rPr>
          <w:color w:val="000000"/>
        </w:rPr>
        <w:t>Question 21: 10.0%</w:t>
      </w:r>
    </w:p>
    <w:p>
      <w:pPr>
        <w:keepNext w:val="0"/>
        <w:spacing w:after="80" w:before="0"/>
      </w:pPr>
      <w:r>
        <w:rPr/>
        <w:t xml:space="preserve">(1 + i) = 1.068 × 1.03 = 1.10004, so </w:t>
      </w:r>
      <w:r>
        <w:rPr>
          <w:b/>
        </w:rPr>
        <w:t>i = 10.0%</w:t>
      </w:r>
    </w:p>
    <w:p>
      <w:pPr>
        <w:keepNext w:val="0"/>
        <w:spacing w:after="80" w:before="0"/>
      </w:pPr>
      <w:r>
        <w:rPr/>
        <w:t>Trap: simple addition (6.8% + 3%) gives 9.8%.</w:t>
      </w:r>
    </w:p>
    <w:p>
      <w:pPr>
        <w:pBdr>
          <w:bottom w:val="single" w:sz="8" w:space="1" w:color="000000"/>
        </w:pBdr>
        <w:spacing w:before="0" w:after="160"/>
      </w:pPr>
    </w:p>
    <w:p>
      <w:pPr>
        <w:pStyle w:val="Heading3"/>
        <w:pageBreakBefore w:val="0"/>
      </w:pPr>
      <w:r>
        <w:rPr>
          <w:color w:val="000000"/>
        </w:rPr>
        <w:t>Question 22: C ($567,135)</w:t>
      </w:r>
    </w:p>
    <w:p>
      <w:pPr>
        <w:keepNext w:val="0"/>
        <w:spacing w:after="80" w:before="0"/>
      </w:pPr>
      <w:r>
        <w:rPr/>
        <w:t>Year 2 selling price = 30 × 1.04² = $32.448; Year 2 variable cost = 18 × 1.05² = $19.845</w:t>
      </w:r>
    </w:p>
    <w:p>
      <w:pPr>
        <w:keepNext w:val="0"/>
        <w:spacing w:after="80" w:before="0"/>
      </w:pPr>
      <w:r>
        <w:rPr/>
        <w:t xml:space="preserve">Contribution = (32.448 − 19.845) × 45,000 = </w:t>
      </w:r>
      <w:r>
        <w:rPr>
          <w:b/>
        </w:rPr>
        <w:t>$567,135</w:t>
      </w:r>
    </w:p>
    <w:p>
      <w:pPr>
        <w:keepNext w:val="0"/>
        <w:spacing w:after="80" w:before="0"/>
      </w:pPr>
      <w:r>
        <w:rPr/>
        <w:t>Distractors:</w:t>
      </w:r>
    </w:p>
    <w:p>
      <w:pPr>
        <w:pStyle w:val="ListBullet"/>
        <w:spacing w:after="40"/>
      </w:pPr>
      <w:r>
        <w:rPr>
          <w:b/>
        </w:rPr>
        <w:t>B ($553,500):</w:t>
      </w:r>
      <w:r>
        <w:rPr/>
        <w:t xml:space="preserve"> inflates for one year only.</w:t>
      </w:r>
    </w:p>
    <w:p>
      <w:pPr>
        <w:pStyle w:val="ListBullet"/>
        <w:spacing w:after="40"/>
      </w:pPr>
      <w:r>
        <w:rPr>
          <w:b/>
        </w:rPr>
        <w:t>D ($572,886):</w:t>
      </w:r>
      <w:r>
        <w:rPr/>
        <w:t xml:space="preserve"> inflates the current contribution of $12 at the general rate of 3%.</w:t>
      </w:r>
    </w:p>
    <w:p>
      <w:pPr>
        <w:pStyle w:val="ListBullet"/>
        <w:spacing w:after="40"/>
      </w:pPr>
      <w:r>
        <w:rPr>
          <w:b/>
        </w:rPr>
        <w:t>A ($540,000):</w:t>
      </w:r>
      <w:r>
        <w:rPr/>
        <w:t xml:space="preserve"> no inflation.</w:t>
      </w:r>
    </w:p>
    <w:p>
      <w:pPr>
        <w:pBdr>
          <w:bottom w:val="single" w:sz="8" w:space="1" w:color="000000"/>
        </w:pBdr>
        <w:spacing w:before="0" w:after="160"/>
      </w:pPr>
    </w:p>
    <w:p>
      <w:pPr>
        <w:pStyle w:val="Heading3"/>
        <w:pageBreakBefore w:val="0"/>
      </w:pPr>
      <w:r>
        <w:rPr>
          <w:color w:val="000000"/>
        </w:rPr>
        <w:t>Question 23: C ($(31,824))</w:t>
      </w:r>
    </w:p>
    <w:p>
      <w:pPr>
        <w:keepNext w:val="0"/>
        <w:spacing w:after="80" w:before="0"/>
      </w:pPr>
      <w:r>
        <w:rPr/>
        <w:t>Year 1 sales = 40,000 × 30 × 1.04 = $1,248,000, so working capital needed at Year 0 = $187,200</w:t>
      </w:r>
    </w:p>
    <w:p>
      <w:pPr>
        <w:keepNext w:val="0"/>
        <w:spacing w:after="80" w:before="0"/>
      </w:pPr>
      <w:r>
        <w:rPr/>
        <w:t>Year 2 sales = 45,000 × 30 × 1.04² = $1,460,160, so working capital needed at Year 1 = $219,024</w:t>
      </w:r>
    </w:p>
    <w:p>
      <w:pPr>
        <w:keepNext w:val="0"/>
        <w:spacing w:after="80" w:before="0"/>
      </w:pPr>
      <w:r>
        <w:rPr/>
        <w:t xml:space="preserve">Year 1 cash flow = increase of $31,824, an </w:t>
      </w:r>
      <w:r>
        <w:rPr>
          <w:b/>
        </w:rPr>
        <w:t>outflow</w:t>
      </w:r>
    </w:p>
    <w:p>
      <w:pPr>
        <w:keepNext w:val="0"/>
        <w:spacing w:after="80" w:before="0"/>
      </w:pPr>
      <w:r>
        <w:rPr/>
        <w:t>Distractors:</w:t>
      </w:r>
    </w:p>
    <w:p>
      <w:pPr>
        <w:pStyle w:val="ListBullet"/>
        <w:spacing w:after="40"/>
      </w:pPr>
      <w:r>
        <w:rPr>
          <w:b/>
        </w:rPr>
        <w:t>A:</w:t>
      </w:r>
      <w:r>
        <w:rPr/>
        <w:t xml:space="preserve"> the total requirement instead of the increase.</w:t>
      </w:r>
    </w:p>
    <w:p>
      <w:pPr>
        <w:pStyle w:val="ListBullet"/>
        <w:spacing w:after="40"/>
      </w:pPr>
      <w:r>
        <w:rPr>
          <w:b/>
        </w:rPr>
        <w:t>B:</w:t>
      </w:r>
      <w:r>
        <w:rPr/>
        <w:t xml:space="preserve"> the Year 0 flow.</w:t>
      </w:r>
    </w:p>
    <w:p>
      <w:pPr>
        <w:pStyle w:val="ListBullet"/>
        <w:spacing w:after="40"/>
      </w:pPr>
      <w:r>
        <w:rPr>
          <w:b/>
        </w:rPr>
        <w:t>D:</w:t>
      </w:r>
      <w:r>
        <w:rPr/>
        <w:t xml:space="preserve"> wrong sign.</w:t>
      </w:r>
    </w:p>
    <w:p>
      <w:pPr>
        <w:pBdr>
          <w:bottom w:val="single" w:sz="8" w:space="1" w:color="000000"/>
        </w:pBdr>
        <w:spacing w:before="0" w:after="160"/>
      </w:pPr>
    </w:p>
    <w:p>
      <w:pPr>
        <w:pStyle w:val="Heading3"/>
        <w:pageBreakBefore w:val="0"/>
      </w:pPr>
      <w:r>
        <w:rPr>
          <w:color w:val="000000"/>
        </w:rPr>
        <w:t>Question 24: B (Balancing charge, $10,078 in Year 5)</w:t>
      </w:r>
    </w:p>
    <w:tbl>
      <w:tblPr>
        <w:tblStyle w:val="TableGrid"/>
        <w:tblW w:type="auto" w:w="0"/>
        <w:jc w:val="center"/>
        <w:tblLayout w:type="fixed"/>
        <w:tblLook w:firstColumn="1" w:firstRow="1" w:lastColumn="0" w:lastRow="0" w:noHBand="0" w:noVBand="1" w:val="04A0"/>
      </w:tblPr>
      <w:tblGrid>
        <w:gridCol w:w="5647"/>
        <w:gridCol w:w="3764"/>
      </w:tblGrid>
      <w:tr>
        <w:trPr>
          <w:cantSplit/>
          <w:tblHeader/>
        </w:trPr>
        <w:tc>
          <w:tcPr>
            <w:tcW w:type="dxa" w:w="5647"/>
          </w:tcPr>
          <w:p>
            <w:pPr>
              <w:spacing w:after="0"/>
            </w:pPr>
            <w:r>
              <w:rPr>
                <w:b/>
              </w:rPr>
            </w:r>
          </w:p>
        </w:tc>
        <w:tc>
          <w:tcPr>
            <w:tcW w:type="dxa" w:w="3764"/>
          </w:tcPr>
          <w:p>
            <w:pPr>
              <w:spacing w:after="0"/>
              <w:jc w:val="center"/>
            </w:pPr>
            <w:r>
              <w:rPr>
                <w:b/>
              </w:rPr>
            </w:r>
            <w:r>
              <w:rPr>
                <w:b/>
                <w:sz w:val="18"/>
              </w:rPr>
              <w:t>$</w:t>
            </w:r>
          </w:p>
        </w:tc>
      </w:tr>
      <w:tr>
        <w:trPr>
          <w:cantSplit/>
        </w:trPr>
        <w:tc>
          <w:tcPr>
            <w:tcW w:type="dxa" w:w="5647"/>
          </w:tcPr>
          <w:p>
            <w:pPr>
              <w:spacing w:after="0"/>
            </w:pPr>
            <w:r/>
            <w:r>
              <w:rPr>
                <w:sz w:val="18"/>
              </w:rPr>
              <w:t>Cost</w:t>
            </w:r>
          </w:p>
        </w:tc>
        <w:tc>
          <w:tcPr>
            <w:tcW w:type="dxa" w:w="3764"/>
          </w:tcPr>
          <w:p>
            <w:pPr>
              <w:spacing w:after="0"/>
              <w:jc w:val="center"/>
            </w:pPr>
            <w:r/>
            <w:r>
              <w:rPr>
                <w:sz w:val="18"/>
              </w:rPr>
              <w:t>750,000</w:t>
            </w:r>
          </w:p>
        </w:tc>
      </w:tr>
      <w:tr>
        <w:trPr>
          <w:cantSplit/>
        </w:trPr>
        <w:tc>
          <w:tcPr>
            <w:tcW w:type="dxa" w:w="5647"/>
          </w:tcPr>
          <w:p>
            <w:pPr>
              <w:spacing w:after="0"/>
            </w:pPr>
            <w:r/>
            <w:r>
              <w:rPr>
                <w:sz w:val="18"/>
              </w:rPr>
              <w:t>Year 1 TAD (25%)</w:t>
            </w:r>
          </w:p>
        </w:tc>
        <w:tc>
          <w:tcPr>
            <w:tcW w:type="dxa" w:w="3764"/>
          </w:tcPr>
          <w:p>
            <w:pPr>
              <w:spacing w:after="0"/>
              <w:jc w:val="center"/>
            </w:pPr>
            <w:r/>
            <w:r>
              <w:rPr>
                <w:sz w:val="18"/>
              </w:rPr>
              <w:t>(187,500)</w:t>
            </w:r>
          </w:p>
        </w:tc>
      </w:tr>
      <w:tr>
        <w:trPr>
          <w:cantSplit/>
        </w:trPr>
        <w:tc>
          <w:tcPr>
            <w:tcW w:type="dxa" w:w="5647"/>
          </w:tcPr>
          <w:p>
            <w:pPr>
              <w:spacing w:after="0"/>
            </w:pPr>
            <w:r/>
            <w:r>
              <w:rPr>
                <w:sz w:val="18"/>
              </w:rPr>
              <w:t>Year 2 TAD</w:t>
            </w:r>
          </w:p>
        </w:tc>
        <w:tc>
          <w:tcPr>
            <w:tcW w:type="dxa" w:w="3764"/>
          </w:tcPr>
          <w:p>
            <w:pPr>
              <w:spacing w:after="0"/>
              <w:jc w:val="center"/>
            </w:pPr>
            <w:r/>
            <w:r>
              <w:rPr>
                <w:sz w:val="18"/>
              </w:rPr>
              <w:t>(140,625)</w:t>
            </w:r>
          </w:p>
        </w:tc>
      </w:tr>
      <w:tr>
        <w:trPr>
          <w:cantSplit/>
        </w:trPr>
        <w:tc>
          <w:tcPr>
            <w:tcW w:type="dxa" w:w="5647"/>
          </w:tcPr>
          <w:p>
            <w:pPr>
              <w:spacing w:after="0"/>
            </w:pPr>
            <w:r/>
            <w:r>
              <w:rPr>
                <w:sz w:val="18"/>
              </w:rPr>
              <w:t>Year 3 TAD</w:t>
            </w:r>
          </w:p>
        </w:tc>
        <w:tc>
          <w:tcPr>
            <w:tcW w:type="dxa" w:w="3764"/>
          </w:tcPr>
          <w:p>
            <w:pPr>
              <w:spacing w:after="0"/>
              <w:jc w:val="center"/>
            </w:pPr>
            <w:r/>
            <w:r>
              <w:rPr>
                <w:sz w:val="18"/>
              </w:rPr>
              <w:t>(105,469)</w:t>
            </w:r>
          </w:p>
        </w:tc>
      </w:tr>
      <w:tr>
        <w:trPr>
          <w:cantSplit/>
        </w:trPr>
        <w:tc>
          <w:tcPr>
            <w:tcW w:type="dxa" w:w="5647"/>
          </w:tcPr>
          <w:p>
            <w:pPr>
              <w:spacing w:after="0"/>
            </w:pPr>
            <w:r/>
            <w:r>
              <w:rPr>
                <w:sz w:val="18"/>
              </w:rPr>
              <w:t>TWDV at start of Year 4</w:t>
            </w:r>
          </w:p>
        </w:tc>
        <w:tc>
          <w:tcPr>
            <w:tcW w:type="dxa" w:w="3764"/>
          </w:tcPr>
          <w:p>
            <w:pPr>
              <w:spacing w:after="0"/>
              <w:jc w:val="center"/>
            </w:pPr>
            <w:r/>
            <w:r>
              <w:rPr>
                <w:sz w:val="18"/>
              </w:rPr>
              <w:t>316,406</w:t>
            </w:r>
          </w:p>
        </w:tc>
      </w:tr>
      <w:tr>
        <w:trPr>
          <w:cantSplit/>
        </w:trPr>
        <w:tc>
          <w:tcPr>
            <w:tcW w:type="dxa" w:w="5647"/>
          </w:tcPr>
          <w:p>
            <w:pPr>
              <w:spacing w:after="0"/>
            </w:pPr>
            <w:r/>
            <w:r>
              <w:rPr>
                <w:sz w:val="18"/>
              </w:rPr>
              <w:t>Disposal proceeds</w:t>
            </w:r>
          </w:p>
        </w:tc>
        <w:tc>
          <w:tcPr>
            <w:tcW w:type="dxa" w:w="3764"/>
          </w:tcPr>
          <w:p>
            <w:pPr>
              <w:spacing w:after="0"/>
              <w:jc w:val="center"/>
            </w:pPr>
            <w:r/>
            <w:r>
              <w:rPr>
                <w:sz w:val="18"/>
              </w:rPr>
              <w:t>(350,000)</w:t>
            </w:r>
          </w:p>
        </w:tc>
      </w:tr>
      <w:tr>
        <w:trPr>
          <w:cantSplit/>
        </w:trPr>
        <w:tc>
          <w:tcPr>
            <w:tcW w:type="dxa" w:w="5647"/>
          </w:tcPr>
          <w:p>
            <w:pPr>
              <w:spacing w:after="0"/>
            </w:pPr>
            <w:r/>
            <w:r>
              <w:rPr>
                <w:b/>
                <w:sz w:val="18"/>
              </w:rPr>
              <w:t>Balancing charge (Year 4)</w:t>
            </w:r>
          </w:p>
        </w:tc>
        <w:tc>
          <w:tcPr>
            <w:tcW w:type="dxa" w:w="3764"/>
          </w:tcPr>
          <w:p>
            <w:pPr>
              <w:spacing w:after="0"/>
              <w:jc w:val="center"/>
            </w:pPr>
            <w:r/>
            <w:r>
              <w:rPr>
                <w:b/>
                <w:sz w:val="18"/>
              </w:rPr>
              <w:t>33,594</w:t>
            </w:r>
          </w:p>
        </w:tc>
      </w:tr>
    </w:tbl>
    <w:p>
      <w:pPr>
        <w:spacing w:after="160"/>
      </w:pPr>
    </w:p>
    <w:p>
      <w:pPr>
        <w:keepNext w:val="0"/>
        <w:spacing w:after="80" w:before="0"/>
      </w:pPr>
      <w:r>
        <w:rPr/>
        <w:t xml:space="preserve">Additional tax = 33,594 × 30% = </w:t>
      </w:r>
      <w:r>
        <w:rPr>
          <w:b/>
        </w:rPr>
        <w:t>$10,078</w:t>
      </w:r>
      <w:r>
        <w:rPr/>
        <w:t xml:space="preserve">, payable in </w:t>
      </w:r>
      <w:r>
        <w:rPr>
          <w:b/>
        </w:rPr>
        <w:t>Year 5</w:t>
      </w:r>
      <w:r>
        <w:rPr/>
        <w:t xml:space="preserve"> (one year in arrears).</w:t>
      </w:r>
    </w:p>
    <w:p>
      <w:pPr>
        <w:keepNext w:val="0"/>
        <w:spacing w:after="80" w:before="0"/>
      </w:pPr>
      <w:r>
        <w:rPr/>
        <w:t>As stated in the scenario, no 25% allowance is claimed in Year 4. The balancing adjustment replaces it, so total net relief over the asset's life is cost less proceeds: $750,000 − $350,000 = $400,000.</w:t>
      </w:r>
    </w:p>
    <w:p>
      <w:pPr>
        <w:keepNext w:val="0"/>
        <w:spacing w:after="80" w:before="0"/>
      </w:pPr>
      <w:r>
        <w:rPr/>
        <w:t>Distractors:</w:t>
      </w:r>
    </w:p>
    <w:p>
      <w:pPr>
        <w:pStyle w:val="ListBullet"/>
        <w:spacing w:after="40"/>
      </w:pPr>
      <w:r>
        <w:rPr>
          <w:b/>
        </w:rPr>
        <w:t>A:</w:t>
      </w:r>
      <w:r>
        <w:rPr/>
        <w:t xml:space="preserve"> this is a *charge*, not an allowance, because proceeds exceed the TWDV. Too much relief has been claimed and it is clawed back.</w:t>
      </w:r>
    </w:p>
    <w:p>
      <w:pPr>
        <w:pStyle w:val="ListBullet"/>
        <w:spacing w:after="40"/>
      </w:pPr>
      <w:r>
        <w:rPr>
          <w:b/>
        </w:rPr>
        <w:t>C:</w:t>
      </w:r>
      <w:r>
        <w:rPr/>
        <w:t xml:space="preserve"> wrong year.</w:t>
      </w:r>
    </w:p>
    <w:p>
      <w:pPr>
        <w:pStyle w:val="ListBullet"/>
        <w:spacing w:after="40"/>
      </w:pPr>
      <w:r>
        <w:rPr>
          <w:b/>
        </w:rPr>
        <w:t>D:</w:t>
      </w:r>
      <w:r>
        <w:rPr/>
        <w:t xml:space="preserve"> taxes the whole sale proceeds.</w:t>
      </w:r>
    </w:p>
    <w:p>
      <w:pPr>
        <w:pBdr>
          <w:bottom w:val="single" w:sz="8" w:space="1" w:color="000000"/>
        </w:pBdr>
        <w:spacing w:before="0" w:after="160"/>
      </w:pPr>
    </w:p>
    <w:p>
      <w:pPr>
        <w:pStyle w:val="Heading3"/>
        <w:pageBreakBefore w:val="0"/>
      </w:pPr>
      <w:r>
        <w:rPr>
          <w:color w:val="000000"/>
        </w:rPr>
        <w:t>Question 25: B (1 and 3 only)</w:t>
      </w:r>
    </w:p>
    <w:p>
      <w:pPr>
        <w:pStyle w:val="ListBullet"/>
        <w:spacing w:after="40"/>
      </w:pPr>
      <w:r>
        <w:rPr>
          <w:b/>
        </w:rPr>
        <w:t>(1) True.</w:t>
      </w:r>
      <w:r>
        <w:rPr/>
        <w:t xml:space="preserve"> Higher inflation raises the money cost of capital (Fisher), so fixed money cash flows are discounted more heavily.</w:t>
      </w:r>
    </w:p>
    <w:p>
      <w:pPr>
        <w:pStyle w:val="ListBullet"/>
        <w:spacing w:after="40"/>
      </w:pPr>
      <w:r>
        <w:rPr>
          <w:b/>
        </w:rPr>
        <w:t>(2) False.</w:t>
      </w:r>
      <w:r>
        <w:rPr/>
        <w:t xml:space="preserve"> Specific inflation rates should be used where they are available.</w:t>
      </w:r>
    </w:p>
    <w:p>
      <w:pPr>
        <w:pStyle w:val="ListBullet"/>
        <w:spacing w:after="40"/>
      </w:pPr>
      <w:r>
        <w:rPr>
          <w:b/>
        </w:rPr>
        <w:t>(3) True.</w:t>
      </w:r>
      <w:r>
        <w:rPr/>
        <w:t xml:space="preserve"> The real rate is lower than the money rate, so applying it to inflated money flows overstates the NPV.</w:t>
      </w:r>
    </w:p>
    <w:p>
      <w:pPr>
        <w:pBdr>
          <w:bottom w:val="single" w:sz="8" w:space="1" w:color="000000"/>
        </w:pBdr>
        <w:spacing w:before="0" w:after="160"/>
      </w:pPr>
    </w:p>
    <w:p>
      <w:pPr>
        <w:pStyle w:val="Heading3"/>
        <w:pageBreakBefore w:val="0"/>
      </w:pPr>
      <w:r>
        <w:rPr>
          <w:color w:val="000000"/>
        </w:rPr>
        <w:t>Question 26: 4.0%</w:t>
      </w:r>
    </w:p>
    <w:p>
      <w:pPr>
        <w:keepNext w:val="0"/>
        <w:spacing w:after="80" w:before="0"/>
      </w:pPr>
      <w:r>
        <w:rPr/>
        <w:t xml:space="preserve">DPS = 5.4m / 30m = 18 cents, so dividend yield = 0.18 / 4.50 = </w:t>
      </w:r>
      <w:r>
        <w:rPr>
          <w:b/>
        </w:rPr>
        <w:t>4.0%</w:t>
      </w:r>
    </w:p>
    <w:p>
      <w:pPr>
        <w:pBdr>
          <w:bottom w:val="single" w:sz="8" w:space="1" w:color="000000"/>
        </w:pBdr>
        <w:spacing w:before="0" w:after="160"/>
      </w:pPr>
    </w:p>
    <w:p>
      <w:pPr>
        <w:pStyle w:val="Heading3"/>
        <w:pageBreakBefore w:val="0"/>
      </w:pPr>
      <w:r>
        <w:rPr>
          <w:color w:val="000000"/>
        </w:rPr>
        <w:t>Question 27: B ($4.54)</w:t>
      </w:r>
    </w:p>
    <w:p>
      <w:pPr>
        <w:keepNext w:val="0"/>
        <w:spacing w:after="80" w:before="0"/>
      </w:pPr>
      <w:r>
        <w:rPr/>
        <w:t>Current EPS = (9.6 − 0.6) / 30 = 30.0 cents; forecast EPS = 30.0 × 1.08 = 32.4 cents</w:t>
      </w:r>
    </w:p>
    <w:p>
      <w:pPr>
        <w:keepNext w:val="0"/>
        <w:spacing w:after="80" w:before="0"/>
      </w:pPr>
      <w:r>
        <w:rPr/>
        <w:t xml:space="preserve">Share price = 32.4c × 14 = </w:t>
      </w:r>
      <w:r>
        <w:rPr>
          <w:b/>
        </w:rPr>
        <w:t>$4.54</w:t>
      </w:r>
    </w:p>
    <w:p>
      <w:pPr>
        <w:keepNext w:val="0"/>
        <w:spacing w:after="80" w:before="0"/>
      </w:pPr>
      <w:r>
        <w:rPr/>
        <w:t>Distractors:</w:t>
      </w:r>
    </w:p>
    <w:p>
      <w:pPr>
        <w:pStyle w:val="ListBullet"/>
        <w:spacing w:after="40"/>
      </w:pPr>
      <w:r>
        <w:rPr>
          <w:b/>
        </w:rPr>
        <w:t>A ($4.20):</w:t>
      </w:r>
      <w:r>
        <w:rPr/>
        <w:t xml:space="preserve"> uses current EPS instead of the forecast.</w:t>
      </w:r>
    </w:p>
    <w:p>
      <w:pPr>
        <w:pStyle w:val="ListBullet"/>
        <w:spacing w:after="40"/>
      </w:pPr>
      <w:r>
        <w:rPr>
          <w:b/>
        </w:rPr>
        <w:t>C ($4.56):</w:t>
      </w:r>
      <w:r>
        <w:rPr/>
        <w:t xml:space="preserve"> grows profit *before* preference dividends, then deducts them.</w:t>
      </w:r>
    </w:p>
    <w:p>
      <w:pPr>
        <w:pStyle w:val="ListBullet"/>
        <w:spacing w:after="40"/>
      </w:pPr>
      <w:r>
        <w:rPr>
          <w:b/>
        </w:rPr>
        <w:t>D ($4.84):</w:t>
      </w:r>
      <w:r>
        <w:rPr/>
        <w:t xml:space="preserve"> forgets to deduct preference dividends.</w:t>
      </w:r>
    </w:p>
    <w:p>
      <w:pPr>
        <w:pBdr>
          <w:bottom w:val="single" w:sz="8" w:space="1" w:color="000000"/>
        </w:pBdr>
        <w:spacing w:before="0" w:after="160"/>
      </w:pPr>
    </w:p>
    <w:p>
      <w:pPr>
        <w:pStyle w:val="Heading3"/>
        <w:pageBreakBefore w:val="0"/>
      </w:pPr>
      <w:r>
        <w:rPr>
          <w:color w:val="000000"/>
        </w:rPr>
        <w:t>Question 28: True, False, True</w:t>
      </w:r>
    </w:p>
    <w:p>
      <w:pPr>
        <w:keepNext w:val="0"/>
        <w:spacing w:after="80" w:before="0"/>
      </w:pPr>
      <w:r>
        <w:rPr/>
        <w:t>Earnings attributable to ordinary shareholders = 9.6 − 0.6 = $9.0m, so EPS = 9.0 / 30 = 30.0 cents.</w:t>
      </w:r>
    </w:p>
    <w:p>
      <w:pPr>
        <w:pStyle w:val="ListBullet"/>
        <w:spacing w:after="40"/>
      </w:pPr>
      <w:r>
        <w:rPr>
          <w:b/>
        </w:rPr>
        <w:t>True.</w:t>
      </w:r>
      <w:r>
        <w:rPr/>
        <w:t xml:space="preserve"> Earnings yield = EPS / share price = 0.30 / 4.50 = 6.7%. It is the reciprocal of the P/E ratio.</w:t>
      </w:r>
    </w:p>
    <w:p>
      <w:pPr>
        <w:pStyle w:val="ListBullet"/>
        <w:spacing w:after="40"/>
      </w:pPr>
      <w:r>
        <w:rPr>
          <w:b/>
        </w:rPr>
        <w:t>False.</w:t>
      </w:r>
      <w:r>
        <w:rPr/>
        <w:t xml:space="preserve"> Dividend cover = earnings attributable to ordinary shareholders / ordinary dividends = 9.0 / 5.4 = 1.67 times. The figure of 1.78 times (9.6 / 5.4) is the trap: it forgets to deduct the preference dividends first.</w:t>
      </w:r>
    </w:p>
    <w:p>
      <w:pPr>
        <w:pStyle w:val="ListBullet"/>
        <w:spacing w:after="40"/>
      </w:pPr>
      <w:r>
        <w:rPr>
          <w:b/>
        </w:rPr>
        <w:t>True.</w:t>
      </w:r>
      <w:r>
        <w:rPr/>
        <w:t xml:space="preserve"> Current P/E = 4.50 / 0.30 = 15.0 times, above the sector average of 14 times.</w:t>
      </w:r>
    </w:p>
    <w:p>
      <w:pPr>
        <w:pBdr>
          <w:bottom w:val="single" w:sz="8" w:space="1" w:color="000000"/>
        </w:pBdr>
        <w:spacing w:before="0" w:after="160"/>
      </w:pPr>
    </w:p>
    <w:p>
      <w:pPr>
        <w:pStyle w:val="Heading3"/>
        <w:pageBreakBefore w:val="0"/>
      </w:pPr>
      <w:r>
        <w:rPr>
          <w:color w:val="000000"/>
        </w:rPr>
        <w:t>Question 29: 1st and 3rd</w:t>
      </w:r>
    </w:p>
    <w:p>
      <w:pPr>
        <w:keepNext w:val="0"/>
        <w:spacing w:after="80" w:before="0"/>
      </w:pPr>
      <w:r>
        <w:rPr/>
        <w:t>Financial risk is the risk to shareholders from the use of debt finance: the variability of returns caused by fixed interest commitments.</w:t>
      </w:r>
    </w:p>
    <w:p>
      <w:pPr>
        <w:pStyle w:val="ListBullet"/>
        <w:spacing w:after="40"/>
      </w:pPr>
      <w:r>
        <w:rPr>
          <w:b/>
        </w:rPr>
        <w:t>Fall in interest cover: correct.</w:t>
      </w:r>
      <w:r>
        <w:rPr/>
        <w:t xml:space="preserve"> Profits cover the interest charge fewer times, so there is less margin of safety if profits fall.</w:t>
      </w:r>
    </w:p>
    <w:p>
      <w:pPr>
        <w:pStyle w:val="ListBullet"/>
        <w:spacing w:after="40"/>
      </w:pPr>
      <w:r>
        <w:rPr>
          <w:b/>
        </w:rPr>
        <w:t>Rise in gearing: correct.</w:t>
      </w:r>
      <w:r>
        <w:rPr/>
        <w:t xml:space="preserve"> More debt relative to equity increases the fixed interest burden that ranks ahead of shareholders.</w:t>
      </w:r>
    </w:p>
    <w:p>
      <w:pPr>
        <w:pStyle w:val="ListBullet"/>
        <w:spacing w:after="40"/>
      </w:pPr>
      <w:r>
        <w:rPr>
          <w:b/>
        </w:rPr>
        <w:t>Rise in dividend yield: wrong.</w:t>
      </w:r>
      <w:r>
        <w:rPr/>
        <w:t xml:space="preserve"> This is a market return measure. It can rise simply because the share price falls or the dividend increases.</w:t>
      </w:r>
    </w:p>
    <w:p>
      <w:pPr>
        <w:pStyle w:val="ListBullet"/>
        <w:spacing w:after="40"/>
      </w:pPr>
      <w:r>
        <w:rPr>
          <w:b/>
        </w:rPr>
        <w:t>Rise in P/E ratio: wrong.</w:t>
      </w:r>
      <w:r>
        <w:rPr/>
        <w:t xml:space="preserve"> A higher P/E usually reflects market confidence in future earnings growth, not higher financial risk.</w:t>
      </w:r>
    </w:p>
    <w:p>
      <w:pPr>
        <w:pBdr>
          <w:bottom w:val="single" w:sz="8" w:space="1" w:color="000000"/>
        </w:pBdr>
        <w:spacing w:before="0" w:after="160"/>
      </w:pPr>
    </w:p>
    <w:p>
      <w:pPr>
        <w:pStyle w:val="Heading3"/>
        <w:pageBreakBefore w:val="0"/>
      </w:pPr>
      <w:r>
        <w:rPr>
          <w:color w:val="000000"/>
        </w:rPr>
        <w:t>Question 30: A</w:t>
      </w:r>
    </w:p>
    <w:p>
      <w:pPr>
        <w:keepNext w:val="0"/>
        <w:spacing w:after="80" w:before="0"/>
      </w:pPr>
      <w:r>
        <w:rPr/>
        <w:t>Market value of debt = 30m × 1.08 = $32.4m; market value of equity = 30m × $4.50 = $135m</w:t>
      </w:r>
    </w:p>
    <w:p>
      <w:pPr>
        <w:keepNext w:val="0"/>
        <w:spacing w:after="80" w:before="0"/>
      </w:pPr>
      <w:r>
        <w:rPr/>
        <w:t xml:space="preserve">Gearing (debt/equity) = 32.4 / 135 = </w:t>
      </w:r>
      <w:r>
        <w:rPr>
          <w:b/>
        </w:rPr>
        <w:t>24.0%</w:t>
      </w:r>
      <w:r>
        <w:rPr/>
        <w:t xml:space="preserve">; interest cover = PBIT / interest = 14.4 / 2.4 = </w:t>
      </w:r>
      <w:r>
        <w:rPr>
          <w:b/>
        </w:rPr>
        <w:t>6.0 times</w:t>
      </w:r>
    </w:p>
    <w:p>
      <w:pPr>
        <w:keepNext w:val="0"/>
        <w:spacing w:after="80" w:before="0"/>
      </w:pPr>
      <w:r>
        <w:rPr/>
        <w:t>Distractors:</w:t>
      </w:r>
    </w:p>
    <w:p>
      <w:pPr>
        <w:pStyle w:val="ListBullet"/>
        <w:spacing w:after="40"/>
      </w:pPr>
      <w:r>
        <w:rPr>
          <w:b/>
        </w:rPr>
        <w:t>B:</w:t>
      </w:r>
      <w:r>
        <w:rPr/>
        <w:t xml:space="preserve"> uses book values (30 / 80).</w:t>
      </w:r>
    </w:p>
    <w:p>
      <w:pPr>
        <w:pStyle w:val="ListBullet"/>
        <w:spacing w:after="40"/>
      </w:pPr>
      <w:r>
        <w:rPr>
          <w:b/>
        </w:rPr>
        <w:t>C:</w:t>
      </w:r>
      <w:r>
        <w:rPr/>
        <w:t xml:space="preserve"> uses profit before tax for interest cover.</w:t>
      </w:r>
    </w:p>
    <w:p>
      <w:pPr>
        <w:pStyle w:val="ListBullet"/>
        <w:spacing w:after="40"/>
      </w:pPr>
      <w:r>
        <w:rPr>
          <w:b/>
        </w:rPr>
        <w:t>D:</w:t>
      </w:r>
      <w:r>
        <w:rPr/>
        <w:t xml:space="preserve"> uses debt / (debt + equity), which is a different gearing measure from the one asked for.</w:t>
      </w:r>
    </w:p>
    <w:p>
      <w:pPr>
        <w:pBdr>
          <w:bottom w:val="single" w:sz="8" w:space="1" w:color="000000"/>
        </w:pBdr>
        <w:spacing w:before="0" w:after="160"/>
      </w:pPr>
    </w:p>
    <w:p>
      <w:pPr>
        <w:pStyle w:val="Heading2"/>
        <w:pageBreakBefore/>
      </w:pPr>
      <w:r>
        <w:rPr>
          <w:color w:val="000000"/>
        </w:rPr>
        <w:t>Section C</w:t>
      </w:r>
    </w:p>
    <w:p>
      <w:pPr>
        <w:pStyle w:val="Heading3"/>
        <w:pageBreakBefore w:val="0"/>
      </w:pPr>
      <w:r>
        <w:rPr>
          <w:color w:val="000000"/>
        </w:rPr>
        <w:t>Question 31: Brindlewood Aggregates Co</w:t>
      </w:r>
    </w:p>
    <w:p>
      <w:pPr>
        <w:keepNext w:val="0"/>
        <w:spacing w:after="80" w:before="0"/>
      </w:pPr>
      <w:r>
        <w:rPr>
          <w:b/>
        </w:rPr>
        <w:t>(a) Net present value</w:t>
      </w:r>
      <w:r>
        <w:rPr/>
        <w:t xml:space="preserve"> (all figures in $, money terms)</w:t>
      </w:r>
    </w:p>
    <w:tbl>
      <w:tblPr>
        <w:tblStyle w:val="TableGrid"/>
        <w:tblW w:type="auto" w:w="0"/>
        <w:jc w:val="center"/>
        <w:tblLayout w:type="fixed"/>
        <w:tblLook w:firstColumn="1" w:firstRow="1" w:lastColumn="0" w:lastRow="0" w:noHBand="0" w:noVBand="1" w:val="04A0"/>
      </w:tblPr>
      <w:tblGrid>
        <w:gridCol w:w="2381"/>
        <w:gridCol w:w="1172"/>
        <w:gridCol w:w="1172"/>
        <w:gridCol w:w="1172"/>
        <w:gridCol w:w="1172"/>
        <w:gridCol w:w="1172"/>
        <w:gridCol w:w="1172"/>
      </w:tblGrid>
      <w:tr>
        <w:trPr>
          <w:cantSplit/>
          <w:tblHeader/>
        </w:trPr>
        <w:tc>
          <w:tcPr>
            <w:tcW w:type="dxa" w:w="2381"/>
          </w:tcPr>
          <w:p>
            <w:pPr>
              <w:spacing w:after="0"/>
            </w:pPr>
            <w:r>
              <w:rPr>
                <w:b/>
              </w:rPr>
            </w:r>
            <w:r>
              <w:rPr>
                <w:b/>
                <w:sz w:val="15"/>
              </w:rPr>
              <w:t>Year</w:t>
            </w:r>
          </w:p>
        </w:tc>
        <w:tc>
          <w:tcPr>
            <w:tcW w:type="dxa" w:w="1172"/>
          </w:tcPr>
          <w:p>
            <w:pPr>
              <w:spacing w:after="0"/>
              <w:jc w:val="right"/>
            </w:pPr>
            <w:r>
              <w:rPr>
                <w:b/>
              </w:rPr>
            </w:r>
            <w:r>
              <w:rPr>
                <w:b/>
                <w:sz w:val="15"/>
              </w:rPr>
              <w:t>0</w:t>
            </w:r>
          </w:p>
        </w:tc>
        <w:tc>
          <w:tcPr>
            <w:tcW w:type="dxa" w:w="1172"/>
          </w:tcPr>
          <w:p>
            <w:pPr>
              <w:spacing w:after="0"/>
              <w:jc w:val="right"/>
            </w:pPr>
            <w:r>
              <w:rPr>
                <w:b/>
              </w:rPr>
            </w:r>
            <w:r>
              <w:rPr>
                <w:b/>
                <w:sz w:val="15"/>
              </w:rPr>
              <w:t>1</w:t>
            </w:r>
          </w:p>
        </w:tc>
        <w:tc>
          <w:tcPr>
            <w:tcW w:type="dxa" w:w="1172"/>
          </w:tcPr>
          <w:p>
            <w:pPr>
              <w:spacing w:after="0"/>
              <w:jc w:val="right"/>
            </w:pPr>
            <w:r>
              <w:rPr>
                <w:b/>
              </w:rPr>
            </w:r>
            <w:r>
              <w:rPr>
                <w:b/>
                <w:sz w:val="15"/>
              </w:rPr>
              <w:t>2</w:t>
            </w:r>
          </w:p>
        </w:tc>
        <w:tc>
          <w:tcPr>
            <w:tcW w:type="dxa" w:w="1172"/>
          </w:tcPr>
          <w:p>
            <w:pPr>
              <w:spacing w:after="0"/>
              <w:jc w:val="right"/>
            </w:pPr>
            <w:r>
              <w:rPr>
                <w:b/>
              </w:rPr>
            </w:r>
            <w:r>
              <w:rPr>
                <w:b/>
                <w:sz w:val="15"/>
              </w:rPr>
              <w:t>3</w:t>
            </w:r>
          </w:p>
        </w:tc>
        <w:tc>
          <w:tcPr>
            <w:tcW w:type="dxa" w:w="1172"/>
          </w:tcPr>
          <w:p>
            <w:pPr>
              <w:spacing w:after="0"/>
              <w:jc w:val="right"/>
            </w:pPr>
            <w:r>
              <w:rPr>
                <w:b/>
              </w:rPr>
            </w:r>
            <w:r>
              <w:rPr>
                <w:b/>
                <w:sz w:val="15"/>
              </w:rPr>
              <w:t>4</w:t>
            </w:r>
          </w:p>
        </w:tc>
        <w:tc>
          <w:tcPr>
            <w:tcW w:type="dxa" w:w="1172"/>
          </w:tcPr>
          <w:p>
            <w:pPr>
              <w:spacing w:after="0"/>
              <w:jc w:val="right"/>
            </w:pPr>
            <w:r>
              <w:rPr>
                <w:b/>
              </w:rPr>
            </w:r>
            <w:r>
              <w:rPr>
                <w:b/>
                <w:sz w:val="15"/>
              </w:rPr>
              <w:t>5</w:t>
            </w:r>
          </w:p>
        </w:tc>
      </w:tr>
      <w:tr>
        <w:trPr>
          <w:cantSplit/>
        </w:trPr>
        <w:tc>
          <w:tcPr>
            <w:tcW w:type="dxa" w:w="2381"/>
          </w:tcPr>
          <w:p>
            <w:pPr>
              <w:spacing w:after="0"/>
            </w:pPr>
            <w:r/>
            <w:r>
              <w:rPr>
                <w:sz w:val="15"/>
              </w:rPr>
              <w:t>Sales revenue</w:t>
            </w:r>
          </w:p>
        </w:tc>
        <w:tc>
          <w:tcPr>
            <w:tcW w:type="dxa" w:w="1172"/>
          </w:tcPr>
          <w:p>
            <w:pPr>
              <w:spacing w:after="0"/>
              <w:jc w:val="right"/>
            </w:pPr>
            <w:r/>
          </w:p>
        </w:tc>
        <w:tc>
          <w:tcPr>
            <w:tcW w:type="dxa" w:w="1172"/>
          </w:tcPr>
          <w:p>
            <w:pPr>
              <w:spacing w:after="0"/>
              <w:jc w:val="right"/>
            </w:pPr>
            <w:r/>
            <w:r>
              <w:rPr>
                <w:sz w:val="15"/>
              </w:rPr>
              <w:t>2,966,400</w:t>
            </w:r>
          </w:p>
        </w:tc>
        <w:tc>
          <w:tcPr>
            <w:tcW w:type="dxa" w:w="1172"/>
          </w:tcPr>
          <w:p>
            <w:pPr>
              <w:spacing w:after="0"/>
              <w:jc w:val="right"/>
            </w:pPr>
            <w:r/>
            <w:r>
              <w:rPr>
                <w:sz w:val="15"/>
              </w:rPr>
              <w:t>4,328,472</w:t>
            </w:r>
          </w:p>
        </w:tc>
        <w:tc>
          <w:tcPr>
            <w:tcW w:type="dxa" w:w="1172"/>
          </w:tcPr>
          <w:p>
            <w:pPr>
              <w:spacing w:after="0"/>
              <w:jc w:val="right"/>
            </w:pPr>
            <w:r/>
            <w:r>
              <w:rPr>
                <w:sz w:val="15"/>
              </w:rPr>
              <w:t>4,982,835</w:t>
            </w:r>
          </w:p>
        </w:tc>
        <w:tc>
          <w:tcPr>
            <w:tcW w:type="dxa" w:w="1172"/>
          </w:tcPr>
          <w:p>
            <w:pPr>
              <w:spacing w:after="0"/>
              <w:jc w:val="right"/>
            </w:pPr>
            <w:r/>
            <w:r>
              <w:rPr>
                <w:sz w:val="15"/>
              </w:rPr>
              <w:t>3,781,710</w:t>
            </w:r>
          </w:p>
        </w:tc>
        <w:tc>
          <w:tcPr>
            <w:tcW w:type="dxa" w:w="1172"/>
          </w:tcPr>
          <w:p>
            <w:pPr>
              <w:spacing w:after="0"/>
              <w:jc w:val="right"/>
            </w:pPr>
            <w:r/>
          </w:p>
        </w:tc>
      </w:tr>
      <w:tr>
        <w:trPr>
          <w:cantSplit/>
        </w:trPr>
        <w:tc>
          <w:tcPr>
            <w:tcW w:type="dxa" w:w="2381"/>
          </w:tcPr>
          <w:p>
            <w:pPr>
              <w:spacing w:after="0"/>
            </w:pPr>
            <w:r/>
            <w:r>
              <w:rPr>
                <w:sz w:val="15"/>
              </w:rPr>
              <w:t>Variable costs</w:t>
            </w:r>
          </w:p>
        </w:tc>
        <w:tc>
          <w:tcPr>
            <w:tcW w:type="dxa" w:w="1172"/>
          </w:tcPr>
          <w:p>
            <w:pPr>
              <w:spacing w:after="0"/>
              <w:jc w:val="right"/>
            </w:pPr>
            <w:r/>
          </w:p>
        </w:tc>
        <w:tc>
          <w:tcPr>
            <w:tcW w:type="dxa" w:w="1172"/>
          </w:tcPr>
          <w:p>
            <w:pPr>
              <w:spacing w:after="0"/>
              <w:jc w:val="right"/>
            </w:pPr>
            <w:r/>
            <w:r>
              <w:rPr>
                <w:sz w:val="15"/>
              </w:rPr>
              <w:t>(1,701,000)</w:t>
            </w:r>
          </w:p>
        </w:tc>
        <w:tc>
          <w:tcPr>
            <w:tcW w:type="dxa" w:w="1172"/>
          </w:tcPr>
          <w:p>
            <w:pPr>
              <w:spacing w:after="0"/>
              <w:jc w:val="right"/>
            </w:pPr>
            <w:r/>
            <w:r>
              <w:rPr>
                <w:sz w:val="15"/>
              </w:rPr>
              <w:t>(2,530,238)</w:t>
            </w:r>
          </w:p>
        </w:tc>
        <w:tc>
          <w:tcPr>
            <w:tcW w:type="dxa" w:w="1172"/>
          </w:tcPr>
          <w:p>
            <w:pPr>
              <w:spacing w:after="0"/>
              <w:jc w:val="right"/>
            </w:pPr>
            <w:r/>
            <w:r>
              <w:rPr>
                <w:sz w:val="15"/>
              </w:rPr>
              <w:t>(2,969,308)</w:t>
            </w:r>
          </w:p>
        </w:tc>
        <w:tc>
          <w:tcPr>
            <w:tcW w:type="dxa" w:w="1172"/>
          </w:tcPr>
          <w:p>
            <w:pPr>
              <w:spacing w:after="0"/>
              <w:jc w:val="right"/>
            </w:pPr>
            <w:r/>
            <w:r>
              <w:rPr>
                <w:sz w:val="15"/>
              </w:rPr>
              <w:t>(2,297,307)</w:t>
            </w:r>
          </w:p>
        </w:tc>
        <w:tc>
          <w:tcPr>
            <w:tcW w:type="dxa" w:w="1172"/>
          </w:tcPr>
          <w:p>
            <w:pPr>
              <w:spacing w:after="0"/>
              <w:jc w:val="right"/>
            </w:pPr>
            <w:r/>
          </w:p>
        </w:tc>
      </w:tr>
      <w:tr>
        <w:trPr>
          <w:cantSplit/>
        </w:trPr>
        <w:tc>
          <w:tcPr>
            <w:tcW w:type="dxa" w:w="2381"/>
          </w:tcPr>
          <w:p>
            <w:pPr>
              <w:spacing w:after="0"/>
            </w:pPr>
            <w:r/>
            <w:r>
              <w:rPr>
                <w:sz w:val="15"/>
              </w:rPr>
              <w:t>Incremental fixed costs</w:t>
            </w:r>
          </w:p>
        </w:tc>
        <w:tc>
          <w:tcPr>
            <w:tcW w:type="dxa" w:w="1172"/>
          </w:tcPr>
          <w:p>
            <w:pPr>
              <w:spacing w:after="0"/>
              <w:jc w:val="right"/>
            </w:pPr>
            <w:r/>
          </w:p>
        </w:tc>
        <w:tc>
          <w:tcPr>
            <w:tcW w:type="dxa" w:w="1172"/>
          </w:tcPr>
          <w:p>
            <w:pPr>
              <w:spacing w:after="0"/>
              <w:jc w:val="right"/>
            </w:pPr>
            <w:r/>
            <w:r>
              <w:rPr>
                <w:sz w:val="15"/>
              </w:rPr>
              <w:t>(540,800)</w:t>
            </w:r>
          </w:p>
        </w:tc>
        <w:tc>
          <w:tcPr>
            <w:tcW w:type="dxa" w:w="1172"/>
          </w:tcPr>
          <w:p>
            <w:pPr>
              <w:spacing w:after="0"/>
              <w:jc w:val="right"/>
            </w:pPr>
            <w:r/>
            <w:r>
              <w:rPr>
                <w:sz w:val="15"/>
              </w:rPr>
              <w:t>(562,432)</w:t>
            </w:r>
          </w:p>
        </w:tc>
        <w:tc>
          <w:tcPr>
            <w:tcW w:type="dxa" w:w="1172"/>
          </w:tcPr>
          <w:p>
            <w:pPr>
              <w:spacing w:after="0"/>
              <w:jc w:val="right"/>
            </w:pPr>
            <w:r/>
            <w:r>
              <w:rPr>
                <w:sz w:val="15"/>
              </w:rPr>
              <w:t>(584,929)</w:t>
            </w:r>
          </w:p>
        </w:tc>
        <w:tc>
          <w:tcPr>
            <w:tcW w:type="dxa" w:w="1172"/>
          </w:tcPr>
          <w:p>
            <w:pPr>
              <w:spacing w:after="0"/>
              <w:jc w:val="right"/>
            </w:pPr>
            <w:r/>
            <w:r>
              <w:rPr>
                <w:sz w:val="15"/>
              </w:rPr>
              <w:t>(608,326)</w:t>
            </w:r>
          </w:p>
        </w:tc>
        <w:tc>
          <w:tcPr>
            <w:tcW w:type="dxa" w:w="1172"/>
          </w:tcPr>
          <w:p>
            <w:pPr>
              <w:spacing w:after="0"/>
              <w:jc w:val="right"/>
            </w:pPr>
            <w:r/>
          </w:p>
        </w:tc>
      </w:tr>
      <w:tr>
        <w:trPr>
          <w:cantSplit/>
        </w:trPr>
        <w:tc>
          <w:tcPr>
            <w:tcW w:type="dxa" w:w="2381"/>
          </w:tcPr>
          <w:p>
            <w:pPr>
              <w:spacing w:after="0"/>
            </w:pPr>
            <w:r>
              <w:rPr>
                <w:b/>
              </w:rPr>
            </w:r>
            <w:r>
              <w:rPr>
                <w:b/>
                <w:sz w:val="15"/>
              </w:rPr>
              <w:t>Taxable operating cash flow</w:t>
            </w:r>
          </w:p>
        </w:tc>
        <w:tc>
          <w:tcPr>
            <w:tcW w:type="dxa" w:w="1172"/>
          </w:tcPr>
          <w:p>
            <w:pPr>
              <w:spacing w:after="0"/>
              <w:jc w:val="right"/>
            </w:pPr>
            <w:r>
              <w:rPr>
                <w:b/>
              </w:rPr>
            </w:r>
          </w:p>
        </w:tc>
        <w:tc>
          <w:tcPr>
            <w:tcW w:type="dxa" w:w="1172"/>
          </w:tcPr>
          <w:p>
            <w:pPr>
              <w:spacing w:after="0"/>
              <w:jc w:val="right"/>
            </w:pPr>
            <w:r>
              <w:rPr>
                <w:b/>
              </w:rPr>
            </w:r>
            <w:r>
              <w:rPr>
                <w:b/>
                <w:sz w:val="15"/>
              </w:rPr>
              <w:t>724,600</w:t>
            </w:r>
          </w:p>
        </w:tc>
        <w:tc>
          <w:tcPr>
            <w:tcW w:type="dxa" w:w="1172"/>
          </w:tcPr>
          <w:p>
            <w:pPr>
              <w:spacing w:after="0"/>
              <w:jc w:val="right"/>
            </w:pPr>
            <w:r>
              <w:rPr>
                <w:b/>
              </w:rPr>
            </w:r>
            <w:r>
              <w:rPr>
                <w:b/>
                <w:sz w:val="15"/>
              </w:rPr>
              <w:t>1,235,802</w:t>
            </w:r>
          </w:p>
        </w:tc>
        <w:tc>
          <w:tcPr>
            <w:tcW w:type="dxa" w:w="1172"/>
          </w:tcPr>
          <w:p>
            <w:pPr>
              <w:spacing w:after="0"/>
              <w:jc w:val="right"/>
            </w:pPr>
            <w:r>
              <w:rPr>
                <w:b/>
              </w:rPr>
            </w:r>
            <w:r>
              <w:rPr>
                <w:b/>
                <w:sz w:val="15"/>
              </w:rPr>
              <w:t>1,428,598</w:t>
            </w:r>
          </w:p>
        </w:tc>
        <w:tc>
          <w:tcPr>
            <w:tcW w:type="dxa" w:w="1172"/>
          </w:tcPr>
          <w:p>
            <w:pPr>
              <w:spacing w:after="0"/>
              <w:jc w:val="right"/>
            </w:pPr>
            <w:r>
              <w:rPr>
                <w:b/>
              </w:rPr>
            </w:r>
            <w:r>
              <w:rPr>
                <w:b/>
                <w:sz w:val="15"/>
              </w:rPr>
              <w:t>876,077</w:t>
            </w:r>
          </w:p>
        </w:tc>
        <w:tc>
          <w:tcPr>
            <w:tcW w:type="dxa" w:w="1172"/>
          </w:tcPr>
          <w:p>
            <w:pPr>
              <w:spacing w:after="0"/>
              <w:jc w:val="right"/>
            </w:pPr>
            <w:r>
              <w:rPr>
                <w:b/>
              </w:rPr>
            </w:r>
          </w:p>
        </w:tc>
      </w:tr>
      <w:tr>
        <w:trPr>
          <w:cantSplit/>
        </w:trPr>
        <w:tc>
          <w:tcPr>
            <w:tcW w:type="dxa" w:w="2381"/>
          </w:tcPr>
          <w:p>
            <w:pPr>
              <w:spacing w:after="0"/>
            </w:pPr>
            <w:r/>
            <w:r>
              <w:rPr>
                <w:sz w:val="15"/>
              </w:rPr>
              <w:t>Tax at 25%</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(181,150)</w:t>
            </w:r>
          </w:p>
        </w:tc>
        <w:tc>
          <w:tcPr>
            <w:tcW w:type="dxa" w:w="1172"/>
          </w:tcPr>
          <w:p>
            <w:pPr>
              <w:spacing w:after="0"/>
              <w:jc w:val="right"/>
            </w:pPr>
            <w:r/>
            <w:r>
              <w:rPr>
                <w:sz w:val="15"/>
              </w:rPr>
              <w:t>(308,950)</w:t>
            </w:r>
          </w:p>
        </w:tc>
        <w:tc>
          <w:tcPr>
            <w:tcW w:type="dxa" w:w="1172"/>
          </w:tcPr>
          <w:p>
            <w:pPr>
              <w:spacing w:after="0"/>
              <w:jc w:val="right"/>
            </w:pPr>
            <w:r/>
            <w:r>
              <w:rPr>
                <w:sz w:val="15"/>
              </w:rPr>
              <w:t>(357,150)</w:t>
            </w:r>
          </w:p>
        </w:tc>
        <w:tc>
          <w:tcPr>
            <w:tcW w:type="dxa" w:w="1172"/>
          </w:tcPr>
          <w:p>
            <w:pPr>
              <w:spacing w:after="0"/>
              <w:jc w:val="right"/>
            </w:pPr>
            <w:r/>
            <w:r>
              <w:rPr>
                <w:sz w:val="15"/>
              </w:rPr>
              <w:t>(219,019)</w:t>
            </w:r>
          </w:p>
        </w:tc>
      </w:tr>
      <w:tr>
        <w:trPr>
          <w:cantSplit/>
        </w:trPr>
        <w:tc>
          <w:tcPr>
            <w:tcW w:type="dxa" w:w="2381"/>
          </w:tcPr>
          <w:p>
            <w:pPr>
              <w:spacing w:after="0"/>
            </w:pPr>
            <w:r/>
            <w:r>
              <w:rPr>
                <w:sz w:val="15"/>
              </w:rPr>
              <w:t>Tax benefit of TAD</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181,250</w:t>
            </w:r>
          </w:p>
        </w:tc>
        <w:tc>
          <w:tcPr>
            <w:tcW w:type="dxa" w:w="1172"/>
          </w:tcPr>
          <w:p>
            <w:pPr>
              <w:spacing w:after="0"/>
              <w:jc w:val="right"/>
            </w:pPr>
            <w:r/>
            <w:r>
              <w:rPr>
                <w:sz w:val="15"/>
              </w:rPr>
              <w:t>135,938</w:t>
            </w:r>
          </w:p>
        </w:tc>
        <w:tc>
          <w:tcPr>
            <w:tcW w:type="dxa" w:w="1172"/>
          </w:tcPr>
          <w:p>
            <w:pPr>
              <w:spacing w:after="0"/>
              <w:jc w:val="right"/>
            </w:pPr>
            <w:r/>
            <w:r>
              <w:rPr>
                <w:sz w:val="15"/>
              </w:rPr>
              <w:t>101,953</w:t>
            </w:r>
          </w:p>
        </w:tc>
        <w:tc>
          <w:tcPr>
            <w:tcW w:type="dxa" w:w="1172"/>
          </w:tcPr>
          <w:p>
            <w:pPr>
              <w:spacing w:after="0"/>
              <w:jc w:val="right"/>
            </w:pPr>
            <w:r/>
            <w:r>
              <w:rPr>
                <w:sz w:val="15"/>
              </w:rPr>
              <w:t>230,860</w:t>
            </w:r>
          </w:p>
        </w:tc>
      </w:tr>
      <w:tr>
        <w:trPr>
          <w:cantSplit/>
        </w:trPr>
        <w:tc>
          <w:tcPr>
            <w:tcW w:type="dxa" w:w="2381"/>
          </w:tcPr>
          <w:p>
            <w:pPr>
              <w:spacing w:after="0"/>
            </w:pPr>
            <w:r/>
            <w:r>
              <w:rPr>
                <w:sz w:val="15"/>
              </w:rPr>
              <w:t>Machinery and scrap</w:t>
            </w:r>
          </w:p>
        </w:tc>
        <w:tc>
          <w:tcPr>
            <w:tcW w:type="dxa" w:w="1172"/>
          </w:tcPr>
          <w:p>
            <w:pPr>
              <w:spacing w:after="0"/>
              <w:jc w:val="right"/>
            </w:pPr>
            <w:r/>
            <w:r>
              <w:rPr>
                <w:sz w:val="15"/>
              </w:rPr>
              <w:t>(2,900,000)</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300,000</w:t>
            </w:r>
          </w:p>
        </w:tc>
        <w:tc>
          <w:tcPr>
            <w:tcW w:type="dxa" w:w="1172"/>
          </w:tcPr>
          <w:p>
            <w:pPr>
              <w:spacing w:after="0"/>
              <w:jc w:val="right"/>
            </w:pPr>
            <w:r/>
          </w:p>
        </w:tc>
      </w:tr>
      <w:tr>
        <w:trPr>
          <w:cantSplit/>
        </w:trPr>
        <w:tc>
          <w:tcPr>
            <w:tcW w:type="dxa" w:w="2381"/>
          </w:tcPr>
          <w:p>
            <w:pPr>
              <w:spacing w:after="0"/>
            </w:pPr>
            <w:r/>
            <w:r>
              <w:rPr>
                <w:sz w:val="15"/>
              </w:rPr>
              <w:t>Working capital</w:t>
            </w:r>
          </w:p>
        </w:tc>
        <w:tc>
          <w:tcPr>
            <w:tcW w:type="dxa" w:w="1172"/>
          </w:tcPr>
          <w:p>
            <w:pPr>
              <w:spacing w:after="0"/>
              <w:jc w:val="right"/>
            </w:pPr>
            <w:r/>
            <w:r>
              <w:rPr>
                <w:sz w:val="15"/>
              </w:rPr>
              <w:t>(296,640)</w:t>
            </w:r>
          </w:p>
        </w:tc>
        <w:tc>
          <w:tcPr>
            <w:tcW w:type="dxa" w:w="1172"/>
          </w:tcPr>
          <w:p>
            <w:pPr>
              <w:spacing w:after="0"/>
              <w:jc w:val="right"/>
            </w:pPr>
            <w:r/>
            <w:r>
              <w:rPr>
                <w:sz w:val="15"/>
              </w:rPr>
              <w:t>(136,207)</w:t>
            </w:r>
          </w:p>
        </w:tc>
        <w:tc>
          <w:tcPr>
            <w:tcW w:type="dxa" w:w="1172"/>
          </w:tcPr>
          <w:p>
            <w:pPr>
              <w:spacing w:after="0"/>
              <w:jc w:val="right"/>
            </w:pPr>
            <w:r/>
            <w:r>
              <w:rPr>
                <w:sz w:val="15"/>
              </w:rPr>
              <w:t>(65,437)</w:t>
            </w:r>
          </w:p>
        </w:tc>
        <w:tc>
          <w:tcPr>
            <w:tcW w:type="dxa" w:w="1172"/>
          </w:tcPr>
          <w:p>
            <w:pPr>
              <w:spacing w:after="0"/>
              <w:jc w:val="right"/>
            </w:pPr>
            <w:r/>
            <w:r>
              <w:rPr>
                <w:sz w:val="15"/>
              </w:rPr>
              <w:t>120,113</w:t>
            </w:r>
          </w:p>
        </w:tc>
        <w:tc>
          <w:tcPr>
            <w:tcW w:type="dxa" w:w="1172"/>
          </w:tcPr>
          <w:p>
            <w:pPr>
              <w:spacing w:after="0"/>
              <w:jc w:val="right"/>
            </w:pPr>
            <w:r/>
            <w:r>
              <w:rPr>
                <w:sz w:val="15"/>
              </w:rPr>
              <w:t>378,171</w:t>
            </w:r>
          </w:p>
        </w:tc>
        <w:tc>
          <w:tcPr>
            <w:tcW w:type="dxa" w:w="1172"/>
          </w:tcPr>
          <w:p>
            <w:pPr>
              <w:spacing w:after="0"/>
              <w:jc w:val="right"/>
            </w:pPr>
            <w:r/>
          </w:p>
        </w:tc>
      </w:tr>
      <w:tr>
        <w:trPr>
          <w:cantSplit/>
        </w:trPr>
        <w:tc>
          <w:tcPr>
            <w:tcW w:type="dxa" w:w="2381"/>
          </w:tcPr>
          <w:p>
            <w:pPr>
              <w:spacing w:after="0"/>
            </w:pPr>
            <w:r>
              <w:rPr>
                <w:b/>
              </w:rPr>
            </w:r>
            <w:r>
              <w:rPr>
                <w:b/>
                <w:sz w:val="15"/>
              </w:rPr>
              <w:t>Net cash flow</w:t>
            </w:r>
          </w:p>
        </w:tc>
        <w:tc>
          <w:tcPr>
            <w:tcW w:type="dxa" w:w="1172"/>
          </w:tcPr>
          <w:p>
            <w:pPr>
              <w:spacing w:after="0"/>
              <w:jc w:val="right"/>
            </w:pPr>
            <w:r>
              <w:rPr>
                <w:b/>
              </w:rPr>
            </w:r>
            <w:r>
              <w:rPr>
                <w:b/>
                <w:sz w:val="15"/>
              </w:rPr>
              <w:t>(3,196,640)</w:t>
            </w:r>
          </w:p>
        </w:tc>
        <w:tc>
          <w:tcPr>
            <w:tcW w:type="dxa" w:w="1172"/>
          </w:tcPr>
          <w:p>
            <w:pPr>
              <w:spacing w:after="0"/>
              <w:jc w:val="right"/>
            </w:pPr>
            <w:r>
              <w:rPr>
                <w:b/>
              </w:rPr>
            </w:r>
            <w:r>
              <w:rPr>
                <w:b/>
                <w:sz w:val="15"/>
              </w:rPr>
              <w:t>588,393</w:t>
            </w:r>
          </w:p>
        </w:tc>
        <w:tc>
          <w:tcPr>
            <w:tcW w:type="dxa" w:w="1172"/>
          </w:tcPr>
          <w:p>
            <w:pPr>
              <w:spacing w:after="0"/>
              <w:jc w:val="right"/>
            </w:pPr>
            <w:r>
              <w:rPr>
                <w:b/>
              </w:rPr>
            </w:r>
            <w:r>
              <w:rPr>
                <w:b/>
                <w:sz w:val="15"/>
              </w:rPr>
              <w:t>1,170,465</w:t>
            </w:r>
          </w:p>
        </w:tc>
        <w:tc>
          <w:tcPr>
            <w:tcW w:type="dxa" w:w="1172"/>
          </w:tcPr>
          <w:p>
            <w:pPr>
              <w:spacing w:after="0"/>
              <w:jc w:val="right"/>
            </w:pPr>
            <w:r>
              <w:rPr>
                <w:b/>
              </w:rPr>
            </w:r>
            <w:r>
              <w:rPr>
                <w:b/>
                <w:sz w:val="15"/>
              </w:rPr>
              <w:t>1,375,699</w:t>
            </w:r>
          </w:p>
        </w:tc>
        <w:tc>
          <w:tcPr>
            <w:tcW w:type="dxa" w:w="1172"/>
          </w:tcPr>
          <w:p>
            <w:pPr>
              <w:spacing w:after="0"/>
              <w:jc w:val="right"/>
            </w:pPr>
            <w:r>
              <w:rPr>
                <w:b/>
              </w:rPr>
            </w:r>
            <w:r>
              <w:rPr>
                <w:b/>
                <w:sz w:val="15"/>
              </w:rPr>
              <w:t>1,299,051</w:t>
            </w:r>
          </w:p>
        </w:tc>
        <w:tc>
          <w:tcPr>
            <w:tcW w:type="dxa" w:w="1172"/>
          </w:tcPr>
          <w:p>
            <w:pPr>
              <w:spacing w:after="0"/>
              <w:jc w:val="right"/>
            </w:pPr>
            <w:r>
              <w:rPr>
                <w:b/>
              </w:rPr>
            </w:r>
            <w:r>
              <w:rPr>
                <w:b/>
                <w:sz w:val="15"/>
              </w:rPr>
              <w:t>11,841</w:t>
            </w:r>
          </w:p>
        </w:tc>
      </w:tr>
      <w:tr>
        <w:trPr>
          <w:cantSplit/>
        </w:trPr>
        <w:tc>
          <w:tcPr>
            <w:tcW w:type="dxa" w:w="2381"/>
          </w:tcPr>
          <w:p>
            <w:pPr>
              <w:spacing w:after="0"/>
            </w:pPr>
            <w:r/>
            <w:r>
              <w:rPr>
                <w:sz w:val="15"/>
              </w:rPr>
              <w:t>Discount factor at 11%</w:t>
            </w:r>
          </w:p>
        </w:tc>
        <w:tc>
          <w:tcPr>
            <w:tcW w:type="dxa" w:w="1172"/>
          </w:tcPr>
          <w:p>
            <w:pPr>
              <w:spacing w:after="0"/>
              <w:jc w:val="right"/>
            </w:pPr>
            <w:r/>
            <w:r>
              <w:rPr>
                <w:sz w:val="15"/>
              </w:rPr>
              <w:t>1.000</w:t>
            </w:r>
          </w:p>
        </w:tc>
        <w:tc>
          <w:tcPr>
            <w:tcW w:type="dxa" w:w="1172"/>
          </w:tcPr>
          <w:p>
            <w:pPr>
              <w:spacing w:after="0"/>
              <w:jc w:val="right"/>
            </w:pPr>
            <w:r/>
            <w:r>
              <w:rPr>
                <w:sz w:val="15"/>
              </w:rPr>
              <w:t>0.901</w:t>
            </w:r>
          </w:p>
        </w:tc>
        <w:tc>
          <w:tcPr>
            <w:tcW w:type="dxa" w:w="1172"/>
          </w:tcPr>
          <w:p>
            <w:pPr>
              <w:spacing w:after="0"/>
              <w:jc w:val="right"/>
            </w:pPr>
            <w:r/>
            <w:r>
              <w:rPr>
                <w:sz w:val="15"/>
              </w:rPr>
              <w:t>0.812</w:t>
            </w:r>
          </w:p>
        </w:tc>
        <w:tc>
          <w:tcPr>
            <w:tcW w:type="dxa" w:w="1172"/>
          </w:tcPr>
          <w:p>
            <w:pPr>
              <w:spacing w:after="0"/>
              <w:jc w:val="right"/>
            </w:pPr>
            <w:r/>
            <w:r>
              <w:rPr>
                <w:sz w:val="15"/>
              </w:rPr>
              <w:t>0.731</w:t>
            </w:r>
          </w:p>
        </w:tc>
        <w:tc>
          <w:tcPr>
            <w:tcW w:type="dxa" w:w="1172"/>
          </w:tcPr>
          <w:p>
            <w:pPr>
              <w:spacing w:after="0"/>
              <w:jc w:val="right"/>
            </w:pPr>
            <w:r/>
            <w:r>
              <w:rPr>
                <w:sz w:val="15"/>
              </w:rPr>
              <w:t>0.659</w:t>
            </w:r>
          </w:p>
        </w:tc>
        <w:tc>
          <w:tcPr>
            <w:tcW w:type="dxa" w:w="1172"/>
          </w:tcPr>
          <w:p>
            <w:pPr>
              <w:spacing w:after="0"/>
              <w:jc w:val="right"/>
            </w:pPr>
            <w:r/>
            <w:r>
              <w:rPr>
                <w:sz w:val="15"/>
              </w:rPr>
              <w:t>0.593</w:t>
            </w:r>
          </w:p>
        </w:tc>
      </w:tr>
      <w:tr>
        <w:trPr>
          <w:cantSplit/>
        </w:trPr>
        <w:tc>
          <w:tcPr>
            <w:tcW w:type="dxa" w:w="2381"/>
          </w:tcPr>
          <w:p>
            <w:pPr>
              <w:spacing w:after="0"/>
            </w:pPr>
            <w:r>
              <w:rPr>
                <w:b/>
              </w:rPr>
            </w:r>
            <w:r>
              <w:rPr>
                <w:b/>
                <w:sz w:val="15"/>
              </w:rPr>
              <w:t>Present value</w:t>
            </w:r>
          </w:p>
        </w:tc>
        <w:tc>
          <w:tcPr>
            <w:tcW w:type="dxa" w:w="1172"/>
          </w:tcPr>
          <w:p>
            <w:pPr>
              <w:spacing w:after="0"/>
              <w:jc w:val="right"/>
            </w:pPr>
            <w:r>
              <w:rPr>
                <w:b/>
              </w:rPr>
            </w:r>
            <w:r>
              <w:rPr>
                <w:b/>
                <w:sz w:val="15"/>
              </w:rPr>
              <w:t>(3,196,640)</w:t>
            </w:r>
          </w:p>
        </w:tc>
        <w:tc>
          <w:tcPr>
            <w:tcW w:type="dxa" w:w="1172"/>
          </w:tcPr>
          <w:p>
            <w:pPr>
              <w:spacing w:after="0"/>
              <w:jc w:val="right"/>
            </w:pPr>
            <w:r>
              <w:rPr>
                <w:b/>
              </w:rPr>
            </w:r>
            <w:r>
              <w:rPr>
                <w:b/>
                <w:sz w:val="15"/>
              </w:rPr>
              <w:t>530,142</w:t>
            </w:r>
          </w:p>
        </w:tc>
        <w:tc>
          <w:tcPr>
            <w:tcW w:type="dxa" w:w="1172"/>
          </w:tcPr>
          <w:p>
            <w:pPr>
              <w:spacing w:after="0"/>
              <w:jc w:val="right"/>
            </w:pPr>
            <w:r>
              <w:rPr>
                <w:b/>
              </w:rPr>
            </w:r>
            <w:r>
              <w:rPr>
                <w:b/>
                <w:sz w:val="15"/>
              </w:rPr>
              <w:t>950,418</w:t>
            </w:r>
          </w:p>
        </w:tc>
        <w:tc>
          <w:tcPr>
            <w:tcW w:type="dxa" w:w="1172"/>
          </w:tcPr>
          <w:p>
            <w:pPr>
              <w:spacing w:after="0"/>
              <w:jc w:val="right"/>
            </w:pPr>
            <w:r>
              <w:rPr>
                <w:b/>
              </w:rPr>
            </w:r>
            <w:r>
              <w:rPr>
                <w:b/>
                <w:sz w:val="15"/>
              </w:rPr>
              <w:t>1,005,636</w:t>
            </w:r>
          </w:p>
        </w:tc>
        <w:tc>
          <w:tcPr>
            <w:tcW w:type="dxa" w:w="1172"/>
          </w:tcPr>
          <w:p>
            <w:pPr>
              <w:spacing w:after="0"/>
              <w:jc w:val="right"/>
            </w:pPr>
            <w:r>
              <w:rPr>
                <w:b/>
              </w:rPr>
            </w:r>
            <w:r>
              <w:rPr>
                <w:b/>
                <w:sz w:val="15"/>
              </w:rPr>
              <w:t>856,075</w:t>
            </w:r>
          </w:p>
        </w:tc>
        <w:tc>
          <w:tcPr>
            <w:tcW w:type="dxa" w:w="1172"/>
          </w:tcPr>
          <w:p>
            <w:pPr>
              <w:spacing w:after="0"/>
              <w:jc w:val="right"/>
            </w:pPr>
            <w:r>
              <w:rPr>
                <w:b/>
              </w:rPr>
            </w:r>
            <w:r>
              <w:rPr>
                <w:b/>
                <w:sz w:val="15"/>
              </w:rPr>
              <w:t>7,022</w:t>
            </w:r>
          </w:p>
        </w:tc>
      </w:tr>
    </w:tbl>
    <w:p>
      <w:pPr>
        <w:spacing w:after="160"/>
      </w:pPr>
    </w:p>
    <w:p>
      <w:pPr>
        <w:keepNext w:val="0"/>
        <w:spacing w:after="160" w:before="0"/>
      </w:pPr>
      <w:r>
        <w:rPr>
          <w:b/>
        </w:rPr>
        <w:t>NPV = $152,653</w:t>
      </w:r>
      <w:r>
        <w:rPr/>
        <w:t>, positive, so the project is financially acceptable.</w:t>
      </w:r>
    </w:p>
    <w:p>
      <w:pPr>
        <w:keepNext/>
        <w:spacing w:after="80" w:before="0"/>
      </w:pPr>
      <w:r>
        <w:rPr>
          <w:b/>
        </w:rPr>
        <w:t>Workings</w:t>
      </w:r>
    </w:p>
    <w:tbl>
      <w:tblPr>
        <w:tblStyle w:val="TableGrid"/>
        <w:tblW w:type="auto" w:w="0"/>
        <w:jc w:val="center"/>
        <w:tblLayout w:type="fixed"/>
        <w:tblLook w:firstColumn="1" w:firstRow="1" w:lastColumn="0" w:lastRow="0" w:noHBand="0" w:noVBand="1" w:val="04A0"/>
      </w:tblPr>
      <w:tblGrid>
        <w:gridCol w:w="3402"/>
        <w:gridCol w:w="1502"/>
        <w:gridCol w:w="1502"/>
        <w:gridCol w:w="1502"/>
        <w:gridCol w:w="1502"/>
      </w:tblGrid>
      <w:tr>
        <w:trPr>
          <w:cantSplit/>
          <w:tblHeader/>
        </w:trPr>
        <w:tc>
          <w:tcPr>
            <w:tcW w:type="dxa" w:w="3402"/>
          </w:tcPr>
          <w:p>
            <w:pPr>
              <w:spacing w:after="0"/>
            </w:pPr>
            <w:r>
              <w:rPr>
                <w:b/>
              </w:rPr>
            </w:r>
            <w:r>
              <w:rPr>
                <w:b/>
                <w:sz w:val="17"/>
              </w:rPr>
              <w:t>Year</w:t>
            </w:r>
          </w:p>
        </w:tc>
        <w:tc>
          <w:tcPr>
            <w:tcW w:type="dxa" w:w="1502"/>
          </w:tcPr>
          <w:p>
            <w:pPr>
              <w:spacing w:after="0"/>
              <w:jc w:val="right"/>
            </w:pPr>
            <w:r>
              <w:rPr>
                <w:b/>
              </w:rPr>
            </w:r>
            <w:r>
              <w:rPr>
                <w:b/>
                <w:sz w:val="17"/>
              </w:rPr>
              <w:t>1</w:t>
            </w:r>
          </w:p>
        </w:tc>
        <w:tc>
          <w:tcPr>
            <w:tcW w:type="dxa" w:w="1502"/>
          </w:tcPr>
          <w:p>
            <w:pPr>
              <w:spacing w:after="0"/>
              <w:jc w:val="right"/>
            </w:pPr>
            <w:r>
              <w:rPr>
                <w:b/>
              </w:rPr>
            </w:r>
            <w:r>
              <w:rPr>
                <w:b/>
                <w:sz w:val="17"/>
              </w:rPr>
              <w:t>2</w:t>
            </w:r>
          </w:p>
        </w:tc>
        <w:tc>
          <w:tcPr>
            <w:tcW w:type="dxa" w:w="1502"/>
          </w:tcPr>
          <w:p>
            <w:pPr>
              <w:spacing w:after="0"/>
              <w:jc w:val="right"/>
            </w:pPr>
            <w:r>
              <w:rPr>
                <w:b/>
              </w:rPr>
            </w:r>
            <w:r>
              <w:rPr>
                <w:b/>
                <w:sz w:val="17"/>
              </w:rPr>
              <w:t>3</w:t>
            </w:r>
          </w:p>
        </w:tc>
        <w:tc>
          <w:tcPr>
            <w:tcW w:type="dxa" w:w="1502"/>
          </w:tcPr>
          <w:p>
            <w:pPr>
              <w:spacing w:after="0"/>
              <w:jc w:val="right"/>
            </w:pPr>
            <w:r>
              <w:rPr>
                <w:b/>
              </w:rPr>
            </w:r>
            <w:r>
              <w:rPr>
                <w:b/>
                <w:sz w:val="17"/>
              </w:rPr>
              <w:t>4</w:t>
            </w:r>
          </w:p>
        </w:tc>
      </w:tr>
      <w:tr>
        <w:trPr>
          <w:cantSplit/>
        </w:trPr>
        <w:tc>
          <w:tcPr>
            <w:tcW w:type="dxa" w:w="3402"/>
          </w:tcPr>
          <w:p>
            <w:pPr>
              <w:spacing w:after="0"/>
            </w:pPr>
            <w:r/>
            <w:r>
              <w:rPr>
                <w:sz w:val="17"/>
              </w:rPr>
              <w:t>Selling price ($48 × 1.03^n)</w:t>
            </w:r>
          </w:p>
        </w:tc>
        <w:tc>
          <w:tcPr>
            <w:tcW w:type="dxa" w:w="1502"/>
          </w:tcPr>
          <w:p>
            <w:pPr>
              <w:spacing w:after="0"/>
              <w:jc w:val="right"/>
            </w:pPr>
            <w:r/>
            <w:r>
              <w:rPr>
                <w:sz w:val="17"/>
              </w:rPr>
              <w:t>49.44</w:t>
            </w:r>
          </w:p>
        </w:tc>
        <w:tc>
          <w:tcPr>
            <w:tcW w:type="dxa" w:w="1502"/>
          </w:tcPr>
          <w:p>
            <w:pPr>
              <w:spacing w:after="0"/>
              <w:jc w:val="right"/>
            </w:pPr>
            <w:r/>
            <w:r>
              <w:rPr>
                <w:sz w:val="17"/>
              </w:rPr>
              <w:t>50.92</w:t>
            </w:r>
          </w:p>
        </w:tc>
        <w:tc>
          <w:tcPr>
            <w:tcW w:type="dxa" w:w="1502"/>
          </w:tcPr>
          <w:p>
            <w:pPr>
              <w:spacing w:after="0"/>
              <w:jc w:val="right"/>
            </w:pPr>
            <w:r/>
            <w:r>
              <w:rPr>
                <w:sz w:val="17"/>
              </w:rPr>
              <w:t>52.45</w:t>
            </w:r>
          </w:p>
        </w:tc>
        <w:tc>
          <w:tcPr>
            <w:tcW w:type="dxa" w:w="1502"/>
          </w:tcPr>
          <w:p>
            <w:pPr>
              <w:spacing w:after="0"/>
              <w:jc w:val="right"/>
            </w:pPr>
            <w:r/>
            <w:r>
              <w:rPr>
                <w:sz w:val="17"/>
              </w:rPr>
              <w:t>54.02</w:t>
            </w:r>
          </w:p>
        </w:tc>
      </w:tr>
      <w:tr>
        <w:trPr>
          <w:cantSplit/>
        </w:trPr>
        <w:tc>
          <w:tcPr>
            <w:tcW w:type="dxa" w:w="3402"/>
          </w:tcPr>
          <w:p>
            <w:pPr>
              <w:spacing w:after="0"/>
            </w:pPr>
            <w:r/>
            <w:r>
              <w:rPr>
                <w:sz w:val="17"/>
              </w:rPr>
              <w:t>Variable cost ($27 × 1.05^n)</w:t>
            </w:r>
          </w:p>
        </w:tc>
        <w:tc>
          <w:tcPr>
            <w:tcW w:type="dxa" w:w="1502"/>
          </w:tcPr>
          <w:p>
            <w:pPr>
              <w:spacing w:after="0"/>
              <w:jc w:val="right"/>
            </w:pPr>
            <w:r/>
            <w:r>
              <w:rPr>
                <w:sz w:val="17"/>
              </w:rPr>
              <w:t>28.35</w:t>
            </w:r>
          </w:p>
        </w:tc>
        <w:tc>
          <w:tcPr>
            <w:tcW w:type="dxa" w:w="1502"/>
          </w:tcPr>
          <w:p>
            <w:pPr>
              <w:spacing w:after="0"/>
              <w:jc w:val="right"/>
            </w:pPr>
            <w:r/>
            <w:r>
              <w:rPr>
                <w:sz w:val="17"/>
              </w:rPr>
              <w:t>29.77</w:t>
            </w:r>
          </w:p>
        </w:tc>
        <w:tc>
          <w:tcPr>
            <w:tcW w:type="dxa" w:w="1502"/>
          </w:tcPr>
          <w:p>
            <w:pPr>
              <w:spacing w:after="0"/>
              <w:jc w:val="right"/>
            </w:pPr>
            <w:r/>
            <w:r>
              <w:rPr>
                <w:sz w:val="17"/>
              </w:rPr>
              <w:t>31.26</w:t>
            </w:r>
          </w:p>
        </w:tc>
        <w:tc>
          <w:tcPr>
            <w:tcW w:type="dxa" w:w="1502"/>
          </w:tcPr>
          <w:p>
            <w:pPr>
              <w:spacing w:after="0"/>
              <w:jc w:val="right"/>
            </w:pPr>
            <w:r/>
            <w:r>
              <w:rPr>
                <w:sz w:val="17"/>
              </w:rPr>
              <w:t>32.82</w:t>
            </w:r>
          </w:p>
        </w:tc>
      </w:tr>
      <w:tr>
        <w:trPr>
          <w:cantSplit/>
        </w:trPr>
        <w:tc>
          <w:tcPr>
            <w:tcW w:type="dxa" w:w="3402"/>
          </w:tcPr>
          <w:p>
            <w:pPr>
              <w:spacing w:after="0"/>
            </w:pPr>
            <w:r/>
            <w:r>
              <w:rPr>
                <w:sz w:val="17"/>
              </w:rPr>
              <w:t>Fixed costs ($520,000 × 1.04^n)</w:t>
            </w:r>
          </w:p>
        </w:tc>
        <w:tc>
          <w:tcPr>
            <w:tcW w:type="dxa" w:w="1502"/>
          </w:tcPr>
          <w:p>
            <w:pPr>
              <w:spacing w:after="0"/>
              <w:jc w:val="right"/>
            </w:pPr>
            <w:r/>
            <w:r>
              <w:rPr>
                <w:sz w:val="17"/>
              </w:rPr>
              <w:t>540,800</w:t>
            </w:r>
          </w:p>
        </w:tc>
        <w:tc>
          <w:tcPr>
            <w:tcW w:type="dxa" w:w="1502"/>
          </w:tcPr>
          <w:p>
            <w:pPr>
              <w:spacing w:after="0"/>
              <w:jc w:val="right"/>
            </w:pPr>
            <w:r/>
            <w:r>
              <w:rPr>
                <w:sz w:val="17"/>
              </w:rPr>
              <w:t>562,432</w:t>
            </w:r>
          </w:p>
        </w:tc>
        <w:tc>
          <w:tcPr>
            <w:tcW w:type="dxa" w:w="1502"/>
          </w:tcPr>
          <w:p>
            <w:pPr>
              <w:spacing w:after="0"/>
              <w:jc w:val="right"/>
            </w:pPr>
            <w:r/>
            <w:r>
              <w:rPr>
                <w:sz w:val="17"/>
              </w:rPr>
              <w:t>584,929</w:t>
            </w:r>
          </w:p>
        </w:tc>
        <w:tc>
          <w:tcPr>
            <w:tcW w:type="dxa" w:w="1502"/>
          </w:tcPr>
          <w:p>
            <w:pPr>
              <w:spacing w:after="0"/>
              <w:jc w:val="right"/>
            </w:pPr>
            <w:r/>
            <w:r>
              <w:rPr>
                <w:sz w:val="17"/>
              </w:rPr>
              <w:t>608,326</w:t>
            </w:r>
          </w:p>
        </w:tc>
      </w:tr>
    </w:tbl>
    <w:p>
      <w:pPr>
        <w:spacing w:after="160"/>
      </w:pPr>
    </w:p>
    <w:tbl>
      <w:tblPr>
        <w:tblStyle w:val="TableGrid"/>
        <w:tblW w:type="auto" w:w="0"/>
        <w:jc w:val="center"/>
        <w:tblLayout w:type="fixed"/>
        <w:tblLook w:firstColumn="1" w:firstRow="1" w:lastColumn="0" w:lastRow="0" w:noHBand="0" w:noVBand="1" w:val="04A0"/>
      </w:tblPr>
      <w:tblGrid>
        <w:gridCol w:w="737"/>
        <w:gridCol w:w="1587"/>
        <w:gridCol w:w="3628"/>
        <w:gridCol w:w="1814"/>
        <w:gridCol w:w="1644"/>
      </w:tblGrid>
      <w:tr>
        <w:trPr>
          <w:cantSplit/>
          <w:tblHeader/>
        </w:trPr>
        <w:tc>
          <w:tcPr>
            <w:tcW w:type="dxa" w:w="737"/>
          </w:tcPr>
          <w:p>
            <w:pPr>
              <w:spacing w:after="0"/>
              <w:jc w:val="center"/>
            </w:pPr>
            <w:r>
              <w:rPr>
                <w:b/>
              </w:rPr>
            </w:r>
            <w:r>
              <w:rPr>
                <w:b/>
                <w:sz w:val="17"/>
              </w:rPr>
              <w:t>Year</w:t>
            </w:r>
          </w:p>
        </w:tc>
        <w:tc>
          <w:tcPr>
            <w:tcW w:type="dxa" w:w="1587"/>
          </w:tcPr>
          <w:p>
            <w:pPr>
              <w:spacing w:after="0"/>
              <w:jc w:val="right"/>
            </w:pPr>
            <w:r>
              <w:rPr>
                <w:b/>
              </w:rPr>
            </w:r>
            <w:r>
              <w:rPr>
                <w:b/>
                <w:sz w:val="17"/>
              </w:rPr>
              <w:t>TWDV b/f</w:t>
            </w:r>
          </w:p>
        </w:tc>
        <w:tc>
          <w:tcPr>
            <w:tcW w:type="dxa" w:w="3628"/>
          </w:tcPr>
          <w:p>
            <w:pPr>
              <w:spacing w:after="0"/>
            </w:pPr>
            <w:r>
              <w:rPr>
                <w:b/>
              </w:rPr>
            </w:r>
            <w:r>
              <w:rPr>
                <w:b/>
                <w:sz w:val="17"/>
              </w:rPr>
              <w:t>TAD / balancing adjustment</w:t>
            </w:r>
          </w:p>
        </w:tc>
        <w:tc>
          <w:tcPr>
            <w:tcW w:type="dxa" w:w="1814"/>
          </w:tcPr>
          <w:p>
            <w:pPr>
              <w:spacing w:after="0"/>
              <w:jc w:val="right"/>
            </w:pPr>
            <w:r>
              <w:rPr>
                <w:b/>
              </w:rPr>
            </w:r>
            <w:r>
              <w:rPr>
                <w:b/>
                <w:sz w:val="17"/>
              </w:rPr>
              <w:t>Tax benefit at 25%</w:t>
            </w:r>
          </w:p>
        </w:tc>
        <w:tc>
          <w:tcPr>
            <w:tcW w:type="dxa" w:w="1644"/>
          </w:tcPr>
          <w:p>
            <w:pPr>
              <w:spacing w:after="0"/>
              <w:jc w:val="center"/>
            </w:pPr>
            <w:r>
              <w:rPr>
                <w:b/>
              </w:rPr>
            </w:r>
            <w:r>
              <w:rPr>
                <w:b/>
                <w:sz w:val="17"/>
              </w:rPr>
              <w:t>Year received</w:t>
            </w:r>
          </w:p>
        </w:tc>
      </w:tr>
      <w:tr>
        <w:trPr>
          <w:cantSplit/>
        </w:trPr>
        <w:tc>
          <w:tcPr>
            <w:tcW w:type="dxa" w:w="737"/>
          </w:tcPr>
          <w:p>
            <w:pPr>
              <w:spacing w:after="0"/>
              <w:jc w:val="center"/>
            </w:pPr>
            <w:r/>
            <w:r>
              <w:rPr>
                <w:sz w:val="17"/>
              </w:rPr>
              <w:t>1</w:t>
            </w:r>
          </w:p>
        </w:tc>
        <w:tc>
          <w:tcPr>
            <w:tcW w:type="dxa" w:w="1587"/>
          </w:tcPr>
          <w:p>
            <w:pPr>
              <w:spacing w:after="0"/>
              <w:jc w:val="right"/>
            </w:pPr>
            <w:r/>
            <w:r>
              <w:rPr>
                <w:sz w:val="17"/>
              </w:rPr>
              <w:t>2,900,000</w:t>
            </w:r>
          </w:p>
        </w:tc>
        <w:tc>
          <w:tcPr>
            <w:tcW w:type="dxa" w:w="3628"/>
          </w:tcPr>
          <w:p>
            <w:pPr>
              <w:spacing w:after="0"/>
            </w:pPr>
            <w:r/>
            <w:r>
              <w:rPr>
                <w:sz w:val="17"/>
              </w:rPr>
              <w:t>725,000</w:t>
            </w:r>
          </w:p>
        </w:tc>
        <w:tc>
          <w:tcPr>
            <w:tcW w:type="dxa" w:w="1814"/>
          </w:tcPr>
          <w:p>
            <w:pPr>
              <w:spacing w:after="0"/>
              <w:jc w:val="right"/>
            </w:pPr>
            <w:r/>
            <w:r>
              <w:rPr>
                <w:sz w:val="17"/>
              </w:rPr>
              <w:t>181,250</w:t>
            </w:r>
          </w:p>
        </w:tc>
        <w:tc>
          <w:tcPr>
            <w:tcW w:type="dxa" w:w="1644"/>
          </w:tcPr>
          <w:p>
            <w:pPr>
              <w:spacing w:after="0"/>
              <w:jc w:val="center"/>
            </w:pPr>
            <w:r/>
            <w:r>
              <w:rPr>
                <w:sz w:val="17"/>
              </w:rPr>
              <w:t>2</w:t>
            </w:r>
          </w:p>
        </w:tc>
      </w:tr>
      <w:tr>
        <w:trPr>
          <w:cantSplit/>
        </w:trPr>
        <w:tc>
          <w:tcPr>
            <w:tcW w:type="dxa" w:w="737"/>
          </w:tcPr>
          <w:p>
            <w:pPr>
              <w:spacing w:after="0"/>
              <w:jc w:val="center"/>
            </w:pPr>
            <w:r/>
            <w:r>
              <w:rPr>
                <w:sz w:val="17"/>
              </w:rPr>
              <w:t>2</w:t>
            </w:r>
          </w:p>
        </w:tc>
        <w:tc>
          <w:tcPr>
            <w:tcW w:type="dxa" w:w="1587"/>
          </w:tcPr>
          <w:p>
            <w:pPr>
              <w:spacing w:after="0"/>
              <w:jc w:val="right"/>
            </w:pPr>
            <w:r/>
            <w:r>
              <w:rPr>
                <w:sz w:val="17"/>
              </w:rPr>
              <w:t>2,175,000</w:t>
            </w:r>
          </w:p>
        </w:tc>
        <w:tc>
          <w:tcPr>
            <w:tcW w:type="dxa" w:w="3628"/>
          </w:tcPr>
          <w:p>
            <w:pPr>
              <w:spacing w:after="0"/>
            </w:pPr>
            <w:r/>
            <w:r>
              <w:rPr>
                <w:sz w:val="17"/>
              </w:rPr>
              <w:t>543,750</w:t>
            </w:r>
          </w:p>
        </w:tc>
        <w:tc>
          <w:tcPr>
            <w:tcW w:type="dxa" w:w="1814"/>
          </w:tcPr>
          <w:p>
            <w:pPr>
              <w:spacing w:after="0"/>
              <w:jc w:val="right"/>
            </w:pPr>
            <w:r/>
            <w:r>
              <w:rPr>
                <w:sz w:val="17"/>
              </w:rPr>
              <w:t>135,938</w:t>
            </w:r>
          </w:p>
        </w:tc>
        <w:tc>
          <w:tcPr>
            <w:tcW w:type="dxa" w:w="1644"/>
          </w:tcPr>
          <w:p>
            <w:pPr>
              <w:spacing w:after="0"/>
              <w:jc w:val="center"/>
            </w:pPr>
            <w:r/>
            <w:r>
              <w:rPr>
                <w:sz w:val="17"/>
              </w:rPr>
              <w:t>3</w:t>
            </w:r>
          </w:p>
        </w:tc>
      </w:tr>
      <w:tr>
        <w:trPr>
          <w:cantSplit/>
        </w:trPr>
        <w:tc>
          <w:tcPr>
            <w:tcW w:type="dxa" w:w="737"/>
          </w:tcPr>
          <w:p>
            <w:pPr>
              <w:spacing w:after="0"/>
              <w:jc w:val="center"/>
            </w:pPr>
            <w:r/>
            <w:r>
              <w:rPr>
                <w:sz w:val="17"/>
              </w:rPr>
              <w:t>3</w:t>
            </w:r>
          </w:p>
        </w:tc>
        <w:tc>
          <w:tcPr>
            <w:tcW w:type="dxa" w:w="1587"/>
          </w:tcPr>
          <w:p>
            <w:pPr>
              <w:spacing w:after="0"/>
              <w:jc w:val="right"/>
            </w:pPr>
            <w:r/>
            <w:r>
              <w:rPr>
                <w:sz w:val="17"/>
              </w:rPr>
              <w:t>1,631,250</w:t>
            </w:r>
          </w:p>
        </w:tc>
        <w:tc>
          <w:tcPr>
            <w:tcW w:type="dxa" w:w="3628"/>
          </w:tcPr>
          <w:p>
            <w:pPr>
              <w:spacing w:after="0"/>
            </w:pPr>
            <w:r/>
            <w:r>
              <w:rPr>
                <w:sz w:val="17"/>
              </w:rPr>
              <w:t>407,812</w:t>
            </w:r>
          </w:p>
        </w:tc>
        <w:tc>
          <w:tcPr>
            <w:tcW w:type="dxa" w:w="1814"/>
          </w:tcPr>
          <w:p>
            <w:pPr>
              <w:spacing w:after="0"/>
              <w:jc w:val="right"/>
            </w:pPr>
            <w:r/>
            <w:r>
              <w:rPr>
                <w:sz w:val="17"/>
              </w:rPr>
              <w:t>101,953</w:t>
            </w:r>
          </w:p>
        </w:tc>
        <w:tc>
          <w:tcPr>
            <w:tcW w:type="dxa" w:w="1644"/>
          </w:tcPr>
          <w:p>
            <w:pPr>
              <w:spacing w:after="0"/>
              <w:jc w:val="center"/>
            </w:pPr>
            <w:r/>
            <w:r>
              <w:rPr>
                <w:sz w:val="17"/>
              </w:rPr>
              <w:t>4</w:t>
            </w:r>
          </w:p>
        </w:tc>
      </w:tr>
      <w:tr>
        <w:trPr>
          <w:cantSplit/>
        </w:trPr>
        <w:tc>
          <w:tcPr>
            <w:tcW w:type="dxa" w:w="737"/>
          </w:tcPr>
          <w:p>
            <w:pPr>
              <w:spacing w:after="0"/>
              <w:jc w:val="center"/>
            </w:pPr>
            <w:r/>
            <w:r>
              <w:rPr>
                <w:sz w:val="17"/>
              </w:rPr>
              <w:t>4</w:t>
            </w:r>
          </w:p>
        </w:tc>
        <w:tc>
          <w:tcPr>
            <w:tcW w:type="dxa" w:w="1587"/>
          </w:tcPr>
          <w:p>
            <w:pPr>
              <w:spacing w:after="0"/>
              <w:jc w:val="right"/>
            </w:pPr>
            <w:r/>
            <w:r>
              <w:rPr>
                <w:sz w:val="17"/>
              </w:rPr>
              <w:t>1,223,438</w:t>
            </w:r>
          </w:p>
        </w:tc>
        <w:tc>
          <w:tcPr>
            <w:tcW w:type="dxa" w:w="3628"/>
          </w:tcPr>
          <w:p>
            <w:pPr>
              <w:spacing w:after="0"/>
            </w:pPr>
            <w:r/>
            <w:r>
              <w:rPr>
                <w:sz w:val="17"/>
              </w:rPr>
              <w:t>923,438 (balancing allowance: 1,223,438 − 300,000)</w:t>
            </w:r>
          </w:p>
        </w:tc>
        <w:tc>
          <w:tcPr>
            <w:tcW w:type="dxa" w:w="1814"/>
          </w:tcPr>
          <w:p>
            <w:pPr>
              <w:spacing w:after="0"/>
              <w:jc w:val="right"/>
            </w:pPr>
            <w:r/>
            <w:r>
              <w:rPr>
                <w:sz w:val="17"/>
              </w:rPr>
              <w:t>230,860</w:t>
            </w:r>
          </w:p>
        </w:tc>
        <w:tc>
          <w:tcPr>
            <w:tcW w:type="dxa" w:w="1644"/>
          </w:tcPr>
          <w:p>
            <w:pPr>
              <w:spacing w:after="0"/>
              <w:jc w:val="center"/>
            </w:pPr>
            <w:r/>
            <w:r>
              <w:rPr>
                <w:sz w:val="17"/>
              </w:rPr>
              <w:t>5</w:t>
            </w:r>
          </w:p>
        </w:tc>
      </w:tr>
    </w:tbl>
    <w:p>
      <w:pPr>
        <w:spacing w:after="160"/>
      </w:pPr>
    </w:p>
    <w:p>
      <w:pPr>
        <w:keepNext w:val="0"/>
        <w:spacing w:after="80" w:before="0"/>
      </w:pPr>
      <w:r>
        <w:rPr>
          <w:sz w:val="18"/>
        </w:rPr>
        <w:t>Check: total allowances = 2,900,000 − 300,000 = 2,600,000. No 25% writing-down allowance is claimed in Year 4; the balancing allowance replaces it.</w:t>
      </w:r>
    </w:p>
    <w:tbl>
      <w:tblPr>
        <w:tblStyle w:val="TableGrid"/>
        <w:tblW w:type="auto" w:w="0"/>
        <w:jc w:val="center"/>
        <w:tblLayout w:type="fixed"/>
        <w:tblLook w:firstColumn="1" w:firstRow="1" w:lastColumn="0" w:lastRow="0" w:noHBand="0" w:noVBand="1" w:val="04A0"/>
      </w:tblPr>
      <w:tblGrid>
        <w:gridCol w:w="3175"/>
        <w:gridCol w:w="1247"/>
        <w:gridCol w:w="1247"/>
        <w:gridCol w:w="1247"/>
        <w:gridCol w:w="1247"/>
        <w:gridCol w:w="1247"/>
      </w:tblGrid>
      <w:tr>
        <w:trPr>
          <w:cantSplit/>
          <w:tblHeader/>
        </w:trPr>
        <w:tc>
          <w:tcPr>
            <w:tcW w:type="dxa" w:w="3175"/>
          </w:tcPr>
          <w:p>
            <w:pPr>
              <w:spacing w:after="0"/>
            </w:pPr>
            <w:r>
              <w:rPr>
                <w:b/>
              </w:rPr>
            </w:r>
            <w:r>
              <w:rPr>
                <w:b/>
                <w:sz w:val="17"/>
              </w:rPr>
              <w:t>Year</w:t>
            </w:r>
          </w:p>
        </w:tc>
        <w:tc>
          <w:tcPr>
            <w:tcW w:type="dxa" w:w="1247"/>
          </w:tcPr>
          <w:p>
            <w:pPr>
              <w:spacing w:after="0"/>
              <w:jc w:val="right"/>
            </w:pPr>
            <w:r>
              <w:rPr>
                <w:b/>
              </w:rPr>
            </w:r>
            <w:r>
              <w:rPr>
                <w:b/>
                <w:sz w:val="17"/>
              </w:rPr>
              <w:t>0</w:t>
            </w:r>
          </w:p>
        </w:tc>
        <w:tc>
          <w:tcPr>
            <w:tcW w:type="dxa" w:w="1247"/>
          </w:tcPr>
          <w:p>
            <w:pPr>
              <w:spacing w:after="0"/>
              <w:jc w:val="right"/>
            </w:pPr>
            <w:r>
              <w:rPr>
                <w:b/>
              </w:rPr>
            </w:r>
            <w:r>
              <w:rPr>
                <w:b/>
                <w:sz w:val="17"/>
              </w:rPr>
              <w:t>1</w:t>
            </w:r>
          </w:p>
        </w:tc>
        <w:tc>
          <w:tcPr>
            <w:tcW w:type="dxa" w:w="1247"/>
          </w:tcPr>
          <w:p>
            <w:pPr>
              <w:spacing w:after="0"/>
              <w:jc w:val="right"/>
            </w:pPr>
            <w:r>
              <w:rPr>
                <w:b/>
              </w:rPr>
            </w:r>
            <w:r>
              <w:rPr>
                <w:b/>
                <w:sz w:val="17"/>
              </w:rPr>
              <w:t>2</w:t>
            </w:r>
          </w:p>
        </w:tc>
        <w:tc>
          <w:tcPr>
            <w:tcW w:type="dxa" w:w="1247"/>
          </w:tcPr>
          <w:p>
            <w:pPr>
              <w:spacing w:after="0"/>
              <w:jc w:val="right"/>
            </w:pPr>
            <w:r>
              <w:rPr>
                <w:b/>
              </w:rPr>
            </w:r>
            <w:r>
              <w:rPr>
                <w:b/>
                <w:sz w:val="17"/>
              </w:rPr>
              <w:t>3</w:t>
            </w:r>
          </w:p>
        </w:tc>
        <w:tc>
          <w:tcPr>
            <w:tcW w:type="dxa" w:w="1247"/>
          </w:tcPr>
          <w:p>
            <w:pPr>
              <w:spacing w:after="0"/>
              <w:jc w:val="right"/>
            </w:pPr>
            <w:r>
              <w:rPr>
                <w:b/>
              </w:rPr>
            </w:r>
            <w:r>
              <w:rPr>
                <w:b/>
                <w:sz w:val="17"/>
              </w:rPr>
              <w:t>4</w:t>
            </w:r>
          </w:p>
        </w:tc>
      </w:tr>
      <w:tr>
        <w:trPr>
          <w:cantSplit/>
        </w:trPr>
        <w:tc>
          <w:tcPr>
            <w:tcW w:type="dxa" w:w="3175"/>
          </w:tcPr>
          <w:p>
            <w:pPr>
              <w:spacing w:after="0"/>
            </w:pPr>
            <w:r/>
            <w:r>
              <w:rPr>
                <w:sz w:val="17"/>
              </w:rPr>
              <w:t>Working capital held (10% of the coming year's sales)</w:t>
            </w:r>
          </w:p>
        </w:tc>
        <w:tc>
          <w:tcPr>
            <w:tcW w:type="dxa" w:w="1247"/>
          </w:tcPr>
          <w:p>
            <w:pPr>
              <w:spacing w:after="0"/>
              <w:jc w:val="right"/>
            </w:pPr>
            <w:r/>
            <w:r>
              <w:rPr>
                <w:sz w:val="17"/>
              </w:rPr>
              <w:t>296,640</w:t>
            </w:r>
          </w:p>
        </w:tc>
        <w:tc>
          <w:tcPr>
            <w:tcW w:type="dxa" w:w="1247"/>
          </w:tcPr>
          <w:p>
            <w:pPr>
              <w:spacing w:after="0"/>
              <w:jc w:val="right"/>
            </w:pPr>
            <w:r/>
            <w:r>
              <w:rPr>
                <w:sz w:val="17"/>
              </w:rPr>
              <w:t>432,847</w:t>
            </w:r>
          </w:p>
        </w:tc>
        <w:tc>
          <w:tcPr>
            <w:tcW w:type="dxa" w:w="1247"/>
          </w:tcPr>
          <w:p>
            <w:pPr>
              <w:spacing w:after="0"/>
              <w:jc w:val="right"/>
            </w:pPr>
            <w:r/>
            <w:r>
              <w:rPr>
                <w:sz w:val="17"/>
              </w:rPr>
              <w:t>498,284</w:t>
            </w:r>
          </w:p>
        </w:tc>
        <w:tc>
          <w:tcPr>
            <w:tcW w:type="dxa" w:w="1247"/>
          </w:tcPr>
          <w:p>
            <w:pPr>
              <w:spacing w:after="0"/>
              <w:jc w:val="right"/>
            </w:pPr>
            <w:r/>
            <w:r>
              <w:rPr>
                <w:sz w:val="17"/>
              </w:rPr>
              <w:t>378,171</w:t>
            </w:r>
          </w:p>
        </w:tc>
        <w:tc>
          <w:tcPr>
            <w:tcW w:type="dxa" w:w="1247"/>
          </w:tcPr>
          <w:p>
            <w:pPr>
              <w:spacing w:after="0"/>
              <w:jc w:val="right"/>
            </w:pPr>
            <w:r/>
            <w:r>
              <w:rPr>
                <w:sz w:val="17"/>
              </w:rPr>
              <w:t>nil</w:t>
            </w:r>
          </w:p>
        </w:tc>
      </w:tr>
      <w:tr>
        <w:trPr>
          <w:cantSplit/>
        </w:trPr>
        <w:tc>
          <w:tcPr>
            <w:tcW w:type="dxa" w:w="3175"/>
          </w:tcPr>
          <w:p>
            <w:pPr>
              <w:spacing w:after="0"/>
            </w:pPr>
            <w:r/>
            <w:r>
              <w:rPr>
                <w:sz w:val="17"/>
              </w:rPr>
              <w:t>Cash flow (increase)/release</w:t>
            </w:r>
          </w:p>
        </w:tc>
        <w:tc>
          <w:tcPr>
            <w:tcW w:type="dxa" w:w="1247"/>
          </w:tcPr>
          <w:p>
            <w:pPr>
              <w:spacing w:after="0"/>
              <w:jc w:val="right"/>
            </w:pPr>
            <w:r/>
            <w:r>
              <w:rPr>
                <w:sz w:val="17"/>
              </w:rPr>
              <w:t>(296,640)</w:t>
            </w:r>
          </w:p>
        </w:tc>
        <w:tc>
          <w:tcPr>
            <w:tcW w:type="dxa" w:w="1247"/>
          </w:tcPr>
          <w:p>
            <w:pPr>
              <w:spacing w:after="0"/>
              <w:jc w:val="right"/>
            </w:pPr>
            <w:r/>
            <w:r>
              <w:rPr>
                <w:sz w:val="17"/>
              </w:rPr>
              <w:t>(136,207)</w:t>
            </w:r>
          </w:p>
        </w:tc>
        <w:tc>
          <w:tcPr>
            <w:tcW w:type="dxa" w:w="1247"/>
          </w:tcPr>
          <w:p>
            <w:pPr>
              <w:spacing w:after="0"/>
              <w:jc w:val="right"/>
            </w:pPr>
            <w:r/>
            <w:r>
              <w:rPr>
                <w:sz w:val="17"/>
              </w:rPr>
              <w:t>(65,437)</w:t>
            </w:r>
          </w:p>
        </w:tc>
        <w:tc>
          <w:tcPr>
            <w:tcW w:type="dxa" w:w="1247"/>
          </w:tcPr>
          <w:p>
            <w:pPr>
              <w:spacing w:after="0"/>
              <w:jc w:val="right"/>
            </w:pPr>
            <w:r/>
            <w:r>
              <w:rPr>
                <w:sz w:val="17"/>
              </w:rPr>
              <w:t>120,113</w:t>
            </w:r>
          </w:p>
        </w:tc>
        <w:tc>
          <w:tcPr>
            <w:tcW w:type="dxa" w:w="1247"/>
          </w:tcPr>
          <w:p>
            <w:pPr>
              <w:spacing w:after="0"/>
              <w:jc w:val="right"/>
            </w:pPr>
            <w:r/>
            <w:r>
              <w:rPr>
                <w:sz w:val="17"/>
              </w:rPr>
              <w:t>378,171</w:t>
            </w:r>
          </w:p>
        </w:tc>
      </w:tr>
    </w:tbl>
    <w:p>
      <w:pPr>
        <w:spacing w:after="160"/>
      </w:pPr>
    </w:p>
    <w:p>
      <w:pPr>
        <w:keepNext/>
        <w:spacing w:after="80" w:before="0"/>
      </w:pPr>
      <w:r>
        <w:rPr>
          <w:b/>
        </w:rPr>
        <w:t>Irrelevant items excluded:</w:t>
      </w:r>
    </w:p>
    <w:p>
      <w:pPr>
        <w:pStyle w:val="ListBullet"/>
        <w:spacing w:after="40"/>
      </w:pPr>
      <w:r>
        <w:rPr/>
        <w:t xml:space="preserve">Market research of $75,000 is a </w:t>
      </w:r>
      <w:r>
        <w:rPr>
          <w:b/>
        </w:rPr>
        <w:t>sunk cost</w:t>
      </w:r>
      <w:r>
        <w:rPr/>
        <w:t>. It has already been paid, so the decision does not change it.</w:t>
      </w:r>
    </w:p>
    <w:p>
      <w:pPr>
        <w:pStyle w:val="ListBullet"/>
        <w:spacing w:after="40"/>
      </w:pPr>
      <w:r>
        <w:rPr/>
        <w:t xml:space="preserve">Head office overheads of $90,000 are </w:t>
      </w:r>
      <w:r>
        <w:rPr>
          <w:b/>
        </w:rPr>
        <w:t>not incremental</w:t>
      </w:r>
      <w:r>
        <w:rPr/>
        <w:t>: they are incurred whether or not the project goes ahead. Including them (inflated at 4%) would reduce the NPV to $(85,036), which is why the draft appraisal wrongly showed a negative result.</w:t>
      </w:r>
    </w:p>
    <w:p>
      <w:pPr>
        <w:keepNext/>
        <w:spacing w:after="80" w:before="120"/>
      </w:pPr>
      <w:r>
        <w:rPr>
          <w:b/>
        </w:rPr>
        <w:t>Marking guide (14 marks)</w:t>
      </w:r>
    </w:p>
    <w:tbl>
      <w:tblPr>
        <w:tblStyle w:val="TableGrid"/>
        <w:tblW w:type="auto" w:w="0"/>
        <w:jc w:val="center"/>
        <w:tblLayout w:type="fixed"/>
        <w:tblLook w:firstColumn="1" w:firstRow="1" w:lastColumn="0" w:lastRow="0" w:noHBand="0" w:noVBand="1" w:val="04A0"/>
      </w:tblPr>
      <w:tblGrid>
        <w:gridCol w:w="7994"/>
        <w:gridCol w:w="1417"/>
      </w:tblGrid>
      <w:tr>
        <w:trPr>
          <w:cantSplit/>
          <w:tblHeader/>
        </w:trPr>
        <w:tc>
          <w:tcPr>
            <w:tcW w:type="dxa" w:w="7994"/>
          </w:tcPr>
          <w:p>
            <w:pPr>
              <w:spacing w:after="0"/>
            </w:pPr>
            <w:r>
              <w:rPr>
                <w:b/>
              </w:rPr>
            </w:r>
            <w:r>
              <w:rPr>
                <w:b/>
                <w:sz w:val="19"/>
              </w:rPr>
              <w:t>Item</w:t>
            </w:r>
          </w:p>
        </w:tc>
        <w:tc>
          <w:tcPr>
            <w:tcW w:type="dxa" w:w="1417"/>
          </w:tcPr>
          <w:p>
            <w:pPr>
              <w:spacing w:after="0"/>
              <w:jc w:val="center"/>
            </w:pPr>
            <w:r>
              <w:rPr>
                <w:b/>
              </w:rPr>
            </w:r>
            <w:r>
              <w:rPr>
                <w:b/>
                <w:sz w:val="19"/>
              </w:rPr>
              <w:t>Marks</w:t>
            </w:r>
          </w:p>
        </w:tc>
      </w:tr>
      <w:tr>
        <w:trPr>
          <w:cantSplit/>
        </w:trPr>
        <w:tc>
          <w:tcPr>
            <w:tcW w:type="dxa" w:w="7994"/>
          </w:tcPr>
          <w:p>
            <w:pPr>
              <w:spacing w:after="0"/>
            </w:pPr>
            <w:r/>
            <w:r>
              <w:rPr>
                <w:sz w:val="19"/>
              </w:rPr>
              <w:t>Inflated selling price and sales revenue</w:t>
            </w:r>
          </w:p>
        </w:tc>
        <w:tc>
          <w:tcPr>
            <w:tcW w:type="dxa" w:w="1417"/>
          </w:tcPr>
          <w:p>
            <w:pPr>
              <w:spacing w:after="0"/>
              <w:jc w:val="center"/>
            </w:pPr>
            <w:r/>
            <w:r>
              <w:rPr>
                <w:sz w:val="19"/>
              </w:rPr>
              <w:t>2</w:t>
            </w:r>
          </w:p>
        </w:tc>
      </w:tr>
      <w:tr>
        <w:trPr>
          <w:cantSplit/>
        </w:trPr>
        <w:tc>
          <w:tcPr>
            <w:tcW w:type="dxa" w:w="7994"/>
          </w:tcPr>
          <w:p>
            <w:pPr>
              <w:spacing w:after="0"/>
            </w:pPr>
            <w:r/>
            <w:r>
              <w:rPr>
                <w:sz w:val="19"/>
              </w:rPr>
              <w:t>Inflated variable costs</w:t>
            </w:r>
          </w:p>
        </w:tc>
        <w:tc>
          <w:tcPr>
            <w:tcW w:type="dxa" w:w="1417"/>
          </w:tcPr>
          <w:p>
            <w:pPr>
              <w:spacing w:after="0"/>
              <w:jc w:val="center"/>
            </w:pPr>
            <w:r/>
            <w:r>
              <w:rPr>
                <w:sz w:val="19"/>
              </w:rPr>
              <w:t>1</w:t>
            </w:r>
          </w:p>
        </w:tc>
      </w:tr>
      <w:tr>
        <w:trPr>
          <w:cantSplit/>
        </w:trPr>
        <w:tc>
          <w:tcPr>
            <w:tcW w:type="dxa" w:w="7994"/>
          </w:tcPr>
          <w:p>
            <w:pPr>
              <w:spacing w:after="0"/>
            </w:pPr>
            <w:r/>
            <w:r>
              <w:rPr>
                <w:sz w:val="19"/>
              </w:rPr>
              <w:t>Inflated incremental fixed costs</w:t>
            </w:r>
          </w:p>
        </w:tc>
        <w:tc>
          <w:tcPr>
            <w:tcW w:type="dxa" w:w="1417"/>
          </w:tcPr>
          <w:p>
            <w:pPr>
              <w:spacing w:after="0"/>
              <w:jc w:val="center"/>
            </w:pPr>
            <w:r/>
            <w:r>
              <w:rPr>
                <w:sz w:val="19"/>
              </w:rPr>
              <w:t>1</w:t>
            </w:r>
          </w:p>
        </w:tc>
      </w:tr>
      <w:tr>
        <w:trPr>
          <w:cantSplit/>
        </w:trPr>
        <w:tc>
          <w:tcPr>
            <w:tcW w:type="dxa" w:w="7994"/>
          </w:tcPr>
          <w:p>
            <w:pPr>
              <w:spacing w:after="0"/>
            </w:pPr>
            <w:r/>
            <w:r>
              <w:rPr>
                <w:sz w:val="19"/>
              </w:rPr>
              <w:t>Exclusion of sunk cost and allocated overheads (with reasons)</w:t>
            </w:r>
          </w:p>
        </w:tc>
        <w:tc>
          <w:tcPr>
            <w:tcW w:type="dxa" w:w="1417"/>
          </w:tcPr>
          <w:p>
            <w:pPr>
              <w:spacing w:after="0"/>
              <w:jc w:val="center"/>
            </w:pPr>
            <w:r/>
            <w:r>
              <w:rPr>
                <w:sz w:val="19"/>
              </w:rPr>
              <w:t>1</w:t>
            </w:r>
          </w:p>
        </w:tc>
      </w:tr>
      <w:tr>
        <w:trPr>
          <w:cantSplit/>
        </w:trPr>
        <w:tc>
          <w:tcPr>
            <w:tcW w:type="dxa" w:w="7994"/>
          </w:tcPr>
          <w:p>
            <w:pPr>
              <w:spacing w:after="0"/>
            </w:pPr>
            <w:r/>
            <w:r>
              <w:rPr>
                <w:sz w:val="19"/>
              </w:rPr>
              <w:t>Tax on operating cash flows, one year in arrears</w:t>
            </w:r>
          </w:p>
        </w:tc>
        <w:tc>
          <w:tcPr>
            <w:tcW w:type="dxa" w:w="1417"/>
          </w:tcPr>
          <w:p>
            <w:pPr>
              <w:spacing w:after="0"/>
              <w:jc w:val="center"/>
            </w:pPr>
            <w:r/>
            <w:r>
              <w:rPr>
                <w:sz w:val="19"/>
              </w:rPr>
              <w:t>1</w:t>
            </w:r>
          </w:p>
        </w:tc>
      </w:tr>
      <w:tr>
        <w:trPr>
          <w:cantSplit/>
        </w:trPr>
        <w:tc>
          <w:tcPr>
            <w:tcW w:type="dxa" w:w="7994"/>
          </w:tcPr>
          <w:p>
            <w:pPr>
              <w:spacing w:after="0"/>
            </w:pPr>
            <w:r/>
            <w:r>
              <w:rPr>
                <w:sz w:val="19"/>
              </w:rPr>
              <w:t>Tax-allowable depreciation, Years 1 to 3</w:t>
            </w:r>
          </w:p>
        </w:tc>
        <w:tc>
          <w:tcPr>
            <w:tcW w:type="dxa" w:w="1417"/>
          </w:tcPr>
          <w:p>
            <w:pPr>
              <w:spacing w:after="0"/>
              <w:jc w:val="center"/>
            </w:pPr>
            <w:r/>
            <w:r>
              <w:rPr>
                <w:sz w:val="19"/>
              </w:rPr>
              <w:t>2</w:t>
            </w:r>
          </w:p>
        </w:tc>
      </w:tr>
      <w:tr>
        <w:trPr>
          <w:cantSplit/>
        </w:trPr>
        <w:tc>
          <w:tcPr>
            <w:tcW w:type="dxa" w:w="7994"/>
          </w:tcPr>
          <w:p>
            <w:pPr>
              <w:spacing w:after="0"/>
            </w:pPr>
            <w:r/>
            <w:r>
              <w:rPr>
                <w:sz w:val="19"/>
              </w:rPr>
              <w:t>Balancing allowance and its tax effect</w:t>
            </w:r>
          </w:p>
        </w:tc>
        <w:tc>
          <w:tcPr>
            <w:tcW w:type="dxa" w:w="1417"/>
          </w:tcPr>
          <w:p>
            <w:pPr>
              <w:spacing w:after="0"/>
              <w:jc w:val="center"/>
            </w:pPr>
            <w:r/>
            <w:r>
              <w:rPr>
                <w:sz w:val="19"/>
              </w:rPr>
              <w:t>1</w:t>
            </w:r>
          </w:p>
        </w:tc>
      </w:tr>
      <w:tr>
        <w:trPr>
          <w:cantSplit/>
        </w:trPr>
        <w:tc>
          <w:tcPr>
            <w:tcW w:type="dxa" w:w="7994"/>
          </w:tcPr>
          <w:p>
            <w:pPr>
              <w:spacing w:after="0"/>
            </w:pPr>
            <w:r/>
            <w:r>
              <w:rPr>
                <w:sz w:val="19"/>
              </w:rPr>
              <w:t>Timing of TAD tax benefits (one year in arrears)</w:t>
            </w:r>
          </w:p>
        </w:tc>
        <w:tc>
          <w:tcPr>
            <w:tcW w:type="dxa" w:w="1417"/>
          </w:tcPr>
          <w:p>
            <w:pPr>
              <w:spacing w:after="0"/>
              <w:jc w:val="center"/>
            </w:pPr>
            <w:r/>
            <w:r>
              <w:rPr>
                <w:sz w:val="19"/>
              </w:rPr>
              <w:t>1</w:t>
            </w:r>
          </w:p>
        </w:tc>
      </w:tr>
      <w:tr>
        <w:trPr>
          <w:cantSplit/>
        </w:trPr>
        <w:tc>
          <w:tcPr>
            <w:tcW w:type="dxa" w:w="7994"/>
          </w:tcPr>
          <w:p>
            <w:pPr>
              <w:spacing w:after="0"/>
            </w:pPr>
            <w:r/>
            <w:r>
              <w:rPr>
                <w:sz w:val="19"/>
              </w:rPr>
              <w:t>Working capital requirement and incremental flows</w:t>
            </w:r>
          </w:p>
        </w:tc>
        <w:tc>
          <w:tcPr>
            <w:tcW w:type="dxa" w:w="1417"/>
          </w:tcPr>
          <w:p>
            <w:pPr>
              <w:spacing w:after="0"/>
              <w:jc w:val="center"/>
            </w:pPr>
            <w:r/>
            <w:r>
              <w:rPr>
                <w:sz w:val="19"/>
              </w:rPr>
              <w:t>2</w:t>
            </w:r>
          </w:p>
        </w:tc>
      </w:tr>
      <w:tr>
        <w:trPr>
          <w:cantSplit/>
        </w:trPr>
        <w:tc>
          <w:tcPr>
            <w:tcW w:type="dxa" w:w="7994"/>
          </w:tcPr>
          <w:p>
            <w:pPr>
              <w:spacing w:after="0"/>
            </w:pPr>
            <w:r/>
            <w:r>
              <w:rPr>
                <w:sz w:val="19"/>
              </w:rPr>
              <w:t>Machinery cost and scrap value</w:t>
            </w:r>
          </w:p>
        </w:tc>
        <w:tc>
          <w:tcPr>
            <w:tcW w:type="dxa" w:w="1417"/>
          </w:tcPr>
          <w:p>
            <w:pPr>
              <w:spacing w:after="0"/>
              <w:jc w:val="center"/>
            </w:pPr>
            <w:r/>
            <w:r>
              <w:rPr>
                <w:sz w:val="19"/>
              </w:rPr>
              <w:t>1</w:t>
            </w:r>
          </w:p>
        </w:tc>
      </w:tr>
      <w:tr>
        <w:trPr>
          <w:cantSplit/>
        </w:trPr>
        <w:tc>
          <w:tcPr>
            <w:tcW w:type="dxa" w:w="7994"/>
          </w:tcPr>
          <w:p>
            <w:pPr>
              <w:spacing w:after="0"/>
            </w:pPr>
            <w:r/>
            <w:r>
              <w:rPr>
                <w:sz w:val="19"/>
              </w:rPr>
              <w:t>Discounting and NPV</w:t>
            </w:r>
          </w:p>
        </w:tc>
        <w:tc>
          <w:tcPr>
            <w:tcW w:type="dxa" w:w="1417"/>
          </w:tcPr>
          <w:p>
            <w:pPr>
              <w:spacing w:after="0"/>
              <w:jc w:val="center"/>
            </w:pPr>
            <w:r/>
            <w:r>
              <w:rPr>
                <w:sz w:val="19"/>
              </w:rPr>
              <w:t>1</w:t>
            </w:r>
          </w:p>
        </w:tc>
      </w:tr>
      <w:tr>
        <w:trPr>
          <w:cantSplit/>
        </w:trPr>
        <w:tc>
          <w:tcPr>
            <w:tcW w:type="dxa" w:w="7994"/>
          </w:tcPr>
          <w:p>
            <w:pPr>
              <w:spacing w:after="0"/>
            </w:pPr>
            <w:r/>
            <w:r>
              <w:rPr>
                <w:b/>
                <w:sz w:val="19"/>
              </w:rPr>
              <w:t>Total</w:t>
            </w:r>
          </w:p>
        </w:tc>
        <w:tc>
          <w:tcPr>
            <w:tcW w:type="dxa" w:w="1417"/>
          </w:tcPr>
          <w:p>
            <w:pPr>
              <w:spacing w:after="0"/>
              <w:jc w:val="center"/>
            </w:pPr>
            <w:r/>
            <w:r>
              <w:rPr>
                <w:b/>
                <w:sz w:val="19"/>
              </w:rPr>
              <w:t>14</w:t>
            </w:r>
          </w:p>
        </w:tc>
      </w:tr>
    </w:tbl>
    <w:p>
      <w:pPr>
        <w:spacing w:after="160"/>
      </w:pPr>
    </w:p>
    <w:p>
      <w:pPr>
        <w:keepNext/>
        <w:spacing w:after="80" w:before="120"/>
      </w:pPr>
      <w:r>
        <w:rPr>
          <w:b/>
        </w:rPr>
        <w:t>(b) Advice and risk assessment (6 marks)</w:t>
      </w:r>
    </w:p>
    <w:p>
      <w:pPr>
        <w:keepNext w:val="0"/>
        <w:spacing w:after="80" w:before="0"/>
      </w:pPr>
      <w:r>
        <w:rPr>
          <w:b/>
        </w:rPr>
        <w:t>Advice (up to 2 marks).</w:t>
      </w:r>
      <w:r>
        <w:rPr/>
        <w:t xml:space="preserve"> The revised NPV is positive at about $153,000, so the project is expected to increase shareholder wealth and should be accepted on financial grounds. The draft appraisal was wrong to include the $75,000 market research, which is a sunk cost, and the head office overhead allocation, which is not an incremental cash flow. Only future, incremental cash flows are relevant. The NPV is small relative to the $2.9m investment (about 5%), so the board should look carefully at how reliable the forecasts are before committing.</w:t>
      </w:r>
    </w:p>
    <w:p>
      <w:pPr>
        <w:keepNext w:val="0"/>
        <w:spacing w:after="80" w:before="0"/>
      </w:pPr>
      <w:r>
        <w:rPr>
          <w:b/>
        </w:rPr>
        <w:t>Sensitivity analysis (up to 2 marks).</w:t>
      </w:r>
      <w:r>
        <w:rPr/>
        <w:t xml:space="preserve"> This measures how far each key variable (selling price, volume, variable cost, fixed costs, cost of capital) could change before the NPV fell to zero. The sensitivity margin is NPV ÷ PV of the cash flows affected by that variable. Selling price is likely to be the most sensitive variable, because the PV of sales revenue is large compared with the NPV. That tells management where to concentrate forecasting and control effort. Its limitations are that it changes one variable at a time, ignores how likely each change is, and does not give a decision rule.</w:t>
      </w:r>
    </w:p>
    <w:p>
      <w:pPr>
        <w:keepNext w:val="0"/>
        <w:spacing w:after="80" w:before="0"/>
      </w:pPr>
      <w:r>
        <w:rPr>
          <w:b/>
        </w:rPr>
        <w:t>Probability analysis (up to 2 marks).</w:t>
      </w:r>
      <w:r>
        <w:rPr/>
        <w:t xml:space="preserve"> Probabilities could be assigned to different demand scenarios (for example low, expected and high volumes) to calculate an expected NPV and the probability of a negative NPV. That gives the board a measure of the risk of loss as well as the average expected return. However, the probabilities are subjective, and an expected value is a long-run average that is less meaningful for a one-off project of this size. Simulation could extend the analysis to allow several variables to change at the same time.</w:t>
      </w:r>
    </w:p>
    <w:p>
      <w:pPr>
        <w:pBdr>
          <w:bottom w:val="single" w:sz="8" w:space="1" w:color="000000"/>
        </w:pBdr>
        <w:spacing w:before="0" w:after="160"/>
      </w:pPr>
    </w:p>
    <w:p>
      <w:pPr>
        <w:pStyle w:val="Heading3"/>
        <w:pageBreakBefore/>
      </w:pPr>
      <w:r>
        <w:rPr>
          <w:color w:val="000000"/>
        </w:rPr>
        <w:t>Question 32: Calloway Hardware Co</w:t>
      </w:r>
    </w:p>
    <w:p>
      <w:pPr>
        <w:keepNext/>
        <w:spacing w:after="80" w:before="0"/>
      </w:pPr>
      <w:r>
        <w:rPr>
          <w:b/>
        </w:rPr>
        <w:t>(a) Working capital ratios (4 marks)</w:t>
      </w:r>
    </w:p>
    <w:tbl>
      <w:tblPr>
        <w:tblStyle w:val="TableGrid"/>
        <w:tblW w:type="auto" w:w="0"/>
        <w:jc w:val="center"/>
        <w:tblLayout w:type="fixed"/>
        <w:tblLook w:firstColumn="1" w:firstRow="1" w:lastColumn="0" w:lastRow="0" w:noHBand="0" w:noVBand="1" w:val="04A0"/>
      </w:tblPr>
      <w:tblGrid>
        <w:gridCol w:w="2041"/>
        <w:gridCol w:w="3628"/>
        <w:gridCol w:w="1814"/>
        <w:gridCol w:w="1928"/>
      </w:tblGrid>
      <w:tr>
        <w:trPr>
          <w:cantSplit/>
          <w:tblHeader/>
        </w:trPr>
        <w:tc>
          <w:tcPr>
            <w:tcW w:type="dxa" w:w="2041"/>
          </w:tcPr>
          <w:p>
            <w:pPr>
              <w:spacing w:after="0"/>
            </w:pPr>
            <w:r>
              <w:rPr>
                <w:b/>
              </w:rPr>
            </w:r>
            <w:r>
              <w:rPr>
                <w:b/>
                <w:sz w:val="18"/>
              </w:rPr>
              <w:t>Measure</w:t>
            </w:r>
          </w:p>
        </w:tc>
        <w:tc>
          <w:tcPr>
            <w:tcW w:type="dxa" w:w="3628"/>
          </w:tcPr>
          <w:p>
            <w:pPr>
              <w:spacing w:after="0"/>
            </w:pPr>
            <w:r>
              <w:rPr>
                <w:b/>
              </w:rPr>
            </w:r>
            <w:r>
              <w:rPr>
                <w:b/>
                <w:sz w:val="18"/>
              </w:rPr>
              <w:t>Calculation</w:t>
            </w:r>
          </w:p>
        </w:tc>
        <w:tc>
          <w:tcPr>
            <w:tcW w:type="dxa" w:w="1814"/>
          </w:tcPr>
          <w:p>
            <w:pPr>
              <w:spacing w:after="0"/>
              <w:jc w:val="center"/>
            </w:pPr>
            <w:r>
              <w:rPr>
                <w:b/>
              </w:rPr>
            </w:r>
            <w:r>
              <w:rPr>
                <w:b/>
                <w:sz w:val="18"/>
              </w:rPr>
              <w:t>Calloway</w:t>
            </w:r>
          </w:p>
        </w:tc>
        <w:tc>
          <w:tcPr>
            <w:tcW w:type="dxa" w:w="1928"/>
          </w:tcPr>
          <w:p>
            <w:pPr>
              <w:spacing w:after="0"/>
              <w:jc w:val="center"/>
            </w:pPr>
            <w:r>
              <w:rPr>
                <w:b/>
              </w:rPr>
            </w:r>
            <w:r>
              <w:rPr>
                <w:b/>
                <w:sz w:val="18"/>
              </w:rPr>
              <w:t>Sector</w:t>
            </w:r>
          </w:p>
        </w:tc>
      </w:tr>
      <w:tr>
        <w:trPr>
          <w:cantSplit/>
        </w:trPr>
        <w:tc>
          <w:tcPr>
            <w:tcW w:type="dxa" w:w="2041"/>
          </w:tcPr>
          <w:p>
            <w:pPr>
              <w:spacing w:after="0"/>
            </w:pPr>
            <w:r/>
            <w:r>
              <w:rPr>
                <w:sz w:val="18"/>
              </w:rPr>
              <w:t>Inventory days</w:t>
            </w:r>
          </w:p>
        </w:tc>
        <w:tc>
          <w:tcPr>
            <w:tcW w:type="dxa" w:w="3628"/>
          </w:tcPr>
          <w:p>
            <w:pPr>
              <w:spacing w:after="0"/>
            </w:pPr>
            <w:r/>
            <w:r>
              <w:rPr>
                <w:sz w:val="18"/>
              </w:rPr>
              <w:t>4.20 / 25.55 × 365</w:t>
            </w:r>
          </w:p>
        </w:tc>
        <w:tc>
          <w:tcPr>
            <w:tcW w:type="dxa" w:w="1814"/>
          </w:tcPr>
          <w:p>
            <w:pPr>
              <w:spacing w:after="0"/>
              <w:jc w:val="center"/>
            </w:pPr>
            <w:r/>
            <w:r>
              <w:rPr>
                <w:sz w:val="18"/>
              </w:rPr>
              <w:t>60 days</w:t>
            </w:r>
          </w:p>
        </w:tc>
        <w:tc>
          <w:tcPr>
            <w:tcW w:type="dxa" w:w="1928"/>
          </w:tcPr>
          <w:p>
            <w:pPr>
              <w:spacing w:after="0"/>
              <w:jc w:val="center"/>
            </w:pPr>
            <w:r/>
          </w:p>
        </w:tc>
      </w:tr>
      <w:tr>
        <w:trPr>
          <w:cantSplit/>
        </w:trPr>
        <w:tc>
          <w:tcPr>
            <w:tcW w:type="dxa" w:w="2041"/>
          </w:tcPr>
          <w:p>
            <w:pPr>
              <w:spacing w:after="0"/>
            </w:pPr>
            <w:r/>
            <w:r>
              <w:rPr>
                <w:sz w:val="18"/>
              </w:rPr>
              <w:t>Receivables days</w:t>
            </w:r>
          </w:p>
        </w:tc>
        <w:tc>
          <w:tcPr>
            <w:tcW w:type="dxa" w:w="3628"/>
          </w:tcPr>
          <w:p>
            <w:pPr>
              <w:spacing w:after="0"/>
            </w:pPr>
            <w:r/>
            <w:r>
              <w:rPr>
                <w:sz w:val="18"/>
              </w:rPr>
              <w:t>6.00 / 36.50 × 365</w:t>
            </w:r>
          </w:p>
        </w:tc>
        <w:tc>
          <w:tcPr>
            <w:tcW w:type="dxa" w:w="1814"/>
          </w:tcPr>
          <w:p>
            <w:pPr>
              <w:spacing w:after="0"/>
              <w:jc w:val="center"/>
            </w:pPr>
            <w:r/>
            <w:r>
              <w:rPr>
                <w:sz w:val="18"/>
              </w:rPr>
              <w:t>60 days</w:t>
            </w:r>
          </w:p>
        </w:tc>
        <w:tc>
          <w:tcPr>
            <w:tcW w:type="dxa" w:w="1928"/>
          </w:tcPr>
          <w:p>
            <w:pPr>
              <w:spacing w:after="0"/>
              <w:jc w:val="center"/>
            </w:pPr>
            <w:r/>
          </w:p>
        </w:tc>
      </w:tr>
      <w:tr>
        <w:trPr>
          <w:cantSplit/>
        </w:trPr>
        <w:tc>
          <w:tcPr>
            <w:tcW w:type="dxa" w:w="2041"/>
          </w:tcPr>
          <w:p>
            <w:pPr>
              <w:spacing w:after="0"/>
            </w:pPr>
            <w:r/>
            <w:r>
              <w:rPr>
                <w:sz w:val="18"/>
              </w:rPr>
              <w:t>Payables days</w:t>
            </w:r>
          </w:p>
        </w:tc>
        <w:tc>
          <w:tcPr>
            <w:tcW w:type="dxa" w:w="3628"/>
          </w:tcPr>
          <w:p>
            <w:pPr>
              <w:spacing w:after="0"/>
            </w:pPr>
            <w:r/>
            <w:r>
              <w:rPr>
                <w:sz w:val="18"/>
              </w:rPr>
              <w:t>3.50 / 25.55 × 365</w:t>
            </w:r>
          </w:p>
        </w:tc>
        <w:tc>
          <w:tcPr>
            <w:tcW w:type="dxa" w:w="1814"/>
          </w:tcPr>
          <w:p>
            <w:pPr>
              <w:spacing w:after="0"/>
              <w:jc w:val="center"/>
            </w:pPr>
            <w:r/>
            <w:r>
              <w:rPr>
                <w:sz w:val="18"/>
              </w:rPr>
              <w:t>(50) days</w:t>
            </w:r>
          </w:p>
        </w:tc>
        <w:tc>
          <w:tcPr>
            <w:tcW w:type="dxa" w:w="1928"/>
          </w:tcPr>
          <w:p>
            <w:pPr>
              <w:spacing w:after="0"/>
              <w:jc w:val="center"/>
            </w:pPr>
            <w:r/>
          </w:p>
        </w:tc>
      </w:tr>
      <w:tr>
        <w:trPr>
          <w:cantSplit/>
        </w:trPr>
        <w:tc>
          <w:tcPr>
            <w:tcW w:type="dxa" w:w="2041"/>
          </w:tcPr>
          <w:p>
            <w:pPr>
              <w:spacing w:after="0"/>
            </w:pPr>
            <w:r>
              <w:rPr>
                <w:b/>
              </w:rPr>
            </w:r>
            <w:r>
              <w:rPr>
                <w:b/>
                <w:sz w:val="18"/>
              </w:rPr>
              <w:t>Cash operating cycle</w:t>
            </w:r>
          </w:p>
        </w:tc>
        <w:tc>
          <w:tcPr>
            <w:tcW w:type="dxa" w:w="3628"/>
          </w:tcPr>
          <w:p>
            <w:pPr>
              <w:spacing w:after="0"/>
            </w:pPr>
            <w:r>
              <w:rPr>
                <w:b/>
              </w:rPr>
            </w:r>
          </w:p>
        </w:tc>
        <w:tc>
          <w:tcPr>
            <w:tcW w:type="dxa" w:w="1814"/>
          </w:tcPr>
          <w:p>
            <w:pPr>
              <w:spacing w:after="0"/>
              <w:jc w:val="center"/>
            </w:pPr>
            <w:r>
              <w:rPr>
                <w:b/>
              </w:rPr>
            </w:r>
            <w:r>
              <w:rPr>
                <w:b/>
                <w:sz w:val="18"/>
              </w:rPr>
              <w:t>70 days</w:t>
            </w:r>
          </w:p>
        </w:tc>
        <w:tc>
          <w:tcPr>
            <w:tcW w:type="dxa" w:w="1928"/>
          </w:tcPr>
          <w:p>
            <w:pPr>
              <w:spacing w:after="0"/>
              <w:jc w:val="center"/>
            </w:pPr>
            <w:r>
              <w:rPr>
                <w:b/>
              </w:rPr>
            </w:r>
            <w:r>
              <w:rPr>
                <w:b/>
                <w:sz w:val="18"/>
              </w:rPr>
              <w:t>45 days</w:t>
            </w:r>
          </w:p>
        </w:tc>
      </w:tr>
      <w:tr>
        <w:trPr>
          <w:cantSplit/>
        </w:trPr>
        <w:tc>
          <w:tcPr>
            <w:tcW w:type="dxa" w:w="2041"/>
          </w:tcPr>
          <w:p>
            <w:pPr>
              <w:spacing w:after="0"/>
            </w:pPr>
            <w:r/>
            <w:r>
              <w:rPr>
                <w:sz w:val="18"/>
              </w:rPr>
              <w:t>Current ratio</w:t>
            </w:r>
          </w:p>
        </w:tc>
        <w:tc>
          <w:tcPr>
            <w:tcW w:type="dxa" w:w="3628"/>
          </w:tcPr>
          <w:p>
            <w:pPr>
              <w:spacing w:after="0"/>
            </w:pPr>
            <w:r/>
            <w:r>
              <w:rPr>
                <w:sz w:val="18"/>
              </w:rPr>
              <w:t>(4.20 + 6.00) / (3.50 + 5.80)</w:t>
            </w:r>
          </w:p>
        </w:tc>
        <w:tc>
          <w:tcPr>
            <w:tcW w:type="dxa" w:w="1814"/>
          </w:tcPr>
          <w:p>
            <w:pPr>
              <w:spacing w:after="0"/>
              <w:jc w:val="center"/>
            </w:pPr>
            <w:r/>
            <w:r>
              <w:rPr>
                <w:sz w:val="18"/>
              </w:rPr>
              <w:t>1.10 times</w:t>
            </w:r>
          </w:p>
        </w:tc>
        <w:tc>
          <w:tcPr>
            <w:tcW w:type="dxa" w:w="1928"/>
          </w:tcPr>
          <w:p>
            <w:pPr>
              <w:spacing w:after="0"/>
              <w:jc w:val="center"/>
            </w:pPr>
            <w:r/>
            <w:r>
              <w:rPr>
                <w:sz w:val="18"/>
              </w:rPr>
              <w:t>1.50 times</w:t>
            </w:r>
          </w:p>
        </w:tc>
      </w:tr>
      <w:tr>
        <w:trPr>
          <w:cantSplit/>
        </w:trPr>
        <w:tc>
          <w:tcPr>
            <w:tcW w:type="dxa" w:w="2041"/>
          </w:tcPr>
          <w:p>
            <w:pPr>
              <w:spacing w:after="0"/>
            </w:pPr>
            <w:r/>
            <w:r>
              <w:rPr>
                <w:sz w:val="18"/>
              </w:rPr>
              <w:t>Quick ratio</w:t>
            </w:r>
          </w:p>
        </w:tc>
        <w:tc>
          <w:tcPr>
            <w:tcW w:type="dxa" w:w="3628"/>
          </w:tcPr>
          <w:p>
            <w:pPr>
              <w:spacing w:after="0"/>
            </w:pPr>
            <w:r/>
            <w:r>
              <w:rPr>
                <w:sz w:val="18"/>
              </w:rPr>
              <w:t>6.00 / (3.50 + 5.80)</w:t>
            </w:r>
          </w:p>
        </w:tc>
        <w:tc>
          <w:tcPr>
            <w:tcW w:type="dxa" w:w="1814"/>
          </w:tcPr>
          <w:p>
            <w:pPr>
              <w:spacing w:after="0"/>
              <w:jc w:val="center"/>
            </w:pPr>
            <w:r/>
            <w:r>
              <w:rPr>
                <w:sz w:val="18"/>
              </w:rPr>
              <w:t>0.65 times</w:t>
            </w:r>
          </w:p>
        </w:tc>
        <w:tc>
          <w:tcPr>
            <w:tcW w:type="dxa" w:w="1928"/>
          </w:tcPr>
          <w:p>
            <w:pPr>
              <w:spacing w:after="0"/>
              <w:jc w:val="center"/>
            </w:pPr>
            <w:r/>
            <w:r>
              <w:rPr>
                <w:sz w:val="18"/>
              </w:rPr>
              <w:t>0.90 times</w:t>
            </w:r>
          </w:p>
        </w:tc>
      </w:tr>
    </w:tbl>
    <w:p>
      <w:pPr>
        <w:spacing w:after="160"/>
      </w:pPr>
    </w:p>
    <w:p>
      <w:pPr>
        <w:keepNext w:val="0"/>
        <w:spacing w:after="80" w:before="0"/>
      </w:pPr>
      <w:r>
        <w:rPr/>
        <w:t>Calloway's cash operating cycle is 25 days longer than the sector's, mainly because of long inventory and receivables periods. Both liquidity ratios are well below the sector averages, which supports the bank's concern: current liabilities, including the overdraft, are only just covered by current assets.</w:t>
      </w:r>
    </w:p>
    <w:p>
      <w:pPr>
        <w:keepNext/>
        <w:spacing w:after="80" w:before="120"/>
      </w:pPr>
      <w:r>
        <w:rPr>
          <w:b/>
        </w:rPr>
        <w:t>(b) Evaluation of the factoring offer (8 marks)</w:t>
      </w:r>
    </w:p>
    <w:tbl>
      <w:tblPr>
        <w:tblStyle w:val="TableGrid"/>
        <w:tblW w:type="auto" w:w="0"/>
        <w:jc w:val="center"/>
        <w:tblLayout w:type="fixed"/>
        <w:tblLook w:firstColumn="1" w:firstRow="1" w:lastColumn="0" w:lastRow="0" w:noHBand="0" w:noVBand="1" w:val="04A0"/>
      </w:tblPr>
      <w:tblGrid>
        <w:gridCol w:w="3515"/>
        <w:gridCol w:w="1928"/>
        <w:gridCol w:w="3969"/>
      </w:tblGrid>
      <w:tr>
        <w:trPr>
          <w:cantSplit/>
          <w:tblHeader/>
        </w:trPr>
        <w:tc>
          <w:tcPr>
            <w:tcW w:type="dxa" w:w="3515"/>
          </w:tcPr>
          <w:p>
            <w:pPr>
              <w:spacing w:after="0"/>
            </w:pPr>
            <w:r>
              <w:rPr>
                <w:b/>
              </w:rPr>
            </w:r>
          </w:p>
        </w:tc>
        <w:tc>
          <w:tcPr>
            <w:tcW w:type="dxa" w:w="1928"/>
          </w:tcPr>
          <w:p>
            <w:pPr>
              <w:spacing w:after="0"/>
              <w:jc w:val="right"/>
            </w:pPr>
            <w:r>
              <w:rPr>
                <w:b/>
              </w:rPr>
            </w:r>
            <w:r>
              <w:rPr>
                <w:b/>
                <w:sz w:val="18"/>
              </w:rPr>
              <w:t>Current ($)</w:t>
            </w:r>
          </w:p>
        </w:tc>
        <w:tc>
          <w:tcPr>
            <w:tcW w:type="dxa" w:w="3969"/>
          </w:tcPr>
          <w:p>
            <w:pPr>
              <w:spacing w:after="0"/>
            </w:pPr>
            <w:r>
              <w:rPr>
                <w:b/>
              </w:rPr>
            </w:r>
            <w:r>
              <w:rPr>
                <w:b/>
                <w:sz w:val="18"/>
              </w:rPr>
              <w:t>With factor ($)</w:t>
            </w:r>
          </w:p>
        </w:tc>
      </w:tr>
      <w:tr>
        <w:trPr>
          <w:cantSplit/>
        </w:trPr>
        <w:tc>
          <w:tcPr>
            <w:tcW w:type="dxa" w:w="3515"/>
          </w:tcPr>
          <w:p>
            <w:pPr>
              <w:spacing w:after="0"/>
            </w:pPr>
            <w:r/>
            <w:r>
              <w:rPr>
                <w:sz w:val="18"/>
              </w:rPr>
              <w:t>Receivables balance</w:t>
            </w:r>
          </w:p>
        </w:tc>
        <w:tc>
          <w:tcPr>
            <w:tcW w:type="dxa" w:w="1928"/>
          </w:tcPr>
          <w:p>
            <w:pPr>
              <w:spacing w:after="0"/>
              <w:jc w:val="right"/>
            </w:pPr>
            <w:r/>
            <w:r>
              <w:rPr>
                <w:sz w:val="18"/>
              </w:rPr>
              <w:t>6,000,000</w:t>
            </w:r>
          </w:p>
        </w:tc>
        <w:tc>
          <w:tcPr>
            <w:tcW w:type="dxa" w:w="3969"/>
          </w:tcPr>
          <w:p>
            <w:pPr>
              <w:spacing w:after="0"/>
            </w:pPr>
            <w:r/>
            <w:r>
              <w:rPr>
                <w:sz w:val="18"/>
              </w:rPr>
              <w:t>4,000,000 (36.5m × 40/365)</w:t>
            </w:r>
          </w:p>
        </w:tc>
      </w:tr>
      <w:tr>
        <w:trPr>
          <w:cantSplit/>
        </w:trPr>
        <w:tc>
          <w:tcPr>
            <w:tcW w:type="dxa" w:w="3515"/>
          </w:tcPr>
          <w:p>
            <w:pPr>
              <w:spacing w:after="0"/>
            </w:pPr>
            <w:r/>
            <w:r>
              <w:rPr>
                <w:sz w:val="18"/>
              </w:rPr>
              <w:t>Finance cost: overdraft at 9%</w:t>
            </w:r>
          </w:p>
        </w:tc>
        <w:tc>
          <w:tcPr>
            <w:tcW w:type="dxa" w:w="1928"/>
          </w:tcPr>
          <w:p>
            <w:pPr>
              <w:spacing w:after="0"/>
              <w:jc w:val="right"/>
            </w:pPr>
            <w:r/>
            <w:r>
              <w:rPr>
                <w:sz w:val="18"/>
              </w:rPr>
              <w:t>540,000</w:t>
            </w:r>
          </w:p>
        </w:tc>
        <w:tc>
          <w:tcPr>
            <w:tcW w:type="dxa" w:w="3969"/>
          </w:tcPr>
          <w:p>
            <w:pPr>
              <w:spacing w:after="0"/>
            </w:pPr>
            <w:r/>
            <w:r>
              <w:rPr>
                <w:sz w:val="18"/>
              </w:rPr>
              <w:t>72,000 (20% × 4,000,000 × 9%)</w:t>
            </w:r>
          </w:p>
        </w:tc>
      </w:tr>
      <w:tr>
        <w:trPr>
          <w:cantSplit/>
        </w:trPr>
        <w:tc>
          <w:tcPr>
            <w:tcW w:type="dxa" w:w="3515"/>
          </w:tcPr>
          <w:p>
            <w:pPr>
              <w:spacing w:after="0"/>
            </w:pPr>
            <w:r/>
            <w:r>
              <w:rPr>
                <w:sz w:val="18"/>
              </w:rPr>
              <w:t>Finance cost: factor advance at 10%</w:t>
            </w:r>
          </w:p>
        </w:tc>
        <w:tc>
          <w:tcPr>
            <w:tcW w:type="dxa" w:w="1928"/>
          </w:tcPr>
          <w:p>
            <w:pPr>
              <w:spacing w:after="0"/>
              <w:jc w:val="right"/>
            </w:pPr>
            <w:r/>
            <w:r>
              <w:rPr>
                <w:sz w:val="18"/>
              </w:rPr>
              <w:t>nil</w:t>
            </w:r>
          </w:p>
        </w:tc>
        <w:tc>
          <w:tcPr>
            <w:tcW w:type="dxa" w:w="3969"/>
          </w:tcPr>
          <w:p>
            <w:pPr>
              <w:spacing w:after="0"/>
            </w:pPr>
            <w:r/>
            <w:r>
              <w:rPr>
                <w:sz w:val="18"/>
              </w:rPr>
              <w:t>320,000 (80% × 4,000,000 × 10%)</w:t>
            </w:r>
          </w:p>
        </w:tc>
      </w:tr>
      <w:tr>
        <w:trPr>
          <w:cantSplit/>
        </w:trPr>
        <w:tc>
          <w:tcPr>
            <w:tcW w:type="dxa" w:w="3515"/>
          </w:tcPr>
          <w:p>
            <w:pPr>
              <w:spacing w:after="0"/>
            </w:pPr>
            <w:r/>
            <w:r>
              <w:rPr>
                <w:sz w:val="18"/>
              </w:rPr>
              <w:t>Factor fee (1.5% × $36.5m)</w:t>
            </w:r>
          </w:p>
        </w:tc>
        <w:tc>
          <w:tcPr>
            <w:tcW w:type="dxa" w:w="1928"/>
          </w:tcPr>
          <w:p>
            <w:pPr>
              <w:spacing w:after="0"/>
              <w:jc w:val="right"/>
            </w:pPr>
            <w:r/>
            <w:r>
              <w:rPr>
                <w:sz w:val="18"/>
              </w:rPr>
              <w:t>nil</w:t>
            </w:r>
          </w:p>
        </w:tc>
        <w:tc>
          <w:tcPr>
            <w:tcW w:type="dxa" w:w="3969"/>
          </w:tcPr>
          <w:p>
            <w:pPr>
              <w:spacing w:after="0"/>
            </w:pPr>
            <w:r/>
            <w:r>
              <w:rPr>
                <w:sz w:val="18"/>
              </w:rPr>
              <w:t>547,500</w:t>
            </w:r>
          </w:p>
        </w:tc>
      </w:tr>
      <w:tr>
        <w:trPr>
          <w:cantSplit/>
        </w:trPr>
        <w:tc>
          <w:tcPr>
            <w:tcW w:type="dxa" w:w="3515"/>
          </w:tcPr>
          <w:p>
            <w:pPr>
              <w:spacing w:after="0"/>
            </w:pPr>
            <w:r/>
            <w:r>
              <w:rPr>
                <w:sz w:val="18"/>
              </w:rPr>
              <w:t>Bad debts (1% × $36.5m)</w:t>
            </w:r>
          </w:p>
        </w:tc>
        <w:tc>
          <w:tcPr>
            <w:tcW w:type="dxa" w:w="1928"/>
          </w:tcPr>
          <w:p>
            <w:pPr>
              <w:spacing w:after="0"/>
              <w:jc w:val="right"/>
            </w:pPr>
            <w:r/>
            <w:r>
              <w:rPr>
                <w:sz w:val="18"/>
              </w:rPr>
              <w:t>365,000</w:t>
            </w:r>
          </w:p>
        </w:tc>
        <w:tc>
          <w:tcPr>
            <w:tcW w:type="dxa" w:w="3969"/>
          </w:tcPr>
          <w:p>
            <w:pPr>
              <w:spacing w:after="0"/>
            </w:pPr>
            <w:r/>
            <w:r>
              <w:rPr>
                <w:sz w:val="18"/>
              </w:rPr>
              <w:t>nil (non-recourse)</w:t>
            </w:r>
          </w:p>
        </w:tc>
      </w:tr>
      <w:tr>
        <w:trPr>
          <w:cantSplit/>
        </w:trPr>
        <w:tc>
          <w:tcPr>
            <w:tcW w:type="dxa" w:w="3515"/>
          </w:tcPr>
          <w:p>
            <w:pPr>
              <w:spacing w:after="0"/>
            </w:pPr>
            <w:r/>
            <w:r>
              <w:rPr>
                <w:sz w:val="18"/>
              </w:rPr>
              <w:t>Credit control administration</w:t>
            </w:r>
          </w:p>
        </w:tc>
        <w:tc>
          <w:tcPr>
            <w:tcW w:type="dxa" w:w="1928"/>
          </w:tcPr>
          <w:p>
            <w:pPr>
              <w:spacing w:after="0"/>
              <w:jc w:val="right"/>
            </w:pPr>
            <w:r/>
            <w:r>
              <w:rPr>
                <w:sz w:val="18"/>
              </w:rPr>
              <w:t>180,000</w:t>
            </w:r>
          </w:p>
        </w:tc>
        <w:tc>
          <w:tcPr>
            <w:tcW w:type="dxa" w:w="3969"/>
          </w:tcPr>
          <w:p>
            <w:pPr>
              <w:spacing w:after="0"/>
            </w:pPr>
            <w:r/>
            <w:r>
              <w:rPr>
                <w:sz w:val="18"/>
              </w:rPr>
              <w:t>nil (saved)</w:t>
            </w:r>
          </w:p>
        </w:tc>
      </w:tr>
      <w:tr>
        <w:trPr>
          <w:cantSplit/>
        </w:trPr>
        <w:tc>
          <w:tcPr>
            <w:tcW w:type="dxa" w:w="3515"/>
          </w:tcPr>
          <w:p>
            <w:pPr>
              <w:spacing w:after="0"/>
            </w:pPr>
            <w:r/>
            <w:r>
              <w:rPr>
                <w:b/>
                <w:sz w:val="18"/>
              </w:rPr>
              <w:t>Total annual cost</w:t>
            </w:r>
          </w:p>
        </w:tc>
        <w:tc>
          <w:tcPr>
            <w:tcW w:type="dxa" w:w="1928"/>
          </w:tcPr>
          <w:p>
            <w:pPr>
              <w:spacing w:after="0"/>
              <w:jc w:val="right"/>
            </w:pPr>
            <w:r/>
            <w:r>
              <w:rPr>
                <w:b/>
                <w:sz w:val="18"/>
              </w:rPr>
              <w:t>1,085,000</w:t>
            </w:r>
          </w:p>
        </w:tc>
        <w:tc>
          <w:tcPr>
            <w:tcW w:type="dxa" w:w="3969"/>
          </w:tcPr>
          <w:p>
            <w:pPr>
              <w:spacing w:after="0"/>
            </w:pPr>
            <w:r/>
            <w:r>
              <w:rPr>
                <w:b/>
                <w:sz w:val="18"/>
              </w:rPr>
              <w:t>939,500</w:t>
            </w:r>
          </w:p>
        </w:tc>
      </w:tr>
    </w:tbl>
    <w:p>
      <w:pPr>
        <w:spacing w:after="160"/>
      </w:pPr>
    </w:p>
    <w:p>
      <w:pPr>
        <w:keepNext w:val="0"/>
        <w:spacing w:after="80" w:before="0"/>
      </w:pPr>
      <w:r>
        <w:rPr>
          <w:b/>
        </w:rPr>
        <w:t>Net annual benefit of factoring = 1,085,000 − 939,500 = $145,500</w:t>
      </w:r>
      <w:r>
        <w:rPr/>
        <w:t>, so the offer is financially acceptable.</w:t>
      </w:r>
    </w:p>
    <w:p>
      <w:pPr>
        <w:keepNext w:val="0"/>
        <w:spacing w:after="80" w:before="0"/>
      </w:pPr>
      <w:r>
        <w:rPr/>
        <w:t>Liquidity would also improve: receivables would fall by $2.0m and the factor would advance $3.2m, so the overdraft could be cut by up to $5.2m, easing the bank's concern.</w:t>
      </w:r>
    </w:p>
    <w:p>
      <w:pPr>
        <w:keepNext/>
        <w:spacing w:after="80" w:before="0"/>
      </w:pPr>
      <w:r>
        <w:rPr>
          <w:b/>
        </w:rPr>
        <w:t>Common errors:</w:t>
      </w:r>
    </w:p>
    <w:p>
      <w:pPr>
        <w:pStyle w:val="ListBullet"/>
        <w:spacing w:after="40"/>
      </w:pPr>
      <w:r>
        <w:rPr/>
        <w:t>Charging the factor's 10% on all receivables instead of the 80% advanced.</w:t>
      </w:r>
    </w:p>
    <w:p>
      <w:pPr>
        <w:pStyle w:val="ListBullet"/>
        <w:spacing w:after="40"/>
      </w:pPr>
      <w:r>
        <w:rPr/>
        <w:t>Forgetting that the 20% not advanced still has to be financed by the overdraft.</w:t>
      </w:r>
    </w:p>
    <w:p>
      <w:pPr>
        <w:pStyle w:val="ListBullet"/>
        <w:spacing w:after="40"/>
      </w:pPr>
      <w:r>
        <w:rPr/>
        <w:t>Treating bad debt savings as available under a *with-recourse* arrangement. Here the factoring is non-recourse, so the factor bears the bad debts.</w:t>
      </w:r>
    </w:p>
    <w:p>
      <w:pPr>
        <w:pStyle w:val="ListBullet"/>
        <w:spacing w:after="40"/>
      </w:pPr>
      <w:r>
        <w:rPr/>
        <w:t>Calculating the fee on receivables instead of revenue.</w:t>
      </w:r>
    </w:p>
    <w:tbl>
      <w:tblPr>
        <w:tblStyle w:val="TableGrid"/>
        <w:tblW w:type="auto" w:w="0"/>
        <w:jc w:val="center"/>
        <w:tblLayout w:type="fixed"/>
        <w:tblLook w:firstColumn="1" w:firstRow="1" w:lastColumn="0" w:lastRow="0" w:noHBand="0" w:noVBand="1" w:val="04A0"/>
      </w:tblPr>
      <w:tblGrid>
        <w:gridCol w:w="7994"/>
        <w:gridCol w:w="1417"/>
      </w:tblGrid>
      <w:tr>
        <w:trPr>
          <w:cantSplit/>
          <w:tblHeader/>
        </w:trPr>
        <w:tc>
          <w:tcPr>
            <w:tcW w:type="dxa" w:w="7994"/>
          </w:tcPr>
          <w:p>
            <w:pPr>
              <w:spacing w:after="0"/>
            </w:pPr>
            <w:r>
              <w:rPr>
                <w:b/>
              </w:rPr>
            </w:r>
            <w:r>
              <w:rPr>
                <w:b/>
                <w:sz w:val="19"/>
              </w:rPr>
              <w:t>Marking guide</w:t>
            </w:r>
          </w:p>
        </w:tc>
        <w:tc>
          <w:tcPr>
            <w:tcW w:type="dxa" w:w="1417"/>
          </w:tcPr>
          <w:p>
            <w:pPr>
              <w:spacing w:after="0"/>
              <w:jc w:val="center"/>
            </w:pPr>
            <w:r>
              <w:rPr>
                <w:b/>
              </w:rPr>
            </w:r>
            <w:r>
              <w:rPr>
                <w:b/>
                <w:sz w:val="19"/>
              </w:rPr>
              <w:t>Marks</w:t>
            </w:r>
          </w:p>
        </w:tc>
      </w:tr>
      <w:tr>
        <w:trPr>
          <w:cantSplit/>
        </w:trPr>
        <w:tc>
          <w:tcPr>
            <w:tcW w:type="dxa" w:w="7994"/>
          </w:tcPr>
          <w:p>
            <w:pPr>
              <w:spacing w:after="0"/>
            </w:pPr>
            <w:r/>
            <w:r>
              <w:rPr>
                <w:sz w:val="19"/>
              </w:rPr>
              <w:t>Current financing cost of receivables</w:t>
            </w:r>
          </w:p>
        </w:tc>
        <w:tc>
          <w:tcPr>
            <w:tcW w:type="dxa" w:w="1417"/>
          </w:tcPr>
          <w:p>
            <w:pPr>
              <w:spacing w:after="0"/>
              <w:jc w:val="center"/>
            </w:pPr>
            <w:r/>
            <w:r>
              <w:rPr>
                <w:sz w:val="19"/>
              </w:rPr>
              <w:t>1</w:t>
            </w:r>
          </w:p>
        </w:tc>
      </w:tr>
      <w:tr>
        <w:trPr>
          <w:cantSplit/>
        </w:trPr>
        <w:tc>
          <w:tcPr>
            <w:tcW w:type="dxa" w:w="7994"/>
          </w:tcPr>
          <w:p>
            <w:pPr>
              <w:spacing w:after="0"/>
            </w:pPr>
            <w:r/>
            <w:r>
              <w:rPr>
                <w:sz w:val="19"/>
              </w:rPr>
              <w:t>New receivables balance</w:t>
            </w:r>
          </w:p>
        </w:tc>
        <w:tc>
          <w:tcPr>
            <w:tcW w:type="dxa" w:w="1417"/>
          </w:tcPr>
          <w:p>
            <w:pPr>
              <w:spacing w:after="0"/>
              <w:jc w:val="center"/>
            </w:pPr>
            <w:r/>
            <w:r>
              <w:rPr>
                <w:sz w:val="19"/>
              </w:rPr>
              <w:t>1</w:t>
            </w:r>
          </w:p>
        </w:tc>
      </w:tr>
      <w:tr>
        <w:trPr>
          <w:cantSplit/>
        </w:trPr>
        <w:tc>
          <w:tcPr>
            <w:tcW w:type="dxa" w:w="7994"/>
          </w:tcPr>
          <w:p>
            <w:pPr>
              <w:spacing w:after="0"/>
            </w:pPr>
            <w:r/>
            <w:r>
              <w:rPr>
                <w:sz w:val="19"/>
              </w:rPr>
              <w:t>Factor finance cost on the 80% advance</w:t>
            </w:r>
          </w:p>
        </w:tc>
        <w:tc>
          <w:tcPr>
            <w:tcW w:type="dxa" w:w="1417"/>
          </w:tcPr>
          <w:p>
            <w:pPr>
              <w:spacing w:after="0"/>
              <w:jc w:val="center"/>
            </w:pPr>
            <w:r/>
            <w:r>
              <w:rPr>
                <w:sz w:val="19"/>
              </w:rPr>
              <w:t>1</w:t>
            </w:r>
          </w:p>
        </w:tc>
      </w:tr>
      <w:tr>
        <w:trPr>
          <w:cantSplit/>
        </w:trPr>
        <w:tc>
          <w:tcPr>
            <w:tcW w:type="dxa" w:w="7994"/>
          </w:tcPr>
          <w:p>
            <w:pPr>
              <w:spacing w:after="0"/>
            </w:pPr>
            <w:r/>
            <w:r>
              <w:rPr>
                <w:sz w:val="19"/>
              </w:rPr>
              <w:t>Overdraft cost on the remaining 20%</w:t>
            </w:r>
          </w:p>
        </w:tc>
        <w:tc>
          <w:tcPr>
            <w:tcW w:type="dxa" w:w="1417"/>
          </w:tcPr>
          <w:p>
            <w:pPr>
              <w:spacing w:after="0"/>
              <w:jc w:val="center"/>
            </w:pPr>
            <w:r/>
            <w:r>
              <w:rPr>
                <w:sz w:val="19"/>
              </w:rPr>
              <w:t>1</w:t>
            </w:r>
          </w:p>
        </w:tc>
      </w:tr>
      <w:tr>
        <w:trPr>
          <w:cantSplit/>
        </w:trPr>
        <w:tc>
          <w:tcPr>
            <w:tcW w:type="dxa" w:w="7994"/>
          </w:tcPr>
          <w:p>
            <w:pPr>
              <w:spacing w:after="0"/>
            </w:pPr>
            <w:r/>
            <w:r>
              <w:rPr>
                <w:sz w:val="19"/>
              </w:rPr>
              <w:t>Factor fee</w:t>
            </w:r>
          </w:p>
        </w:tc>
        <w:tc>
          <w:tcPr>
            <w:tcW w:type="dxa" w:w="1417"/>
          </w:tcPr>
          <w:p>
            <w:pPr>
              <w:spacing w:after="0"/>
              <w:jc w:val="center"/>
            </w:pPr>
            <w:r/>
            <w:r>
              <w:rPr>
                <w:sz w:val="19"/>
              </w:rPr>
              <w:t>1</w:t>
            </w:r>
          </w:p>
        </w:tc>
      </w:tr>
      <w:tr>
        <w:trPr>
          <w:cantSplit/>
        </w:trPr>
        <w:tc>
          <w:tcPr>
            <w:tcW w:type="dxa" w:w="7994"/>
          </w:tcPr>
          <w:p>
            <w:pPr>
              <w:spacing w:after="0"/>
            </w:pPr>
            <w:r/>
            <w:r>
              <w:rPr>
                <w:sz w:val="19"/>
              </w:rPr>
              <w:t>Bad debt saving</w:t>
            </w:r>
          </w:p>
        </w:tc>
        <w:tc>
          <w:tcPr>
            <w:tcW w:type="dxa" w:w="1417"/>
          </w:tcPr>
          <w:p>
            <w:pPr>
              <w:spacing w:after="0"/>
              <w:jc w:val="center"/>
            </w:pPr>
            <w:r/>
            <w:r>
              <w:rPr>
                <w:sz w:val="19"/>
              </w:rPr>
              <w:t>1</w:t>
            </w:r>
          </w:p>
        </w:tc>
      </w:tr>
      <w:tr>
        <w:trPr>
          <w:cantSplit/>
        </w:trPr>
        <w:tc>
          <w:tcPr>
            <w:tcW w:type="dxa" w:w="7994"/>
          </w:tcPr>
          <w:p>
            <w:pPr>
              <w:spacing w:after="0"/>
            </w:pPr>
            <w:r/>
            <w:r>
              <w:rPr>
                <w:sz w:val="19"/>
              </w:rPr>
              <w:t>Administration saving</w:t>
            </w:r>
          </w:p>
        </w:tc>
        <w:tc>
          <w:tcPr>
            <w:tcW w:type="dxa" w:w="1417"/>
          </w:tcPr>
          <w:p>
            <w:pPr>
              <w:spacing w:after="0"/>
              <w:jc w:val="center"/>
            </w:pPr>
            <w:r/>
            <w:r>
              <w:rPr>
                <w:sz w:val="19"/>
              </w:rPr>
              <w:t>1</w:t>
            </w:r>
          </w:p>
        </w:tc>
      </w:tr>
      <w:tr>
        <w:trPr>
          <w:cantSplit/>
        </w:trPr>
        <w:tc>
          <w:tcPr>
            <w:tcW w:type="dxa" w:w="7994"/>
          </w:tcPr>
          <w:p>
            <w:pPr>
              <w:spacing w:after="0"/>
            </w:pPr>
            <w:r/>
            <w:r>
              <w:rPr>
                <w:sz w:val="19"/>
              </w:rPr>
              <w:t>Net benefit and conclusion</w:t>
            </w:r>
          </w:p>
        </w:tc>
        <w:tc>
          <w:tcPr>
            <w:tcW w:type="dxa" w:w="1417"/>
          </w:tcPr>
          <w:p>
            <w:pPr>
              <w:spacing w:after="0"/>
              <w:jc w:val="center"/>
            </w:pPr>
            <w:r/>
            <w:r>
              <w:rPr>
                <w:sz w:val="19"/>
              </w:rPr>
              <w:t>1</w:t>
            </w:r>
          </w:p>
        </w:tc>
      </w:tr>
      <w:tr>
        <w:trPr>
          <w:cantSplit/>
        </w:trPr>
        <w:tc>
          <w:tcPr>
            <w:tcW w:type="dxa" w:w="7994"/>
          </w:tcPr>
          <w:p>
            <w:pPr>
              <w:spacing w:after="0"/>
            </w:pPr>
            <w:r/>
            <w:r>
              <w:rPr>
                <w:b/>
                <w:sz w:val="19"/>
              </w:rPr>
              <w:t>Total</w:t>
            </w:r>
          </w:p>
        </w:tc>
        <w:tc>
          <w:tcPr>
            <w:tcW w:type="dxa" w:w="1417"/>
          </w:tcPr>
          <w:p>
            <w:pPr>
              <w:spacing w:after="0"/>
              <w:jc w:val="center"/>
            </w:pPr>
            <w:r/>
            <w:r>
              <w:rPr>
                <w:b/>
                <w:sz w:val="19"/>
              </w:rPr>
              <w:t>8</w:t>
            </w:r>
          </w:p>
        </w:tc>
      </w:tr>
    </w:tbl>
    <w:p>
      <w:pPr>
        <w:spacing w:after="160"/>
      </w:pPr>
    </w:p>
    <w:p>
      <w:pPr>
        <w:keepNext/>
        <w:spacing w:after="80" w:before="120"/>
      </w:pPr>
      <w:r>
        <w:rPr>
          <w:b/>
        </w:rPr>
        <w:t>(c) Working capital financing policies (4 marks)</w:t>
      </w:r>
    </w:p>
    <w:p>
      <w:pPr>
        <w:keepNext w:val="0"/>
        <w:spacing w:after="80" w:before="0"/>
      </w:pPr>
      <w:r>
        <w:rPr/>
        <w:t xml:space="preserve">Current assets are made up of </w:t>
      </w:r>
      <w:r>
        <w:rPr>
          <w:b/>
        </w:rPr>
        <w:t>permanent</w:t>
      </w:r>
      <w:r>
        <w:rPr/>
        <w:t xml:space="preserve"> current assets (the minimum level always needed) and </w:t>
      </w:r>
      <w:r>
        <w:rPr>
          <w:b/>
        </w:rPr>
        <w:t>fluctuating</w:t>
      </w:r>
      <w:r>
        <w:rPr/>
        <w:t xml:space="preserve"> current assets (seasonal or temporary peaks).</w:t>
      </w:r>
    </w:p>
    <w:p>
      <w:pPr>
        <w:pStyle w:val="ListBullet"/>
        <w:spacing w:after="40"/>
      </w:pPr>
      <w:r>
        <w:rPr>
          <w:b/>
        </w:rPr>
        <w:t>Matching policy:</w:t>
      </w:r>
      <w:r>
        <w:rPr/>
        <w:t xml:space="preserve"> long-term finance funds non-current assets and permanent current assets, and short-term finance funds fluctuating current assets. The maturity of the finance matches the life of the assets.</w:t>
      </w:r>
    </w:p>
    <w:p>
      <w:pPr>
        <w:pStyle w:val="ListBullet"/>
        <w:spacing w:after="40"/>
      </w:pPr>
      <w:r>
        <w:rPr>
          <w:b/>
        </w:rPr>
        <w:t>Conservative policy:</w:t>
      </w:r>
      <w:r>
        <w:rPr/>
        <w:t xml:space="preserve"> long-term finance funds all permanent assets and some of the fluctuating current assets. This is lower risk but more expensive, because long-term finance usually costs more and surplus funds may earn little.</w:t>
      </w:r>
    </w:p>
    <w:p>
      <w:pPr>
        <w:pStyle w:val="ListBullet"/>
        <w:spacing w:after="40"/>
      </w:pPr>
      <w:r>
        <w:rPr>
          <w:b/>
        </w:rPr>
        <w:t>Aggressive policy:</w:t>
      </w:r>
      <w:r>
        <w:rPr/>
        <w:t xml:space="preserve"> short-term finance funds all fluctuating current assets and some of the permanent current assets. This is cheaper, but it carries refinancing risk and interest rate risk.</w:t>
      </w:r>
    </w:p>
    <w:p>
      <w:pPr>
        <w:keepNext w:val="0"/>
        <w:spacing w:after="80" w:before="0"/>
      </w:pPr>
      <w:r>
        <w:rPr/>
        <w:t xml:space="preserve">Calloway funds </w:t>
      </w:r>
      <w:r>
        <w:rPr>
          <w:b/>
        </w:rPr>
        <w:t>all</w:t>
      </w:r>
      <w:r>
        <w:rPr/>
        <w:t xml:space="preserve"> of its current assets, including the permanent element, with its overdraft, which is repayable on demand. This is a highly </w:t>
      </w:r>
      <w:r>
        <w:rPr>
          <w:b/>
        </w:rPr>
        <w:t>aggressive</w:t>
      </w:r>
      <w:r>
        <w:rPr/>
        <w:t xml:space="preserve"> policy. The bank's concern shows the risk: if the overdraft were withdrawn or reduced, Calloway would struggle to pay its suppliers.</w:t>
      </w:r>
    </w:p>
    <w:p>
      <w:pPr>
        <w:keepNext/>
        <w:spacing w:after="80" w:before="120"/>
      </w:pPr>
      <w:r>
        <w:rPr>
          <w:b/>
        </w:rPr>
        <w:t>(d) Non-financial factors before factoring (4 marks; 1 mark per well-explained point)</w:t>
      </w:r>
    </w:p>
    <w:p>
      <w:pPr>
        <w:pStyle w:val="ListBullet"/>
        <w:spacing w:after="40"/>
      </w:pPr>
      <w:r>
        <w:rPr>
          <w:b/>
        </w:rPr>
        <w:t>Customer relationships:</w:t>
      </w:r>
      <w:r>
        <w:rPr/>
        <w:t xml:space="preserve"> the factor will contact Calloway's customers directly. An aggressive collection style could damage long-standing relationships, and customers may see the use of a factor as a sign of financial weakness.</w:t>
      </w:r>
    </w:p>
    <w:p>
      <w:pPr>
        <w:pStyle w:val="ListBullet"/>
        <w:spacing w:after="40"/>
      </w:pPr>
      <w:r>
        <w:rPr>
          <w:b/>
        </w:rPr>
        <w:t>Loss of control:</w:t>
      </w:r>
      <w:r>
        <w:rPr/>
        <w:t xml:space="preserve"> Calloway gives up control of its sales ledger and credit decisions. The factor may refuse to take on some customers, which could restrict sales.</w:t>
      </w:r>
    </w:p>
    <w:p>
      <w:pPr>
        <w:pStyle w:val="ListBullet"/>
        <w:spacing w:after="40"/>
      </w:pPr>
      <w:r>
        <w:rPr>
          <w:b/>
        </w:rPr>
        <w:t>Reputation of the factor:</w:t>
      </w:r>
      <w:r>
        <w:rPr/>
        <w:t xml:space="preserve"> Calloway should check the factor's standing, service levels and experience in the building supplies sector.</w:t>
      </w:r>
    </w:p>
    <w:p>
      <w:pPr>
        <w:pStyle w:val="ListBullet"/>
        <w:spacing w:after="40"/>
      </w:pPr>
      <w:r>
        <w:rPr>
          <w:b/>
        </w:rPr>
        <w:t>Exit and flexibility:</w:t>
      </w:r>
      <w:r>
        <w:rPr/>
        <w:t xml:space="preserve"> contracts often have minimum terms. Once the in-house credit control team has been made redundant, it is hard to bring the function back in-house.</w:t>
      </w:r>
    </w:p>
    <w:p>
      <w:pPr>
        <w:pStyle w:val="ListBullet"/>
        <w:spacing w:after="40"/>
      </w:pPr>
      <w:r>
        <w:rPr>
          <w:b/>
        </w:rPr>
        <w:t>Staff impact:</w:t>
      </w:r>
      <w:r>
        <w:rPr/>
        <w:t xml:space="preserve"> making credit control staff redundant may affect morale, and losing their knowledge of customers may be a disadvantage.</w:t>
      </w:r>
    </w:p>
    <w:p>
      <w:pPr>
        <w:pStyle w:val="ListBullet"/>
        <w:spacing w:after="40"/>
      </w:pPr>
      <w:r>
        <w:rPr>
          <w:b/>
        </w:rPr>
        <w:t>Alternatives:</w:t>
      </w:r>
      <w:r>
        <w:rPr/>
        <w:t xml:space="preserve"> Calloway could improve its own credit control, offer early settlement discounts, use invoice discounting (which keeps customer contact in-house) or arrange longer-term finance.</w:t>
      </w:r>
    </w:p>
    <w:p>
      <w:pPr>
        <w:keepNext w:val="0"/>
        <w:spacing w:after="80" w:before="240"/>
        <w:jc w:val="center"/>
      </w:pPr>
      <w:r>
        <w:rPr>
          <w:b/>
        </w:rPr>
        <w:t>End of solution key</w:t>
      </w:r>
    </w:p>
    <w:p>
      <w:pPr>
        <w:pBdr>
          <w:bottom w:val="single" w:sz="8" w:space="1" w:color="000000"/>
        </w:pBdr>
        <w:spacing w:before="0" w:after="16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ACCA FM Mock Exam 02: Solutions, page </w:t>
    </w:r>
    <w:r>
      <w:rPr>
        <w:color w:val="000000"/>
        <w:sz w:val="16"/>
      </w:rPr>
      <w:fldChar w:fldCharType="begin"/>
      <w:instrText xml:space="preserve">PAGE</w:instrText>
      <w:fldChar w:fldCharType="end"/>
    </w:r>
    <w:r>
      <w:rPr>
        <w:color w:val="000000"/>
        <w:sz w:val="16"/>
      </w:rPr>
      <w:t xml:space="preserve"> of </w:t>
    </w:r>
    <w:r>
      <w:rPr>
        <w:color w:val="00000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ACCA FM Mock Exam 02: Solutions</dc:title>
  <dc:subject/>
  <dc:creator>ACCA Exam 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