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000" w:before="0"/>
      </w:pPr>
    </w:p>
    <w:p>
      <w:pPr>
        <w:keepNext w:val="0"/>
        <w:spacing w:after="40" w:before="0"/>
        <w:jc w:val="center"/>
      </w:pPr>
      <w:r>
        <w:rPr>
          <w:sz w:val="28"/>
        </w:rPr>
        <w:t>ACCA</w:t>
      </w:r>
    </w:p>
    <w:p>
      <w:pPr>
        <w:keepNext w:val="0"/>
        <w:spacing w:after="120" w:before="0"/>
        <w:jc w:val="center"/>
      </w:pPr>
      <w:r>
        <w:rPr>
          <w:b/>
          <w:sz w:val="44"/>
        </w:rPr>
        <w:t>Financial Management (FM)</w:t>
      </w:r>
    </w:p>
    <w:p>
      <w:pPr>
        <w:keepNext w:val="0"/>
        <w:spacing w:after="480" w:before="0"/>
        <w:jc w:val="center"/>
      </w:pPr>
      <w:r>
        <w:rPr>
          <w:sz w:val="30"/>
        </w:rPr>
        <w:t>Mock Examination 01</w:t>
      </w:r>
    </w:p>
    <w:p>
      <w:pPr>
        <w:keepNext w:val="0"/>
        <w:spacing w:after="100" w:before="0"/>
      </w:pPr>
      <w:r>
        <w:rPr>
          <w:b/>
        </w:rPr>
        <w:t>Coverage:</w:t>
      </w:r>
      <w:r>
        <w:rPr/>
        <w:t xml:space="preserve"> Chapter 1 The financial management function; Chapter 2 Basic investment appraisal techniques; Chapter 3 Investment appraisal: discounted cash flow techniques; Chapter 7 Working capital management; Chapter 8 Working capital management: inventory control</w:t>
      </w:r>
    </w:p>
    <w:p>
      <w:pPr>
        <w:keepNext w:val="0"/>
        <w:spacing w:after="100" w:before="0"/>
      </w:pPr>
      <w:r>
        <w:rPr>
          <w:b/>
        </w:rPr>
        <w:t>Questions:</w:t>
      </w:r>
      <w:r>
        <w:rPr/>
        <w:t xml:space="preserve"> 25 (2 marks each, 50 marks). </w:t>
      </w:r>
      <w:r>
        <w:rPr>
          <w:b/>
        </w:rPr>
        <w:t>Suggested time:</w:t>
      </w:r>
      <w:r>
        <w:rPr/>
        <w:t xml:space="preserve"> 90 minutes</w:t>
      </w:r>
    </w:p>
    <w:p>
      <w:pPr>
        <w:keepNext w:val="0"/>
        <w:spacing w:after="100" w:before="0"/>
      </w:pPr>
      <w:r>
        <w:rPr>
          <w:b/>
        </w:rPr>
        <w:t>Difficulty mix:</w:t>
      </w:r>
      <w:r>
        <w:rPr/>
        <w:t xml:space="preserve"> 13 Hard (52%), 7 Average (28%), 5 Easy (20%)</w:t>
      </w:r>
    </w:p>
    <w:p>
      <w:pPr>
        <w:keepNext w:val="0"/>
        <w:spacing w:after="100" w:before="0"/>
      </w:pPr>
      <w:r>
        <w:rPr/>
        <w:t>Ignore taxation and inflation throughout. Use discount and annuity factors from the standard ACCA tables (3 decimal places) wherever discounting is needed.</w:t>
      </w:r>
    </w:p>
    <w:p>
      <w:pPr>
        <w:pStyle w:val="Heading1"/>
        <w:pageBreakBefore/>
      </w:pPr>
      <w:r>
        <w:rPr>
          <w:b/>
          <w:color w:val="000000"/>
        </w:rPr>
        <w:t>Section A: ALL 15 questions are compulsory</w:t>
      </w:r>
    </w:p>
    <w:p>
      <w:pPr>
        <w:keepNext/>
        <w:tabs>
          <w:tab w:pos="9411" w:val="right"/>
        </w:tabs>
        <w:spacing w:before="120" w:after="80"/>
      </w:pPr>
      <w:r>
        <w:rPr>
          <w:b/>
        </w:rPr>
        <w:t>Question 1</w:t>
      </w:r>
      <w:r>
        <w:rPr>
          <w:sz w:val="18"/>
        </w:rPr>
        <w:tab/>
        <w:t>(2 marks)</w:t>
      </w:r>
    </w:p>
    <w:p>
      <w:pPr>
        <w:keepNext/>
        <w:spacing w:after="100" w:before="0"/>
      </w:pPr>
      <w:r>
        <w:rPr/>
        <w:t>Identify whether each of the following statements about financial management is true or false.</w:t>
      </w:r>
    </w:p>
    <w:tbl>
      <w:tblPr>
        <w:tblStyle w:val="TableGrid"/>
        <w:tblW w:type="auto" w:w="0"/>
        <w:jc w:val="center"/>
        <w:tblLayout w:type="fixed"/>
        <w:tblLook w:firstColumn="1" w:firstRow="1" w:lastColumn="0" w:lastRow="0" w:noHBand="0" w:noVBand="1" w:val="04A0"/>
      </w:tblPr>
      <w:tblGrid>
        <w:gridCol w:w="7735"/>
        <w:gridCol w:w="774"/>
        <w:gridCol w:w="902"/>
      </w:tblGrid>
      <w:tr>
        <w:trPr>
          <w:cantSplit/>
          <w:tblHeader/>
        </w:trPr>
        <w:tc>
          <w:tcPr>
            <w:tcW w:type="dxa" w:w="7735"/>
          </w:tcPr>
          <w:p>
            <w:pPr>
              <w:spacing w:after="0"/>
            </w:pPr>
            <w:r>
              <w:rPr>
                <w:b/>
                <w:sz w:val="19"/>
              </w:rPr>
              <w:t>Statement</w:t>
            </w:r>
          </w:p>
        </w:tc>
        <w:tc>
          <w:tcPr>
            <w:tcW w:type="dxa" w:w="774"/>
          </w:tcPr>
          <w:p>
            <w:pPr>
              <w:spacing w:after="0"/>
              <w:jc w:val="center"/>
            </w:pPr>
            <w:r>
              <w:rPr>
                <w:b/>
                <w:sz w:val="19"/>
              </w:rPr>
              <w:t>True</w:t>
            </w:r>
          </w:p>
        </w:tc>
        <w:tc>
          <w:tcPr>
            <w:tcW w:type="dxa" w:w="902"/>
          </w:tcPr>
          <w:p>
            <w:pPr>
              <w:spacing w:after="0"/>
              <w:jc w:val="center"/>
            </w:pPr>
            <w:r>
              <w:rPr>
                <w:b/>
                <w:sz w:val="19"/>
              </w:rPr>
              <w:t>False</w:t>
            </w:r>
          </w:p>
        </w:tc>
      </w:tr>
      <w:tr>
        <w:trPr>
          <w:cantSplit/>
        </w:trPr>
        <w:tc>
          <w:tcPr>
            <w:tcW w:type="dxa" w:w="7735"/>
          </w:tcPr>
          <w:p>
            <w:pPr>
              <w:spacing w:after="0"/>
            </w:pPr>
            <w:r>
              <w:rPr>
                <w:sz w:val="19"/>
              </w:rPr>
              <w:t>Investment, financing and dividend decisions are interrelated and cannot be taken in isolation</w:t>
            </w:r>
          </w:p>
        </w:tc>
        <w:tc>
          <w:tcPr>
            <w:tcW w:type="dxa" w:w="774"/>
          </w:tcPr>
          <w:p>
            <w:pPr>
              <w:spacing w:after="0"/>
              <w:jc w:val="center"/>
            </w:pPr>
            <w:r>
              <w:rPr>
                <w:sz w:val="24"/>
              </w:rPr>
              <w:t>☐</w:t>
            </w:r>
          </w:p>
        </w:tc>
        <w:tc>
          <w:tcPr>
            <w:tcW w:type="dxa" w:w="902"/>
          </w:tcPr>
          <w:p>
            <w:pPr>
              <w:spacing w:after="0"/>
              <w:jc w:val="center"/>
            </w:pPr>
            <w:r>
              <w:rPr>
                <w:sz w:val="24"/>
              </w:rPr>
              <w:t>☐</w:t>
            </w:r>
          </w:p>
        </w:tc>
      </w:tr>
      <w:tr>
        <w:trPr>
          <w:cantSplit/>
        </w:trPr>
        <w:tc>
          <w:tcPr>
            <w:tcW w:type="dxa" w:w="7735"/>
          </w:tcPr>
          <w:p>
            <w:pPr>
              <w:spacing w:after="0"/>
            </w:pPr>
            <w:r>
              <w:rPr>
                <w:sz w:val="19"/>
              </w:rPr>
              <w:t>A decision that maximises reported profit will always maximise shareholder wealth</w:t>
            </w:r>
          </w:p>
        </w:tc>
        <w:tc>
          <w:tcPr>
            <w:tcW w:type="dxa" w:w="774"/>
          </w:tcPr>
          <w:p>
            <w:pPr>
              <w:spacing w:after="0"/>
              <w:jc w:val="center"/>
            </w:pPr>
            <w:r>
              <w:rPr>
                <w:sz w:val="24"/>
              </w:rPr>
              <w:t>☐</w:t>
            </w:r>
          </w:p>
        </w:tc>
        <w:tc>
          <w:tcPr>
            <w:tcW w:type="dxa" w:w="902"/>
          </w:tcPr>
          <w:p>
            <w:pPr>
              <w:spacing w:after="0"/>
              <w:jc w:val="center"/>
            </w:pPr>
            <w:r>
              <w:rPr>
                <w:sz w:val="24"/>
              </w:rPr>
              <w:t>☐</w:t>
            </w:r>
          </w:p>
        </w:tc>
      </w:tr>
      <w:tr>
        <w:trPr>
          <w:cantSplit/>
        </w:trPr>
        <w:tc>
          <w:tcPr>
            <w:tcW w:type="dxa" w:w="7735"/>
          </w:tcPr>
          <w:p>
            <w:pPr>
              <w:spacing w:after="0"/>
            </w:pPr>
            <w:r>
              <w:rPr>
                <w:sz w:val="19"/>
              </w:rPr>
              <w:t>Financial management covers both long-term capital decisions and the short-term management of working capital</w:t>
            </w:r>
          </w:p>
        </w:tc>
        <w:tc>
          <w:tcPr>
            <w:tcW w:type="dxa" w:w="774"/>
          </w:tcPr>
          <w:p>
            <w:pPr>
              <w:spacing w:after="0"/>
              <w:jc w:val="center"/>
            </w:pPr>
            <w:r>
              <w:rPr>
                <w:sz w:val="24"/>
              </w:rPr>
              <w:t>☐</w:t>
            </w:r>
          </w:p>
        </w:tc>
        <w:tc>
          <w:tcPr>
            <w:tcW w:type="dxa" w:w="902"/>
          </w:tcPr>
          <w:p>
            <w:pPr>
              <w:spacing w:after="0"/>
              <w:jc w:val="center"/>
            </w:pPr>
            <w:r>
              <w:rPr>
                <w:sz w:val="24"/>
              </w:rPr>
              <w:t>☐</w:t>
            </w:r>
          </w:p>
        </w:tc>
      </w:tr>
    </w:tbl>
    <w:p>
      <w:pPr>
        <w:spacing w:after="120"/>
      </w:pPr>
    </w:p>
    <w:p>
      <w:pPr>
        <w:pBdr>
          <w:bottom w:val="single" w:sz="8" w:space="1" w:color="000000"/>
        </w:pBdr>
        <w:spacing w:after="160"/>
      </w:pPr>
    </w:p>
    <w:p>
      <w:pPr>
        <w:keepNext/>
        <w:tabs>
          <w:tab w:pos="9411" w:val="right"/>
        </w:tabs>
        <w:spacing w:before="120" w:after="80"/>
      </w:pPr>
      <w:r>
        <w:rPr>
          <w:b/>
        </w:rPr>
        <w:t>Question 2</w:t>
      </w:r>
      <w:r>
        <w:rPr>
          <w:sz w:val="18"/>
        </w:rPr>
        <w:tab/>
        <w:t>(2 marks)</w:t>
      </w:r>
    </w:p>
    <w:p>
      <w:pPr>
        <w:keepNext/>
        <w:spacing w:after="100" w:before="0"/>
      </w:pPr>
      <w:r>
        <w:rPr/>
        <w:t>The board of Larkspur Hollow Co, a listed company, is reviewing its arrangements for reducing the agency problem.</w:t>
      </w:r>
    </w:p>
    <w:p>
      <w:pPr>
        <w:keepNext w:val="0"/>
        <w:spacing w:after="100" w:before="0"/>
      </w:pPr>
      <w:r>
        <w:rPr/>
        <w:t>Which of the following arrangements would help to align the interests of the directors with those of the shareholders?</w:t>
      </w:r>
    </w:p>
    <w:p>
      <w:pPr>
        <w:keepNext/>
        <w:spacing w:after="40" w:before="0"/>
        <w:ind w:left="680" w:hanging="454"/>
      </w:pPr>
      <w:r>
        <w:rPr/>
        <w:t>(1)</w:t>
        <w:tab/>
        <w:t>Share awards that vest after five years, conditional on total shareholder return beating a peer group</w:t>
      </w:r>
    </w:p>
    <w:p>
      <w:pPr>
        <w:keepNext/>
        <w:spacing w:after="40" w:before="0"/>
        <w:ind w:left="680" w:hanging="454"/>
      </w:pPr>
      <w:r>
        <w:rPr/>
        <w:t>(2)</w:t>
        <w:tab/>
        <w:t>An annual cash bonus equal to 2% of reported profit before interest and tax</w:t>
      </w:r>
    </w:p>
    <w:p>
      <w:pPr>
        <w:keepNext/>
        <w:spacing w:after="40" w:before="0"/>
        <w:ind w:left="680" w:hanging="454"/>
      </w:pPr>
      <w:r>
        <w:rPr/>
        <w:t>(3)</w:t>
        <w:tab/>
        <w:t>A remuneration committee made up entirely of independent non-executive directors</w:t>
      </w:r>
    </w:p>
    <w:p>
      <w:pPr>
        <w:keepNext/>
        <w:spacing w:after="40" w:before="0"/>
        <w:ind w:left="680" w:hanging="454"/>
      </w:pPr>
      <w:r>
        <w:rPr/>
        <w:t>(4)</w:t>
        <w:tab/>
        <w:t>Executive service contracts with a three-year notice period</w:t>
      </w:r>
    </w:p>
    <w:p>
      <w:pPr>
        <w:keepNext/>
        <w:spacing w:after="40" w:before="0"/>
        <w:ind w:left="340"/>
      </w:pPr>
      <w:r>
        <w:rPr>
          <w:b/>
        </w:rPr>
        <w:t>A</w:t>
      </w:r>
      <w:r>
        <w:rPr/>
        <w:tab/>
        <w:t>1 and 3 only</w:t>
      </w:r>
    </w:p>
    <w:p>
      <w:pPr>
        <w:keepNext/>
        <w:spacing w:after="40" w:before="0"/>
        <w:ind w:left="340"/>
      </w:pPr>
      <w:r>
        <w:rPr>
          <w:b/>
        </w:rPr>
        <w:t>B</w:t>
      </w:r>
      <w:r>
        <w:rPr/>
        <w:tab/>
        <w:t>1, 2 and 3 only</w:t>
      </w:r>
    </w:p>
    <w:p>
      <w:pPr>
        <w:keepNext/>
        <w:spacing w:after="40" w:before="0"/>
        <w:ind w:left="340"/>
      </w:pPr>
      <w:r>
        <w:rPr>
          <w:b/>
        </w:rPr>
        <w:t>C</w:t>
      </w:r>
      <w:r>
        <w:rPr/>
        <w:tab/>
        <w:t>2 and 4 only</w:t>
      </w:r>
    </w:p>
    <w:p>
      <w:pPr>
        <w:keepNext/>
        <w:spacing w:after="40" w:before="0"/>
        <w:ind w:left="340"/>
      </w:pPr>
      <w:r>
        <w:rPr>
          <w:b/>
        </w:rPr>
        <w:t>D</w:t>
      </w:r>
      <w:r>
        <w:rPr/>
        <w:tab/>
        <w:t>1, 3 and 4 only</w:t>
      </w:r>
    </w:p>
    <w:p>
      <w:pPr>
        <w:pBdr>
          <w:bottom w:val="single" w:sz="8" w:space="1" w:color="000000"/>
        </w:pBdr>
        <w:spacing w:after="160"/>
      </w:pPr>
    </w:p>
    <w:p>
      <w:pPr>
        <w:keepNext/>
        <w:tabs>
          <w:tab w:pos="9411" w:val="right"/>
        </w:tabs>
        <w:spacing w:before="120" w:after="80"/>
      </w:pPr>
      <w:r>
        <w:rPr>
          <w:b/>
        </w:rPr>
        <w:t>Question 3</w:t>
      </w:r>
      <w:r>
        <w:rPr>
          <w:sz w:val="18"/>
        </w:rPr>
        <w:tab/>
        <w:t>(2 marks)</w:t>
      </w:r>
    </w:p>
    <w:p>
      <w:pPr>
        <w:keepNext/>
        <w:spacing w:after="100" w:before="0"/>
      </w:pPr>
      <w:r>
        <w:rPr/>
        <w:t xml:space="preserve">Penhallow Health Trust, a public sector body, runs a patient transport service. Classify each performance measure according to the element of value for money that it </w:t>
      </w:r>
      <w:r>
        <w:rPr>
          <w:b/>
        </w:rPr>
        <w:t>best</w:t>
      </w:r>
      <w:r>
        <w:rPr/>
        <w:t xml:space="preserve"> assesses.</w:t>
      </w:r>
    </w:p>
    <w:tbl>
      <w:tblPr>
        <w:tblStyle w:val="TableGrid"/>
        <w:tblW w:type="auto" w:w="0"/>
        <w:jc w:val="center"/>
        <w:tblLayout w:type="fixed"/>
        <w:tblLook w:firstColumn="1" w:firstRow="1" w:lastColumn="0" w:lastRow="0" w:noHBand="0" w:noVBand="1" w:val="04A0"/>
      </w:tblPr>
      <w:tblGrid>
        <w:gridCol w:w="5882"/>
        <w:gridCol w:w="882"/>
        <w:gridCol w:w="1176"/>
        <w:gridCol w:w="1470"/>
      </w:tblGrid>
      <w:tr>
        <w:trPr>
          <w:cantSplit/>
          <w:tblHeader/>
        </w:trPr>
        <w:tc>
          <w:tcPr>
            <w:tcW w:type="dxa" w:w="5882"/>
          </w:tcPr>
          <w:p>
            <w:pPr>
              <w:spacing w:after="0"/>
            </w:pPr>
            <w:r>
              <w:rPr>
                <w:b/>
                <w:sz w:val="19"/>
              </w:rPr>
              <w:t>Performance measure</w:t>
            </w:r>
          </w:p>
        </w:tc>
        <w:tc>
          <w:tcPr>
            <w:tcW w:type="dxa" w:w="882"/>
          </w:tcPr>
          <w:p>
            <w:pPr>
              <w:spacing w:after="0"/>
              <w:jc w:val="center"/>
            </w:pPr>
            <w:r>
              <w:rPr>
                <w:b/>
                <w:sz w:val="19"/>
              </w:rPr>
              <w:t>Economy</w:t>
            </w:r>
          </w:p>
        </w:tc>
        <w:tc>
          <w:tcPr>
            <w:tcW w:type="dxa" w:w="1176"/>
          </w:tcPr>
          <w:p>
            <w:pPr>
              <w:spacing w:after="0"/>
              <w:jc w:val="center"/>
            </w:pPr>
            <w:r>
              <w:rPr>
                <w:b/>
                <w:sz w:val="19"/>
              </w:rPr>
              <w:t>Efficiency</w:t>
            </w:r>
          </w:p>
        </w:tc>
        <w:tc>
          <w:tcPr>
            <w:tcW w:type="dxa" w:w="1470"/>
          </w:tcPr>
          <w:p>
            <w:pPr>
              <w:spacing w:after="0"/>
              <w:jc w:val="center"/>
            </w:pPr>
            <w:r>
              <w:rPr>
                <w:b/>
                <w:sz w:val="19"/>
              </w:rPr>
              <w:t>Effectiveness</w:t>
            </w:r>
          </w:p>
        </w:tc>
      </w:tr>
      <w:tr>
        <w:trPr>
          <w:cantSplit/>
        </w:trPr>
        <w:tc>
          <w:tcPr>
            <w:tcW w:type="dxa" w:w="5882"/>
          </w:tcPr>
          <w:p>
            <w:pPr>
              <w:spacing w:after="0"/>
            </w:pPr>
            <w:r>
              <w:rPr>
                <w:sz w:val="19"/>
              </w:rPr>
              <w:t>Average price paid per litre of fuel compared with the regional purchasing benchmark</w:t>
            </w:r>
          </w:p>
        </w:tc>
        <w:tc>
          <w:tcPr>
            <w:tcW w:type="dxa" w:w="882"/>
          </w:tcPr>
          <w:p>
            <w:pPr>
              <w:spacing w:after="0"/>
              <w:jc w:val="center"/>
            </w:pPr>
            <w:r>
              <w:rPr>
                <w:sz w:val="24"/>
              </w:rPr>
              <w:t>☐</w:t>
            </w:r>
          </w:p>
        </w:tc>
        <w:tc>
          <w:tcPr>
            <w:tcW w:type="dxa" w:w="1176"/>
          </w:tcPr>
          <w:p>
            <w:pPr>
              <w:spacing w:after="0"/>
              <w:jc w:val="center"/>
            </w:pPr>
            <w:r>
              <w:rPr>
                <w:sz w:val="24"/>
              </w:rPr>
              <w:t>☐</w:t>
            </w:r>
          </w:p>
        </w:tc>
        <w:tc>
          <w:tcPr>
            <w:tcW w:type="dxa" w:w="1470"/>
          </w:tcPr>
          <w:p>
            <w:pPr>
              <w:spacing w:after="0"/>
              <w:jc w:val="center"/>
            </w:pPr>
            <w:r>
              <w:rPr>
                <w:sz w:val="24"/>
              </w:rPr>
              <w:t>☐</w:t>
            </w:r>
          </w:p>
        </w:tc>
      </w:tr>
      <w:tr>
        <w:trPr>
          <w:cantSplit/>
        </w:trPr>
        <w:tc>
          <w:tcPr>
            <w:tcW w:type="dxa" w:w="5882"/>
          </w:tcPr>
          <w:p>
            <w:pPr>
              <w:spacing w:after="0"/>
            </w:pPr>
            <w:r>
              <w:rPr>
                <w:sz w:val="19"/>
              </w:rPr>
              <w:t>Number of patient journeys completed per vehicle per day</w:t>
            </w:r>
          </w:p>
        </w:tc>
        <w:tc>
          <w:tcPr>
            <w:tcW w:type="dxa" w:w="882"/>
          </w:tcPr>
          <w:p>
            <w:pPr>
              <w:spacing w:after="0"/>
              <w:jc w:val="center"/>
            </w:pPr>
            <w:r>
              <w:rPr>
                <w:sz w:val="24"/>
              </w:rPr>
              <w:t>☐</w:t>
            </w:r>
          </w:p>
        </w:tc>
        <w:tc>
          <w:tcPr>
            <w:tcW w:type="dxa" w:w="1176"/>
          </w:tcPr>
          <w:p>
            <w:pPr>
              <w:spacing w:after="0"/>
              <w:jc w:val="center"/>
            </w:pPr>
            <w:r>
              <w:rPr>
                <w:sz w:val="24"/>
              </w:rPr>
              <w:t>☐</w:t>
            </w:r>
          </w:p>
        </w:tc>
        <w:tc>
          <w:tcPr>
            <w:tcW w:type="dxa" w:w="1470"/>
          </w:tcPr>
          <w:p>
            <w:pPr>
              <w:spacing w:after="0"/>
              <w:jc w:val="center"/>
            </w:pPr>
            <w:r>
              <w:rPr>
                <w:sz w:val="24"/>
              </w:rPr>
              <w:t>☐</w:t>
            </w:r>
          </w:p>
        </w:tc>
      </w:tr>
      <w:tr>
        <w:trPr>
          <w:cantSplit/>
        </w:trPr>
        <w:tc>
          <w:tcPr>
            <w:tcW w:type="dxa" w:w="5882"/>
          </w:tcPr>
          <w:p>
            <w:pPr>
              <w:spacing w:after="0"/>
            </w:pPr>
            <w:r>
              <w:rPr>
                <w:sz w:val="19"/>
              </w:rPr>
              <w:t>Percentage of patients delivered to their appointment on time, against a target of 95%</w:t>
            </w:r>
          </w:p>
        </w:tc>
        <w:tc>
          <w:tcPr>
            <w:tcW w:type="dxa" w:w="882"/>
          </w:tcPr>
          <w:p>
            <w:pPr>
              <w:spacing w:after="0"/>
              <w:jc w:val="center"/>
            </w:pPr>
            <w:r>
              <w:rPr>
                <w:sz w:val="24"/>
              </w:rPr>
              <w:t>☐</w:t>
            </w:r>
          </w:p>
        </w:tc>
        <w:tc>
          <w:tcPr>
            <w:tcW w:type="dxa" w:w="1176"/>
          </w:tcPr>
          <w:p>
            <w:pPr>
              <w:spacing w:after="0"/>
              <w:jc w:val="center"/>
            </w:pPr>
            <w:r>
              <w:rPr>
                <w:sz w:val="24"/>
              </w:rPr>
              <w:t>☐</w:t>
            </w:r>
          </w:p>
        </w:tc>
        <w:tc>
          <w:tcPr>
            <w:tcW w:type="dxa" w:w="1470"/>
          </w:tcPr>
          <w:p>
            <w:pPr>
              <w:spacing w:after="0"/>
              <w:jc w:val="center"/>
            </w:pPr>
            <w:r>
              <w:rPr>
                <w:sz w:val="24"/>
              </w:rPr>
              <w:t>☐</w:t>
            </w:r>
          </w:p>
        </w:tc>
      </w:tr>
    </w:tbl>
    <w:p>
      <w:pPr>
        <w:spacing w:after="120"/>
      </w:pPr>
    </w:p>
    <w:p>
      <w:pPr>
        <w:pBdr>
          <w:bottom w:val="single" w:sz="8" w:space="1" w:color="000000"/>
        </w:pBdr>
        <w:spacing w:after="160"/>
      </w:pPr>
    </w:p>
    <w:p>
      <w:pPr>
        <w:keepNext/>
        <w:tabs>
          <w:tab w:pos="9411" w:val="right"/>
        </w:tabs>
        <w:spacing w:before="120" w:after="80"/>
      </w:pPr>
      <w:r>
        <w:rPr>
          <w:b/>
        </w:rPr>
        <w:t>Question 4</w:t>
      </w:r>
      <w:r>
        <w:rPr>
          <w:sz w:val="18"/>
        </w:rPr>
        <w:tab/>
        <w:t>(2 marks)</w:t>
      </w:r>
    </w:p>
    <w:p>
      <w:pPr>
        <w:keepNext/>
        <w:spacing w:after="100" w:before="0"/>
      </w:pPr>
      <w:r>
        <w:rPr/>
        <w:t>At the start of the year the ordinary shares of Fennimore Glass Co traded at $4.80. During the year the company paid a dividend of 22 cents per share, and at the end of the year the share price was $5.16.</w:t>
      </w:r>
    </w:p>
    <w:p>
      <w:pPr>
        <w:keepNext w:val="0"/>
        <w:spacing w:after="100" w:before="0"/>
      </w:pPr>
      <w:r>
        <w:rPr/>
        <w:t xml:space="preserve">What was the total shareholder return for the year (to </w:t>
      </w:r>
      <w:r>
        <w:rPr>
          <w:b/>
        </w:rPr>
        <w:t>one decimal place</w:t>
      </w:r>
      <w:r>
        <w:rPr/>
        <w:t>)?</w:t>
      </w:r>
    </w:p>
    <w:p>
      <w:pPr>
        <w:keepNext w:val="0"/>
        <w:spacing w:after="100" w:before="0"/>
      </w:pPr>
      <w:r>
        <w:rPr>
          <w:u w:val="single"/>
        </w:rPr>
        <w:t xml:space="preserve">                        </w:t>
      </w:r>
      <w:r>
        <w:rPr>
          <w:b/>
        </w:rPr>
        <w:t xml:space="preserve"> %</w:t>
      </w:r>
    </w:p>
    <w:p>
      <w:pPr>
        <w:pBdr>
          <w:bottom w:val="single" w:sz="8" w:space="1" w:color="000000"/>
        </w:pBdr>
        <w:spacing w:after="160"/>
      </w:pPr>
    </w:p>
    <w:p>
      <w:pPr>
        <w:keepNext/>
        <w:tabs>
          <w:tab w:pos="9411" w:val="right"/>
        </w:tabs>
        <w:spacing w:before="120" w:after="80"/>
      </w:pPr>
      <w:r>
        <w:rPr>
          <w:b/>
        </w:rPr>
        <w:t>Question 5</w:t>
      </w:r>
      <w:r>
        <w:rPr>
          <w:sz w:val="18"/>
        </w:rPr>
        <w:tab/>
        <w:t>(2 marks)</w:t>
      </w:r>
    </w:p>
    <w:p>
      <w:pPr>
        <w:keepNext/>
        <w:spacing w:after="100" w:before="0"/>
      </w:pPr>
      <w:r>
        <w:rPr/>
        <w:t>Thornbury Kilns Co is considering a project with an initial investment of $480,000 in machinery, which will have a scrap value of $60,000 at the end of its six-year life. Total cash inflows from the project (before depreciation) are expected to be $900,000 over the six years. The company uses straight-line depreciation.</w:t>
      </w:r>
    </w:p>
    <w:p>
      <w:pPr>
        <w:keepNext w:val="0"/>
        <w:spacing w:after="100" w:before="0"/>
      </w:pPr>
      <w:r>
        <w:rPr/>
        <w:t xml:space="preserve">What is the return on capital employed (ROCE) of the project, based on </w:t>
      </w:r>
      <w:r>
        <w:rPr>
          <w:b/>
        </w:rPr>
        <w:t>average investment</w:t>
      </w:r>
      <w:r>
        <w:rPr/>
        <w:t>?</w:t>
      </w:r>
    </w:p>
    <w:p>
      <w:pPr>
        <w:keepNext/>
        <w:spacing w:after="40" w:before="0"/>
        <w:ind w:left="340"/>
      </w:pPr>
      <w:r>
        <w:rPr>
          <w:b/>
        </w:rPr>
        <w:t>A</w:t>
      </w:r>
      <w:r>
        <w:rPr/>
        <w:tab/>
        <w:t>16.7%</w:t>
      </w:r>
    </w:p>
    <w:p>
      <w:pPr>
        <w:keepNext/>
        <w:spacing w:after="40" w:before="0"/>
        <w:ind w:left="340"/>
      </w:pPr>
      <w:r>
        <w:rPr>
          <w:b/>
        </w:rPr>
        <w:t>B</w:t>
      </w:r>
      <w:r>
        <w:rPr/>
        <w:tab/>
        <w:t>29.6%</w:t>
      </w:r>
    </w:p>
    <w:p>
      <w:pPr>
        <w:keepNext/>
        <w:spacing w:after="40" w:before="0"/>
        <w:ind w:left="340"/>
      </w:pPr>
      <w:r>
        <w:rPr>
          <w:b/>
        </w:rPr>
        <w:t>C</w:t>
      </w:r>
      <w:r>
        <w:rPr/>
        <w:tab/>
        <w:t>38.1%</w:t>
      </w:r>
    </w:p>
    <w:p>
      <w:pPr>
        <w:keepNext/>
        <w:spacing w:after="40" w:before="0"/>
        <w:ind w:left="340"/>
      </w:pPr>
      <w:r>
        <w:rPr>
          <w:b/>
        </w:rPr>
        <w:t>D</w:t>
      </w:r>
      <w:r>
        <w:rPr/>
        <w:tab/>
        <w:t>55.6%</w:t>
      </w:r>
    </w:p>
    <w:p>
      <w:pPr>
        <w:pBdr>
          <w:bottom w:val="single" w:sz="8" w:space="1" w:color="000000"/>
        </w:pBdr>
        <w:spacing w:after="160"/>
      </w:pPr>
    </w:p>
    <w:p>
      <w:pPr>
        <w:keepNext/>
        <w:tabs>
          <w:tab w:pos="9411" w:val="right"/>
        </w:tabs>
        <w:spacing w:before="120" w:after="80"/>
      </w:pPr>
      <w:r>
        <w:rPr>
          <w:b/>
        </w:rPr>
        <w:t>Question 6</w:t>
      </w:r>
      <w:r>
        <w:rPr>
          <w:sz w:val="18"/>
        </w:rPr>
        <w:tab/>
        <w:t>(2 marks)</w:t>
      </w:r>
    </w:p>
    <w:p>
      <w:pPr>
        <w:keepNext/>
        <w:spacing w:after="100" w:before="0"/>
      </w:pPr>
      <w:r>
        <w:rPr/>
        <w:t>Ashgrove Pantry Co has already spent $40,000 on market research for a new product line. Launching the product requires equipment costing $250,000 and an investment in working capital of $30,000, both at the start of the project. Expected net cash inflows are:</w:t>
      </w:r>
    </w:p>
    <w:tbl>
      <w:tblPr>
        <w:tblStyle w:val="TableGrid"/>
        <w:tblW w:type="auto" w:w="0"/>
        <w:jc w:val="center"/>
        <w:tblLayout w:type="fixed"/>
        <w:tblLook w:firstColumn="1" w:firstRow="1" w:lastColumn="0" w:lastRow="0" w:noHBand="0" w:noVBand="1" w:val="04A0"/>
      </w:tblPr>
      <w:tblGrid>
        <w:gridCol w:w="3137"/>
        <w:gridCol w:w="1476"/>
        <w:gridCol w:w="1476"/>
        <w:gridCol w:w="1661"/>
        <w:gridCol w:w="1661"/>
      </w:tblGrid>
      <w:tr>
        <w:trPr>
          <w:cantSplit/>
          <w:tblHeader/>
        </w:trPr>
        <w:tc>
          <w:tcPr>
            <w:tcW w:type="dxa" w:w="3137"/>
          </w:tcPr>
          <w:p>
            <w:pPr>
              <w:spacing w:after="0"/>
            </w:pPr>
            <w:r>
              <w:rPr>
                <w:b/>
                <w:sz w:val="19"/>
              </w:rPr>
              <w:t>Year</w:t>
            </w:r>
          </w:p>
        </w:tc>
        <w:tc>
          <w:tcPr>
            <w:tcW w:type="dxa" w:w="1476"/>
          </w:tcPr>
          <w:p>
            <w:pPr>
              <w:spacing w:after="0"/>
              <w:jc w:val="center"/>
            </w:pPr>
            <w:r>
              <w:rPr>
                <w:b/>
                <w:sz w:val="19"/>
              </w:rPr>
              <w:t>1</w:t>
            </w:r>
          </w:p>
        </w:tc>
        <w:tc>
          <w:tcPr>
            <w:tcW w:type="dxa" w:w="1476"/>
          </w:tcPr>
          <w:p>
            <w:pPr>
              <w:spacing w:after="0"/>
              <w:jc w:val="center"/>
            </w:pPr>
            <w:r>
              <w:rPr>
                <w:b/>
                <w:sz w:val="19"/>
              </w:rPr>
              <w:t>2</w:t>
            </w:r>
          </w:p>
        </w:tc>
        <w:tc>
          <w:tcPr>
            <w:tcW w:type="dxa" w:w="1661"/>
          </w:tcPr>
          <w:p>
            <w:pPr>
              <w:spacing w:after="0"/>
              <w:jc w:val="center"/>
            </w:pPr>
            <w:r>
              <w:rPr>
                <w:b/>
                <w:sz w:val="19"/>
              </w:rPr>
              <w:t>3</w:t>
            </w:r>
          </w:p>
        </w:tc>
        <w:tc>
          <w:tcPr>
            <w:tcW w:type="dxa" w:w="1661"/>
          </w:tcPr>
          <w:p>
            <w:pPr>
              <w:spacing w:after="0"/>
              <w:jc w:val="center"/>
            </w:pPr>
            <w:r>
              <w:rPr>
                <w:b/>
                <w:sz w:val="19"/>
              </w:rPr>
              <w:t>4</w:t>
            </w:r>
          </w:p>
        </w:tc>
      </w:tr>
      <w:tr>
        <w:trPr>
          <w:cantSplit/>
        </w:trPr>
        <w:tc>
          <w:tcPr>
            <w:tcW w:type="dxa" w:w="3137"/>
          </w:tcPr>
          <w:p>
            <w:pPr>
              <w:spacing w:after="0"/>
            </w:pPr>
            <w:r>
              <w:rPr>
                <w:sz w:val="19"/>
              </w:rPr>
              <w:t>Cash inflow ($)</w:t>
            </w:r>
          </w:p>
        </w:tc>
        <w:tc>
          <w:tcPr>
            <w:tcW w:type="dxa" w:w="1476"/>
          </w:tcPr>
          <w:p>
            <w:pPr>
              <w:spacing w:after="0"/>
              <w:jc w:val="center"/>
            </w:pPr>
            <w:r>
              <w:rPr>
                <w:sz w:val="19"/>
              </w:rPr>
              <w:t>70,000</w:t>
            </w:r>
          </w:p>
        </w:tc>
        <w:tc>
          <w:tcPr>
            <w:tcW w:type="dxa" w:w="1476"/>
          </w:tcPr>
          <w:p>
            <w:pPr>
              <w:spacing w:after="0"/>
              <w:jc w:val="center"/>
            </w:pPr>
            <w:r>
              <w:rPr>
                <w:sz w:val="19"/>
              </w:rPr>
              <w:t>90,000</w:t>
            </w:r>
          </w:p>
        </w:tc>
        <w:tc>
          <w:tcPr>
            <w:tcW w:type="dxa" w:w="1661"/>
          </w:tcPr>
          <w:p>
            <w:pPr>
              <w:spacing w:after="0"/>
              <w:jc w:val="center"/>
            </w:pPr>
            <w:r>
              <w:rPr>
                <w:sz w:val="19"/>
              </w:rPr>
              <w:t>110,000</w:t>
            </w:r>
          </w:p>
        </w:tc>
        <w:tc>
          <w:tcPr>
            <w:tcW w:type="dxa" w:w="1661"/>
          </w:tcPr>
          <w:p>
            <w:pPr>
              <w:spacing w:after="0"/>
              <w:jc w:val="center"/>
            </w:pPr>
            <w:r>
              <w:rPr>
                <w:sz w:val="19"/>
              </w:rPr>
              <w:t>120,000</w:t>
            </w:r>
          </w:p>
        </w:tc>
      </w:tr>
    </w:tbl>
    <w:p>
      <w:pPr>
        <w:spacing w:after="120"/>
      </w:pPr>
    </w:p>
    <w:p>
      <w:pPr>
        <w:keepNext w:val="0"/>
        <w:spacing w:after="100" w:before="0"/>
      </w:pPr>
      <w:r>
        <w:rPr/>
        <w:t xml:space="preserve">What is the payback period of the project (to the </w:t>
      </w:r>
      <w:r>
        <w:rPr>
          <w:b/>
        </w:rPr>
        <w:t>nearest month</w:t>
      </w:r>
      <w:r>
        <w:rPr/>
        <w:t>)?</w:t>
      </w:r>
    </w:p>
    <w:p>
      <w:pPr>
        <w:keepNext/>
        <w:spacing w:after="40" w:before="0"/>
        <w:ind w:left="340"/>
      </w:pPr>
      <w:r>
        <w:rPr>
          <w:b/>
        </w:rPr>
        <w:t>A</w:t>
      </w:r>
      <w:r>
        <w:rPr/>
        <w:tab/>
        <w:t>2 years 10 months</w:t>
      </w:r>
    </w:p>
    <w:p>
      <w:pPr>
        <w:keepNext/>
        <w:spacing w:after="40" w:before="0"/>
        <w:ind w:left="340"/>
      </w:pPr>
      <w:r>
        <w:rPr>
          <w:b/>
        </w:rPr>
        <w:t>B</w:t>
      </w:r>
      <w:r>
        <w:rPr/>
        <w:tab/>
        <w:t>2 years 11 months</w:t>
      </w:r>
    </w:p>
    <w:p>
      <w:pPr>
        <w:keepNext/>
        <w:spacing w:after="40" w:before="0"/>
        <w:ind w:left="340"/>
      </w:pPr>
      <w:r>
        <w:rPr>
          <w:b/>
        </w:rPr>
        <w:t>C</w:t>
      </w:r>
      <w:r>
        <w:rPr/>
        <w:tab/>
        <w:t>3 years 1 month</w:t>
      </w:r>
    </w:p>
    <w:p>
      <w:pPr>
        <w:keepNext/>
        <w:spacing w:after="40" w:before="0"/>
        <w:ind w:left="340"/>
      </w:pPr>
      <w:r>
        <w:rPr>
          <w:b/>
        </w:rPr>
        <w:t>D</w:t>
      </w:r>
      <w:r>
        <w:rPr/>
        <w:tab/>
        <w:t>3 years 5 months</w:t>
      </w:r>
    </w:p>
    <w:p>
      <w:pPr>
        <w:pBdr>
          <w:bottom w:val="single" w:sz="8" w:space="1" w:color="000000"/>
        </w:pBdr>
        <w:spacing w:after="160"/>
      </w:pPr>
    </w:p>
    <w:p>
      <w:pPr>
        <w:keepNext/>
        <w:tabs>
          <w:tab w:pos="9411" w:val="right"/>
        </w:tabs>
        <w:spacing w:before="120" w:after="80"/>
      </w:pPr>
      <w:r>
        <w:rPr>
          <w:b/>
        </w:rPr>
        <w:t>Question 7</w:t>
      </w:r>
      <w:r>
        <w:rPr>
          <w:sz w:val="18"/>
        </w:rPr>
        <w:tab/>
        <w:t>(2 marks)</w:t>
      </w:r>
    </w:p>
    <w:p>
      <w:pPr>
        <w:keepNext/>
        <w:spacing w:after="100" w:before="0"/>
      </w:pPr>
      <w:r>
        <w:rPr/>
        <w:t>Harrowgate Lettings Co has signed a contract under which it will receive $30,000 a year for five years, with the first receipt at the end of Year 3 and the last at the end of Year 7. The company's cost of capital is 8% per year.</w:t>
      </w:r>
    </w:p>
    <w:p>
      <w:pPr>
        <w:keepNext w:val="0"/>
        <w:spacing w:after="100" w:before="0"/>
      </w:pPr>
      <w:r>
        <w:rPr/>
        <w:t>What is the present value of the contract receipts?</w:t>
      </w:r>
    </w:p>
    <w:p>
      <w:pPr>
        <w:keepNext/>
        <w:spacing w:after="40" w:before="0"/>
        <w:ind w:left="340"/>
      </w:pPr>
      <w:r>
        <w:rPr>
          <w:b/>
        </w:rPr>
        <w:t>A</w:t>
      </w:r>
      <w:r>
        <w:rPr/>
        <w:tab/>
        <w:t>$78,870</w:t>
      </w:r>
    </w:p>
    <w:p>
      <w:pPr>
        <w:keepNext/>
        <w:spacing w:after="40" w:before="0"/>
        <w:ind w:left="340"/>
      </w:pPr>
      <w:r>
        <w:rPr>
          <w:b/>
        </w:rPr>
        <w:t>B</w:t>
      </w:r>
      <w:r>
        <w:rPr/>
        <w:tab/>
        <w:t>$95,113</w:t>
      </w:r>
    </w:p>
    <w:p>
      <w:pPr>
        <w:keepNext/>
        <w:spacing w:after="40" w:before="0"/>
        <w:ind w:left="340"/>
      </w:pPr>
      <w:r>
        <w:rPr>
          <w:b/>
        </w:rPr>
        <w:t>C</w:t>
      </w:r>
      <w:r>
        <w:rPr/>
        <w:tab/>
        <w:t>$102,690</w:t>
      </w:r>
    </w:p>
    <w:p>
      <w:pPr>
        <w:keepNext/>
        <w:spacing w:after="40" w:before="0"/>
        <w:ind w:left="340"/>
      </w:pPr>
      <w:r>
        <w:rPr>
          <w:b/>
        </w:rPr>
        <w:t>D</w:t>
      </w:r>
      <w:r>
        <w:rPr/>
        <w:tab/>
        <w:t>$119,790</w:t>
      </w:r>
    </w:p>
    <w:p>
      <w:pPr>
        <w:pBdr>
          <w:bottom w:val="single" w:sz="8" w:space="1" w:color="000000"/>
        </w:pBdr>
        <w:spacing w:after="160"/>
      </w:pPr>
    </w:p>
    <w:p>
      <w:pPr>
        <w:keepNext/>
        <w:tabs>
          <w:tab w:pos="9411" w:val="right"/>
        </w:tabs>
        <w:spacing w:before="120" w:after="80"/>
      </w:pPr>
      <w:r>
        <w:rPr>
          <w:b/>
        </w:rPr>
        <w:t>Question 8</w:t>
      </w:r>
      <w:r>
        <w:rPr>
          <w:sz w:val="18"/>
        </w:rPr>
        <w:tab/>
        <w:t>(2 marks)</w:t>
      </w:r>
    </w:p>
    <w:p>
      <w:pPr>
        <w:keepNext/>
        <w:spacing w:after="100" w:before="0"/>
      </w:pPr>
      <w:r>
        <w:rPr/>
        <w:t>Pembury Florists Co expects a new delivery van to save $10,000 a year in courier costs for six years, starting at the end of Year 1. The cost of capital is 8% per year.</w:t>
      </w:r>
    </w:p>
    <w:p>
      <w:pPr>
        <w:keepNext w:val="0"/>
        <w:spacing w:after="100" w:before="0"/>
      </w:pPr>
      <w:r>
        <w:rPr/>
        <w:t>What is the present value of the savings?</w:t>
      </w:r>
    </w:p>
    <w:p>
      <w:pPr>
        <w:keepNext/>
        <w:spacing w:after="40" w:before="0"/>
        <w:ind w:left="340"/>
      </w:pPr>
      <w:r>
        <w:rPr>
          <w:b/>
        </w:rPr>
        <w:t>A</w:t>
      </w:r>
      <w:r>
        <w:rPr/>
        <w:tab/>
        <w:t>$37,800</w:t>
      </w:r>
    </w:p>
    <w:p>
      <w:pPr>
        <w:keepNext/>
        <w:spacing w:after="40" w:before="0"/>
        <w:ind w:left="340"/>
      </w:pPr>
      <w:r>
        <w:rPr>
          <w:b/>
        </w:rPr>
        <w:t>B</w:t>
      </w:r>
      <w:r>
        <w:rPr/>
        <w:tab/>
        <w:t>$39,930</w:t>
      </w:r>
    </w:p>
    <w:p>
      <w:pPr>
        <w:keepNext/>
        <w:spacing w:after="40" w:before="0"/>
        <w:ind w:left="340"/>
      </w:pPr>
      <w:r>
        <w:rPr>
          <w:b/>
        </w:rPr>
        <w:t>C</w:t>
      </w:r>
      <w:r>
        <w:rPr/>
        <w:tab/>
        <w:t>$46,230</w:t>
      </w:r>
    </w:p>
    <w:p>
      <w:pPr>
        <w:keepNext/>
        <w:spacing w:after="40" w:before="0"/>
        <w:ind w:left="340"/>
      </w:pPr>
      <w:r>
        <w:rPr>
          <w:b/>
        </w:rPr>
        <w:t>D</w:t>
      </w:r>
      <w:r>
        <w:rPr/>
        <w:tab/>
        <w:t>$60,000</w:t>
      </w:r>
    </w:p>
    <w:p>
      <w:pPr>
        <w:pBdr>
          <w:bottom w:val="single" w:sz="8" w:space="1" w:color="000000"/>
        </w:pBdr>
        <w:spacing w:after="160"/>
      </w:pPr>
    </w:p>
    <w:p>
      <w:pPr>
        <w:keepNext/>
        <w:tabs>
          <w:tab w:pos="9411" w:val="right"/>
        </w:tabs>
        <w:spacing w:before="120" w:after="80"/>
      </w:pPr>
      <w:r>
        <w:rPr>
          <w:b/>
        </w:rPr>
        <w:t>Question 9</w:t>
      </w:r>
      <w:r>
        <w:rPr>
          <w:sz w:val="18"/>
        </w:rPr>
        <w:tab/>
        <w:t>(2 marks)</w:t>
      </w:r>
    </w:p>
    <w:p>
      <w:pPr>
        <w:keepNext/>
        <w:spacing w:after="100" w:before="0"/>
      </w:pPr>
      <w:r>
        <w:rPr/>
        <w:t xml:space="preserve">Brightling Software Co must pay a licence fee of $18,000 a year for five years. The first payment is due </w:t>
      </w:r>
      <w:r>
        <w:rPr>
          <w:b/>
        </w:rPr>
        <w:t>today</w:t>
      </w:r>
      <w:r>
        <w:rPr/>
        <w:t xml:space="preserve"> and the remaining four are due at the end of Years 1 to 4. The cost of capital is 9% per year.</w:t>
      </w:r>
    </w:p>
    <w:p>
      <w:pPr>
        <w:keepNext w:val="0"/>
        <w:spacing w:after="100" w:before="0"/>
      </w:pPr>
      <w:r>
        <w:rPr/>
        <w:t>What is the present value of the licence payments?</w:t>
      </w:r>
    </w:p>
    <w:p>
      <w:pPr>
        <w:keepNext/>
        <w:spacing w:after="40" w:before="0"/>
        <w:ind w:left="340"/>
      </w:pPr>
      <w:r>
        <w:rPr>
          <w:b/>
        </w:rPr>
        <w:t>A</w:t>
      </w:r>
      <w:r>
        <w:rPr/>
        <w:tab/>
        <w:t>$70,020</w:t>
      </w:r>
    </w:p>
    <w:p>
      <w:pPr>
        <w:keepNext/>
        <w:spacing w:after="40" w:before="0"/>
        <w:ind w:left="340"/>
      </w:pPr>
      <w:r>
        <w:rPr>
          <w:b/>
        </w:rPr>
        <w:t>B</w:t>
      </w:r>
      <w:r>
        <w:rPr/>
        <w:tab/>
        <w:t>$76,320</w:t>
      </w:r>
    </w:p>
    <w:p>
      <w:pPr>
        <w:keepNext/>
        <w:spacing w:after="40" w:before="0"/>
        <w:ind w:left="340"/>
      </w:pPr>
      <w:r>
        <w:rPr>
          <w:b/>
        </w:rPr>
        <w:t>C</w:t>
      </w:r>
      <w:r>
        <w:rPr/>
        <w:tab/>
        <w:t>$88,020</w:t>
      </w:r>
    </w:p>
    <w:p>
      <w:pPr>
        <w:keepNext/>
        <w:spacing w:after="40" w:before="0"/>
        <w:ind w:left="340"/>
      </w:pPr>
      <w:r>
        <w:rPr>
          <w:b/>
        </w:rPr>
        <w:t>D</w:t>
      </w:r>
      <w:r>
        <w:rPr/>
        <w:tab/>
        <w:t>$90,000</w:t>
      </w:r>
    </w:p>
    <w:p>
      <w:pPr>
        <w:pBdr>
          <w:bottom w:val="single" w:sz="8" w:space="1" w:color="000000"/>
        </w:pBdr>
        <w:spacing w:after="160"/>
      </w:pPr>
    </w:p>
    <w:p>
      <w:pPr>
        <w:keepNext/>
        <w:tabs>
          <w:tab w:pos="9411" w:val="right"/>
        </w:tabs>
        <w:spacing w:before="120" w:after="80"/>
      </w:pPr>
      <w:r>
        <w:rPr>
          <w:b/>
        </w:rPr>
        <w:t>Question 10</w:t>
      </w:r>
      <w:r>
        <w:rPr>
          <w:sz w:val="18"/>
        </w:rPr>
        <w:tab/>
        <w:t>(2 marks)</w:t>
      </w:r>
    </w:p>
    <w:p>
      <w:pPr>
        <w:keepNext/>
        <w:spacing w:after="100" w:before="0"/>
      </w:pPr>
      <w:r>
        <w:rPr/>
        <w:t>Wexcombe Plastics Co is preparing an NPV appraisal of a new production line. Which TWO of the following are relevant cash flows that should be included in the appraisal?</w:t>
      </w:r>
    </w:p>
    <w:p>
      <w:pPr>
        <w:keepNext/>
        <w:spacing w:after="40" w:before="0"/>
        <w:ind w:left="340"/>
      </w:pPr>
      <w:r>
        <w:rPr>
          <w:sz w:val="24"/>
        </w:rPr>
        <w:t>☐</w:t>
      </w:r>
      <w:r>
        <w:rPr/>
        <w:t xml:space="preserve">   The annual depreciation charge on the new production equipment</w:t>
      </w:r>
    </w:p>
    <w:p>
      <w:pPr>
        <w:keepNext/>
        <w:spacing w:after="40" w:before="0"/>
        <w:ind w:left="340"/>
      </w:pPr>
      <w:r>
        <w:rPr>
          <w:sz w:val="24"/>
        </w:rPr>
        <w:t>☐</w:t>
      </w:r>
      <w:r>
        <w:rPr/>
        <w:t xml:space="preserve">   Rent forgone on a warehouse that the company currently lets out but will use for the project</w:t>
      </w:r>
    </w:p>
    <w:p>
      <w:pPr>
        <w:keepNext/>
        <w:spacing w:after="40" w:before="0"/>
        <w:ind w:left="340"/>
      </w:pPr>
      <w:r>
        <w:rPr>
          <w:sz w:val="24"/>
        </w:rPr>
        <w:t>☐</w:t>
      </w:r>
      <w:r>
        <w:rPr/>
        <w:t xml:space="preserve">   Interest payments on the bank loan taken out to finance the project</w:t>
      </w:r>
    </w:p>
    <w:p>
      <w:pPr>
        <w:keepNext/>
        <w:spacing w:after="40" w:before="0"/>
        <w:ind w:left="340"/>
      </w:pPr>
      <w:r>
        <w:rPr>
          <w:sz w:val="24"/>
        </w:rPr>
        <w:t>☐</w:t>
      </w:r>
      <w:r>
        <w:rPr/>
        <w:t xml:space="preserve">   The salary of an additional supervisor who will be recruited to run the line</w:t>
      </w:r>
    </w:p>
    <w:p>
      <w:pPr>
        <w:keepNext/>
        <w:spacing w:after="40" w:before="0"/>
        <w:ind w:left="340"/>
      </w:pPr>
      <w:r>
        <w:rPr>
          <w:sz w:val="24"/>
        </w:rPr>
        <w:t>☐</w:t>
      </w:r>
      <w:r>
        <w:rPr/>
        <w:t xml:space="preserve">   A share of existing head office costs, which will be apportioned to the project</w:t>
      </w:r>
    </w:p>
    <w:p>
      <w:pPr>
        <w:pBdr>
          <w:bottom w:val="single" w:sz="8" w:space="1" w:color="000000"/>
        </w:pBdr>
        <w:spacing w:after="160"/>
      </w:pPr>
    </w:p>
    <w:p>
      <w:pPr>
        <w:keepNext/>
        <w:tabs>
          <w:tab w:pos="9411" w:val="right"/>
        </w:tabs>
        <w:spacing w:before="120" w:after="80"/>
      </w:pPr>
      <w:r>
        <w:rPr>
          <w:b/>
        </w:rPr>
        <w:t>Question 11</w:t>
      </w:r>
      <w:r>
        <w:rPr>
          <w:sz w:val="18"/>
        </w:rPr>
        <w:tab/>
        <w:t>(2 marks)</w:t>
      </w:r>
    </w:p>
    <w:p>
      <w:pPr>
        <w:keepNext/>
        <w:spacing w:after="100" w:before="0"/>
      </w:pPr>
      <w:r>
        <w:rPr/>
        <w:t>Ostler Engineering Co is considering a project that costs $100,000 now and is expected to generate net cash inflows of $23,000 a year for six years, starting at the end of Year 1.</w:t>
      </w:r>
    </w:p>
    <w:p>
      <w:pPr>
        <w:keepNext w:val="0"/>
        <w:spacing w:after="100" w:before="0"/>
      </w:pPr>
      <w:r>
        <w:rPr/>
        <w:t xml:space="preserve">What is the internal rate of return of the project, estimated using the annuity factors in the tables and linear interpolation (to </w:t>
      </w:r>
      <w:r>
        <w:rPr>
          <w:b/>
        </w:rPr>
        <w:t>one decimal place</w:t>
      </w:r>
      <w:r>
        <w:rPr/>
        <w:t>)?</w:t>
      </w:r>
    </w:p>
    <w:p>
      <w:pPr>
        <w:keepNext w:val="0"/>
        <w:spacing w:after="100" w:before="0"/>
      </w:pPr>
      <w:r>
        <w:rPr>
          <w:u w:val="single"/>
        </w:rPr>
        <w:t xml:space="preserve">                        </w:t>
      </w:r>
      <w:r>
        <w:rPr>
          <w:b/>
        </w:rPr>
        <w:t xml:space="preserve"> %</w:t>
      </w:r>
    </w:p>
    <w:p>
      <w:pPr>
        <w:pBdr>
          <w:bottom w:val="single" w:sz="8" w:space="1" w:color="000000"/>
        </w:pBdr>
        <w:spacing w:after="160"/>
      </w:pPr>
    </w:p>
    <w:p>
      <w:pPr>
        <w:keepNext/>
        <w:tabs>
          <w:tab w:pos="9411" w:val="right"/>
        </w:tabs>
        <w:spacing w:before="120" w:after="80"/>
      </w:pPr>
      <w:r>
        <w:rPr>
          <w:b/>
        </w:rPr>
        <w:t>Question 12</w:t>
      </w:r>
      <w:r>
        <w:rPr>
          <w:sz w:val="18"/>
        </w:rPr>
        <w:tab/>
        <w:t>(2 marks)</w:t>
      </w:r>
    </w:p>
    <w:p>
      <w:pPr>
        <w:keepNext/>
        <w:spacing w:after="100" w:before="0"/>
      </w:pPr>
      <w:r>
        <w:rPr/>
        <w:t>Danbridge Fixings Co uses a component at a constant rate of 1,000 units a week, 52 weeks a year. The supply lead time is a constant 3 weeks. The company orders 4,000 units at a time and keeps a buffer (safety) inventory of 1,500 units. Holding one unit in inventory for a year costs $2.50.</w:t>
      </w:r>
    </w:p>
    <w:p>
      <w:pPr>
        <w:keepNext w:val="0"/>
        <w:spacing w:after="100" w:before="0"/>
      </w:pPr>
      <w:r>
        <w:rPr/>
        <w:t>What is the annual cost of holding inventory of the component?</w:t>
      </w:r>
    </w:p>
    <w:p>
      <w:pPr>
        <w:keepNext/>
        <w:spacing w:after="40" w:before="0"/>
        <w:ind w:left="340"/>
      </w:pPr>
      <w:r>
        <w:rPr>
          <w:b/>
        </w:rPr>
        <w:t>A</w:t>
      </w:r>
      <w:r>
        <w:rPr/>
        <w:tab/>
        <w:t>$5,000</w:t>
      </w:r>
    </w:p>
    <w:p>
      <w:pPr>
        <w:keepNext/>
        <w:spacing w:after="40" w:before="0"/>
        <w:ind w:left="340"/>
      </w:pPr>
      <w:r>
        <w:rPr>
          <w:b/>
        </w:rPr>
        <w:t>B</w:t>
      </w:r>
      <w:r>
        <w:rPr/>
        <w:tab/>
        <w:t>$8,750</w:t>
      </w:r>
    </w:p>
    <w:p>
      <w:pPr>
        <w:keepNext/>
        <w:spacing w:after="40" w:before="0"/>
        <w:ind w:left="340"/>
      </w:pPr>
      <w:r>
        <w:rPr>
          <w:b/>
        </w:rPr>
        <w:t>C</w:t>
      </w:r>
      <w:r>
        <w:rPr/>
        <w:tab/>
        <w:t>$11,250</w:t>
      </w:r>
    </w:p>
    <w:p>
      <w:pPr>
        <w:keepNext/>
        <w:spacing w:after="40" w:before="0"/>
        <w:ind w:left="340"/>
      </w:pPr>
      <w:r>
        <w:rPr>
          <w:b/>
        </w:rPr>
        <w:t>D</w:t>
      </w:r>
      <w:r>
        <w:rPr/>
        <w:tab/>
        <w:t>$13,750</w:t>
      </w:r>
    </w:p>
    <w:p>
      <w:pPr>
        <w:pBdr>
          <w:bottom w:val="single" w:sz="8" w:space="1" w:color="000000"/>
        </w:pBdr>
        <w:spacing w:after="160"/>
      </w:pPr>
    </w:p>
    <w:p>
      <w:pPr>
        <w:keepNext/>
        <w:tabs>
          <w:tab w:pos="9411" w:val="right"/>
        </w:tabs>
        <w:spacing w:before="120" w:after="80"/>
      </w:pPr>
      <w:r>
        <w:rPr>
          <w:b/>
        </w:rPr>
        <w:t>Question 13</w:t>
      </w:r>
      <w:r>
        <w:rPr>
          <w:sz w:val="18"/>
        </w:rPr>
        <w:tab/>
        <w:t>(2 marks)</w:t>
      </w:r>
    </w:p>
    <w:p>
      <w:pPr>
        <w:keepNext/>
        <w:spacing w:after="100" w:before="0"/>
      </w:pPr>
      <w:r>
        <w:rPr/>
        <w:t>Fairlop Motors Co is considering moving to a just-in-time (JIT) system for purchasing its components.</w:t>
      </w:r>
    </w:p>
    <w:p>
      <w:pPr>
        <w:keepNext w:val="0"/>
        <w:spacing w:after="100" w:before="0"/>
      </w:pPr>
      <w:r>
        <w:rPr/>
        <w:t>Which of the following statements about JIT are correct?</w:t>
      </w:r>
    </w:p>
    <w:p>
      <w:pPr>
        <w:keepNext/>
        <w:spacing w:after="40" w:before="0"/>
        <w:ind w:left="680" w:hanging="454"/>
      </w:pPr>
      <w:r>
        <w:rPr/>
        <w:t>(1)</w:t>
        <w:tab/>
        <w:t>JIT relies on reliable suppliers and close long-term relationships with them</w:t>
      </w:r>
    </w:p>
    <w:p>
      <w:pPr>
        <w:keepNext/>
        <w:spacing w:after="40" w:before="0"/>
        <w:ind w:left="680" w:hanging="454"/>
      </w:pPr>
      <w:r>
        <w:rPr/>
        <w:t>(2)</w:t>
        <w:tab/>
        <w:t>JIT aims to increase buffer inventory so that production is never interrupted</w:t>
      </w:r>
    </w:p>
    <w:p>
      <w:pPr>
        <w:keepNext/>
        <w:spacing w:after="40" w:before="0"/>
        <w:ind w:left="680" w:hanging="454"/>
      </w:pPr>
      <w:r>
        <w:rPr/>
        <w:t>(3)</w:t>
        <w:tab/>
        <w:t>JIT reduces inventory holding costs but increases the risk of production stopping if a delivery fails</w:t>
      </w:r>
    </w:p>
    <w:p>
      <w:pPr>
        <w:keepNext/>
        <w:spacing w:after="40" w:before="0"/>
        <w:ind w:left="680" w:hanging="454"/>
      </w:pPr>
      <w:r>
        <w:rPr/>
        <w:t>(4)</w:t>
        <w:tab/>
        <w:t>JIT is fully compatible with taking bulk purchase discounts on large orders</w:t>
      </w:r>
    </w:p>
    <w:p>
      <w:pPr>
        <w:keepNext/>
        <w:spacing w:after="40" w:before="0"/>
        <w:ind w:left="340"/>
      </w:pPr>
      <w:r>
        <w:rPr>
          <w:b/>
        </w:rPr>
        <w:t>A</w:t>
      </w:r>
      <w:r>
        <w:rPr/>
        <w:tab/>
        <w:t>1 and 3 only</w:t>
      </w:r>
    </w:p>
    <w:p>
      <w:pPr>
        <w:keepNext/>
        <w:spacing w:after="40" w:before="0"/>
        <w:ind w:left="340"/>
      </w:pPr>
      <w:r>
        <w:rPr>
          <w:b/>
        </w:rPr>
        <w:t>B</w:t>
      </w:r>
      <w:r>
        <w:rPr/>
        <w:tab/>
        <w:t>1, 3 and 4 only</w:t>
      </w:r>
    </w:p>
    <w:p>
      <w:pPr>
        <w:keepNext/>
        <w:spacing w:after="40" w:before="0"/>
        <w:ind w:left="340"/>
      </w:pPr>
      <w:r>
        <w:rPr>
          <w:b/>
        </w:rPr>
        <w:t>C</w:t>
      </w:r>
      <w:r>
        <w:rPr/>
        <w:tab/>
        <w:t>2 and 4 only</w:t>
      </w:r>
    </w:p>
    <w:p>
      <w:pPr>
        <w:keepNext/>
        <w:spacing w:after="40" w:before="0"/>
        <w:ind w:left="340"/>
      </w:pPr>
      <w:r>
        <w:rPr>
          <w:b/>
        </w:rPr>
        <w:t>D</w:t>
      </w:r>
      <w:r>
        <w:rPr/>
        <w:tab/>
        <w:t>1, 2 and 3 only</w:t>
      </w:r>
    </w:p>
    <w:p>
      <w:pPr>
        <w:pBdr>
          <w:bottom w:val="single" w:sz="8" w:space="1" w:color="000000"/>
        </w:pBdr>
        <w:spacing w:after="160"/>
      </w:pPr>
    </w:p>
    <w:p>
      <w:pPr>
        <w:keepNext/>
        <w:tabs>
          <w:tab w:pos="9411" w:val="right"/>
        </w:tabs>
        <w:spacing w:before="120" w:after="80"/>
      </w:pPr>
      <w:r>
        <w:rPr>
          <w:b/>
        </w:rPr>
        <w:t>Question 14</w:t>
      </w:r>
      <w:r>
        <w:rPr>
          <w:sz w:val="18"/>
        </w:rPr>
        <w:tab/>
        <w:t>(2 marks)</w:t>
      </w:r>
    </w:p>
    <w:p>
      <w:pPr>
        <w:keepNext/>
        <w:spacing w:after="100" w:before="0"/>
      </w:pPr>
      <w:r>
        <w:rPr/>
        <w:t>Kelso Tiles Co has annual revenue of $14.6 million, all on credit, and cost of sales of $10.95 million. All purchases are on credit and are equal to cost of sales. Its working capital policy targets the following periods:</w:t>
      </w:r>
    </w:p>
    <w:tbl>
      <w:tblPr>
        <w:tblStyle w:val="TableGrid"/>
        <w:tblW w:type="auto" w:w="0"/>
        <w:jc w:val="center"/>
        <w:tblLayout w:type="fixed"/>
        <w:tblLook w:firstColumn="1" w:firstRow="1" w:lastColumn="0" w:lastRow="0" w:noHBand="0" w:noVBand="1" w:val="04A0"/>
      </w:tblPr>
      <w:tblGrid>
        <w:gridCol w:w="2603"/>
        <w:gridCol w:w="3704"/>
        <w:gridCol w:w="3104"/>
      </w:tblGrid>
      <w:tr>
        <w:trPr>
          <w:cantSplit/>
          <w:tblHeader/>
        </w:trPr>
        <w:tc>
          <w:tcPr>
            <w:tcW w:type="dxa" w:w="2603"/>
          </w:tcPr>
          <w:p>
            <w:pPr>
              <w:spacing w:after="0"/>
            </w:pPr>
            <w:r>
              <w:rPr>
                <w:b/>
                <w:sz w:val="19"/>
              </w:rPr>
              <w:t>Inventory holding period</w:t>
            </w:r>
          </w:p>
        </w:tc>
        <w:tc>
          <w:tcPr>
            <w:tcW w:type="dxa" w:w="3704"/>
          </w:tcPr>
          <w:p>
            <w:pPr>
              <w:spacing w:after="0"/>
              <w:jc w:val="center"/>
            </w:pPr>
            <w:r>
              <w:rPr>
                <w:b/>
                <w:sz w:val="19"/>
              </w:rPr>
              <w:t>Trade receivables collection period</w:t>
            </w:r>
          </w:p>
        </w:tc>
        <w:tc>
          <w:tcPr>
            <w:tcW w:type="dxa" w:w="3104"/>
          </w:tcPr>
          <w:p>
            <w:pPr>
              <w:spacing w:after="0"/>
              <w:jc w:val="center"/>
            </w:pPr>
            <w:r>
              <w:rPr>
                <w:b/>
                <w:sz w:val="19"/>
              </w:rPr>
              <w:t>Trade payables payment period</w:t>
            </w:r>
          </w:p>
        </w:tc>
      </w:tr>
      <w:tr>
        <w:trPr>
          <w:cantSplit/>
        </w:trPr>
        <w:tc>
          <w:tcPr>
            <w:tcW w:type="dxa" w:w="2603"/>
          </w:tcPr>
          <w:p>
            <w:pPr>
              <w:spacing w:after="0"/>
            </w:pPr>
            <w:r>
              <w:rPr>
                <w:sz w:val="19"/>
              </w:rPr>
              <w:t>40 days</w:t>
            </w:r>
          </w:p>
        </w:tc>
        <w:tc>
          <w:tcPr>
            <w:tcW w:type="dxa" w:w="3704"/>
          </w:tcPr>
          <w:p>
            <w:pPr>
              <w:spacing w:after="0"/>
              <w:jc w:val="center"/>
            </w:pPr>
            <w:r>
              <w:rPr>
                <w:sz w:val="19"/>
              </w:rPr>
              <w:t>50 days</w:t>
            </w:r>
          </w:p>
        </w:tc>
        <w:tc>
          <w:tcPr>
            <w:tcW w:type="dxa" w:w="3104"/>
          </w:tcPr>
          <w:p>
            <w:pPr>
              <w:spacing w:after="0"/>
              <w:jc w:val="center"/>
            </w:pPr>
            <w:r>
              <w:rPr>
                <w:sz w:val="19"/>
              </w:rPr>
              <w:t>30 days</w:t>
            </w:r>
          </w:p>
        </w:tc>
      </w:tr>
    </w:tbl>
    <w:p>
      <w:pPr>
        <w:spacing w:after="120"/>
      </w:pPr>
    </w:p>
    <w:p>
      <w:pPr>
        <w:keepNext w:val="0"/>
        <w:spacing w:after="100" w:before="0"/>
      </w:pPr>
      <w:r>
        <w:rPr/>
        <w:t>Assume a 365-day year. What is Kelso Tiles Co's net investment in working capital (inventory plus trade receivables less trade payables) if these targets are met?</w:t>
      </w:r>
    </w:p>
    <w:p>
      <w:pPr>
        <w:keepNext/>
        <w:spacing w:after="40" w:before="0"/>
        <w:ind w:left="340"/>
      </w:pPr>
      <w:r>
        <w:rPr>
          <w:b/>
        </w:rPr>
        <w:t>A</w:t>
      </w:r>
      <w:r>
        <w:rPr/>
        <w:tab/>
        <w:t>$1.8 million</w:t>
      </w:r>
    </w:p>
    <w:p>
      <w:pPr>
        <w:keepNext/>
        <w:spacing w:after="40" w:before="0"/>
        <w:ind w:left="340"/>
      </w:pPr>
      <w:r>
        <w:rPr>
          <w:b/>
        </w:rPr>
        <w:t>B</w:t>
      </w:r>
      <w:r>
        <w:rPr/>
        <w:tab/>
        <w:t>$2.3 million</w:t>
      </w:r>
    </w:p>
    <w:p>
      <w:pPr>
        <w:keepNext/>
        <w:spacing w:after="40" w:before="0"/>
        <w:ind w:left="340"/>
      </w:pPr>
      <w:r>
        <w:rPr>
          <w:b/>
        </w:rPr>
        <w:t>C</w:t>
      </w:r>
      <w:r>
        <w:rPr/>
        <w:tab/>
        <w:t>$2.4 million</w:t>
      </w:r>
    </w:p>
    <w:p>
      <w:pPr>
        <w:keepNext/>
        <w:spacing w:after="40" w:before="0"/>
        <w:ind w:left="340"/>
      </w:pPr>
      <w:r>
        <w:rPr>
          <w:b/>
        </w:rPr>
        <w:t>D</w:t>
      </w:r>
      <w:r>
        <w:rPr/>
        <w:tab/>
        <w:t>$3.2 million</w:t>
      </w:r>
    </w:p>
    <w:p>
      <w:pPr>
        <w:pBdr>
          <w:bottom w:val="single" w:sz="8" w:space="1" w:color="000000"/>
        </w:pBdr>
        <w:spacing w:after="160"/>
      </w:pPr>
    </w:p>
    <w:p>
      <w:pPr>
        <w:keepNext/>
        <w:tabs>
          <w:tab w:pos="9411" w:val="right"/>
        </w:tabs>
        <w:spacing w:before="120" w:after="80"/>
      </w:pPr>
      <w:r>
        <w:rPr>
          <w:b/>
        </w:rPr>
        <w:t>Question 15</w:t>
      </w:r>
      <w:r>
        <w:rPr>
          <w:sz w:val="18"/>
        </w:rPr>
        <w:tab/>
        <w:t>(2 marks)</w:t>
      </w:r>
    </w:p>
    <w:p>
      <w:pPr>
        <w:keepNext/>
        <w:spacing w:after="100" w:before="0"/>
      </w:pPr>
      <w:r>
        <w:rPr/>
        <w:t>Which TWO of the following are typical symptoms of a company that is overtrading?</w:t>
      </w:r>
    </w:p>
    <w:p>
      <w:pPr>
        <w:keepNext/>
        <w:spacing w:after="40" w:before="0"/>
        <w:ind w:left="340"/>
      </w:pPr>
      <w:r>
        <w:rPr>
          <w:sz w:val="24"/>
        </w:rPr>
        <w:t>☐</w:t>
      </w:r>
      <w:r>
        <w:rPr/>
        <w:t xml:space="preserve">   A rapid increase in sales revenue</w:t>
      </w:r>
    </w:p>
    <w:p>
      <w:pPr>
        <w:keepNext/>
        <w:spacing w:after="40" w:before="0"/>
        <w:ind w:left="340"/>
      </w:pPr>
      <w:r>
        <w:rPr>
          <w:sz w:val="24"/>
        </w:rPr>
        <w:t>☐</w:t>
      </w:r>
      <w:r>
        <w:rPr/>
        <w:t xml:space="preserve">   A rising current ratio and quick ratio</w:t>
      </w:r>
    </w:p>
    <w:p>
      <w:pPr>
        <w:keepNext/>
        <w:spacing w:after="40" w:before="0"/>
        <w:ind w:left="340"/>
      </w:pPr>
      <w:r>
        <w:rPr>
          <w:sz w:val="24"/>
        </w:rPr>
        <w:t>☐</w:t>
      </w:r>
      <w:r>
        <w:rPr/>
        <w:t xml:space="preserve">   A lengthening of trade payables days as suppliers are paid later</w:t>
      </w:r>
    </w:p>
    <w:p>
      <w:pPr>
        <w:keepNext/>
        <w:spacing w:after="40" w:before="0"/>
        <w:ind w:left="340"/>
      </w:pPr>
      <w:r>
        <w:rPr>
          <w:sz w:val="24"/>
        </w:rPr>
        <w:t>☐</w:t>
      </w:r>
      <w:r>
        <w:rPr/>
        <w:t xml:space="preserve">   A fall in the bank overdraft balance</w:t>
      </w:r>
    </w:p>
    <w:p>
      <w:pPr>
        <w:keepNext/>
        <w:spacing w:after="40" w:before="0"/>
        <w:ind w:left="340"/>
      </w:pPr>
      <w:r>
        <w:rPr>
          <w:sz w:val="24"/>
        </w:rPr>
        <w:t>☐</w:t>
      </w:r>
      <w:r>
        <w:rPr/>
        <w:t xml:space="preserve">   An increase in the proportion of assets financed by long-term capital</w:t>
      </w:r>
    </w:p>
    <w:p>
      <w:pPr>
        <w:pBdr>
          <w:bottom w:val="single" w:sz="8" w:space="1" w:color="000000"/>
        </w:pBdr>
        <w:spacing w:after="160"/>
      </w:pPr>
    </w:p>
    <w:p>
      <w:pPr>
        <w:pStyle w:val="Heading1"/>
        <w:pageBreakBefore/>
      </w:pPr>
      <w:r>
        <w:rPr>
          <w:b/>
          <w:color w:val="000000"/>
        </w:rPr>
        <w:t>Section B: ALL 10 questions are compulsory</w:t>
      </w:r>
    </w:p>
    <w:p>
      <w:pPr>
        <w:pStyle w:val="Heading2"/>
        <w:pageBreakBefore w:val="0"/>
      </w:pPr>
      <w:r>
        <w:rPr>
          <w:b/>
          <w:color w:val="000000"/>
        </w:rPr>
        <w:t>The following scenario relates to questions 16 to 20</w:t>
      </w:r>
    </w:p>
    <w:p>
      <w:pPr>
        <w:keepNext w:val="0"/>
        <w:spacing w:after="100" w:before="0"/>
      </w:pPr>
      <w:r>
        <w:rPr/>
        <w:t>Orvelle Co manufactures specialist packaging and is considering buying a new moulding machine to make a new product. Ignore taxation and inflation.</w:t>
      </w:r>
    </w:p>
    <w:p>
      <w:pPr>
        <w:pStyle w:val="ListBullet"/>
        <w:spacing w:after="40"/>
      </w:pPr>
      <w:r>
        <w:rPr/>
        <w:t>The machine will cost $400,000 at the start of the project. It will be used for four years and then sold for $40,000.</w:t>
      </w:r>
    </w:p>
    <w:p>
      <w:pPr>
        <w:pStyle w:val="ListBullet"/>
        <w:spacing w:after="40"/>
      </w:pPr>
      <w:r>
        <w:rPr/>
        <w:t>Sales of the new product, less all incremental operating costs, will generate net cash inflows of $140,000 in Year 1, $180,000 in Year 2, $170,000 in Year 3 and $150,000 in Year 4.</w:t>
      </w:r>
    </w:p>
    <w:p>
      <w:pPr>
        <w:pStyle w:val="ListBullet"/>
        <w:spacing w:after="40"/>
      </w:pPr>
      <w:r>
        <w:rPr/>
        <w:t>The product will be made in part of a warehouse that Orvelle Co currently lets to a tenant for $20,000 a year, received at the end of each year. The lease will end when the project starts.</w:t>
      </w:r>
    </w:p>
    <w:p>
      <w:pPr>
        <w:pStyle w:val="ListBullet"/>
        <w:spacing w:after="40"/>
      </w:pPr>
      <w:r>
        <w:rPr/>
        <w:t>The project will use materials that are already in inventory. They cost $30,000 last year and cannot be used in their current form elsewhere in the business. They could be sold now for $12,000, or used now as a substitute in another product, which would save $15,000 of purchases.</w:t>
      </w:r>
    </w:p>
    <w:p>
      <w:pPr>
        <w:pStyle w:val="ListBullet"/>
        <w:spacing w:after="40"/>
      </w:pPr>
      <w:r>
        <w:rPr/>
        <w:t>Working capital of $50,000 is needed at the start of the project and will be released in full at the end of Year 4.</w:t>
      </w:r>
    </w:p>
    <w:p>
      <w:pPr>
        <w:pStyle w:val="ListBullet"/>
        <w:spacing w:after="40"/>
      </w:pPr>
      <w:r>
        <w:rPr/>
        <w:t>A feasibility study for the project has already been carried out and paid for at a cost of $25,000.</w:t>
      </w:r>
    </w:p>
    <w:p>
      <w:pPr>
        <w:pStyle w:val="ListBullet"/>
        <w:spacing w:after="40"/>
      </w:pPr>
      <w:r>
        <w:rPr/>
        <w:t>Head office overheads of $15,000 a year will be apportioned to the project. Total head office overheads will not change.</w:t>
      </w:r>
    </w:p>
    <w:p>
      <w:pPr>
        <w:pStyle w:val="ListBullet"/>
        <w:spacing w:after="40"/>
      </w:pPr>
      <w:r>
        <w:rPr/>
        <w:t>Orvelle Co's cost of capital is 10% per year. At a discount rate of 20%, the project has an NPV of $(61,110).</w:t>
      </w:r>
    </w:p>
    <w:p>
      <w:pPr>
        <w:keepNext/>
        <w:tabs>
          <w:tab w:pos="9411" w:val="right"/>
        </w:tabs>
        <w:spacing w:before="120" w:after="80"/>
      </w:pPr>
      <w:r>
        <w:rPr>
          <w:b/>
        </w:rPr>
        <w:t>Question 16</w:t>
      </w:r>
      <w:r>
        <w:rPr>
          <w:sz w:val="18"/>
        </w:rPr>
        <w:tab/>
        <w:t>(2 marks)</w:t>
      </w:r>
    </w:p>
    <w:p>
      <w:pPr>
        <w:keepNext/>
        <w:spacing w:after="100" w:before="0"/>
      </w:pPr>
      <w:r>
        <w:rPr/>
        <w:t>What is the relevant cost of the materials already in inventory, to be included at the start of the project?</w:t>
      </w:r>
    </w:p>
    <w:p>
      <w:pPr>
        <w:keepNext/>
        <w:spacing w:after="40" w:before="0"/>
        <w:ind w:left="340"/>
      </w:pPr>
      <w:r>
        <w:rPr>
          <w:b/>
        </w:rPr>
        <w:t>A</w:t>
      </w:r>
      <w:r>
        <w:rPr/>
        <w:tab/>
        <w:t>$12,000</w:t>
      </w:r>
    </w:p>
    <w:p>
      <w:pPr>
        <w:keepNext/>
        <w:spacing w:after="40" w:before="0"/>
        <w:ind w:left="340"/>
      </w:pPr>
      <w:r>
        <w:rPr>
          <w:b/>
        </w:rPr>
        <w:t>B</w:t>
      </w:r>
      <w:r>
        <w:rPr/>
        <w:tab/>
        <w:t>$15,000</w:t>
      </w:r>
    </w:p>
    <w:p>
      <w:pPr>
        <w:keepNext/>
        <w:spacing w:after="40" w:before="0"/>
        <w:ind w:left="340"/>
      </w:pPr>
      <w:r>
        <w:rPr>
          <w:b/>
        </w:rPr>
        <w:t>C</w:t>
      </w:r>
      <w:r>
        <w:rPr/>
        <w:tab/>
        <w:t>$27,000</w:t>
      </w:r>
    </w:p>
    <w:p>
      <w:pPr>
        <w:keepNext/>
        <w:spacing w:after="40" w:before="0"/>
        <w:ind w:left="340"/>
      </w:pPr>
      <w:r>
        <w:rPr>
          <w:b/>
        </w:rPr>
        <w:t>D</w:t>
      </w:r>
      <w:r>
        <w:rPr/>
        <w:tab/>
        <w:t>$30,000</w:t>
      </w:r>
    </w:p>
    <w:p>
      <w:pPr>
        <w:pBdr>
          <w:bottom w:val="single" w:sz="8" w:space="1" w:color="000000"/>
        </w:pBdr>
        <w:spacing w:after="160"/>
      </w:pPr>
    </w:p>
    <w:p>
      <w:pPr>
        <w:keepNext/>
        <w:tabs>
          <w:tab w:pos="9411" w:val="right"/>
        </w:tabs>
        <w:spacing w:before="120" w:after="80"/>
      </w:pPr>
      <w:r>
        <w:rPr>
          <w:b/>
        </w:rPr>
        <w:t>Question 17</w:t>
      </w:r>
      <w:r>
        <w:rPr>
          <w:sz w:val="18"/>
        </w:rPr>
        <w:tab/>
        <w:t>(2 marks)</w:t>
      </w:r>
    </w:p>
    <w:p>
      <w:pPr>
        <w:keepNext/>
        <w:spacing w:after="100" w:before="0"/>
      </w:pPr>
      <w:r>
        <w:rPr/>
        <w:t xml:space="preserve">Which TWO of the following should be </w:t>
      </w:r>
      <w:r>
        <w:rPr>
          <w:b/>
        </w:rPr>
        <w:t>excluded</w:t>
      </w:r>
      <w:r>
        <w:rPr/>
        <w:t xml:space="preserve"> from the NPV appraisal?</w:t>
      </w:r>
    </w:p>
    <w:p>
      <w:pPr>
        <w:keepNext/>
        <w:spacing w:after="40" w:before="0"/>
        <w:ind w:left="340"/>
      </w:pPr>
      <w:r>
        <w:rPr>
          <w:sz w:val="24"/>
        </w:rPr>
        <w:t>☐</w:t>
      </w:r>
      <w:r>
        <w:rPr/>
        <w:t xml:space="preserve">   The rent of $20,000 a year that will no longer be received</w:t>
      </w:r>
    </w:p>
    <w:p>
      <w:pPr>
        <w:keepNext/>
        <w:spacing w:after="40" w:before="0"/>
        <w:ind w:left="340"/>
      </w:pPr>
      <w:r>
        <w:rPr>
          <w:sz w:val="24"/>
        </w:rPr>
        <w:t>☐</w:t>
      </w:r>
      <w:r>
        <w:rPr/>
        <w:t xml:space="preserve">   The feasibility study cost of $25,000</w:t>
      </w:r>
    </w:p>
    <w:p>
      <w:pPr>
        <w:keepNext/>
        <w:spacing w:after="40" w:before="0"/>
        <w:ind w:left="340"/>
      </w:pPr>
      <w:r>
        <w:rPr>
          <w:sz w:val="24"/>
        </w:rPr>
        <w:t>☐</w:t>
      </w:r>
      <w:r>
        <w:rPr/>
        <w:t xml:space="preserve">   The working capital of $50,000</w:t>
      </w:r>
    </w:p>
    <w:p>
      <w:pPr>
        <w:keepNext/>
        <w:spacing w:after="40" w:before="0"/>
        <w:ind w:left="340"/>
      </w:pPr>
      <w:r>
        <w:rPr>
          <w:sz w:val="24"/>
        </w:rPr>
        <w:t>☐</w:t>
      </w:r>
      <w:r>
        <w:rPr/>
        <w:t xml:space="preserve">   The head office overheads of $15,000 a year apportioned to the project</w:t>
      </w:r>
    </w:p>
    <w:p>
      <w:pPr>
        <w:pBdr>
          <w:bottom w:val="single" w:sz="8" w:space="1" w:color="000000"/>
        </w:pBdr>
        <w:spacing w:after="160"/>
      </w:pPr>
    </w:p>
    <w:p>
      <w:pPr>
        <w:keepNext/>
        <w:tabs>
          <w:tab w:pos="9411" w:val="right"/>
        </w:tabs>
        <w:spacing w:before="120" w:after="80"/>
      </w:pPr>
      <w:r>
        <w:rPr>
          <w:b/>
        </w:rPr>
        <w:t>Question 18</w:t>
      </w:r>
      <w:r>
        <w:rPr>
          <w:sz w:val="18"/>
        </w:rPr>
        <w:tab/>
        <w:t>(2 marks)</w:t>
      </w:r>
    </w:p>
    <w:p>
      <w:pPr>
        <w:keepNext/>
        <w:spacing w:after="100" w:before="0"/>
      </w:pPr>
      <w:r>
        <w:rPr/>
        <w:t xml:space="preserve">What is the net present value of the project at Orvelle Co's cost of capital (to the </w:t>
      </w:r>
      <w:r>
        <w:rPr>
          <w:b/>
        </w:rPr>
        <w:t>nearest $</w:t>
      </w:r>
      <w:r>
        <w:rPr/>
        <w:t>)?</w:t>
      </w:r>
    </w:p>
    <w:p>
      <w:pPr>
        <w:keepNext w:val="0"/>
        <w:spacing w:after="100" w:before="0"/>
      </w:pPr>
      <w:r>
        <w:rPr>
          <w:b/>
        </w:rPr>
        <w:t>$</w:t>
      </w:r>
      <w:r>
        <w:rPr>
          <w:u w:val="single"/>
        </w:rPr>
        <w:t xml:space="preserve">                              </w:t>
      </w:r>
    </w:p>
    <w:p>
      <w:pPr>
        <w:pBdr>
          <w:bottom w:val="single" w:sz="8" w:space="1" w:color="000000"/>
        </w:pBdr>
        <w:spacing w:after="160"/>
      </w:pPr>
    </w:p>
    <w:p>
      <w:pPr>
        <w:keepNext/>
        <w:tabs>
          <w:tab w:pos="9411" w:val="right"/>
        </w:tabs>
        <w:spacing w:before="120" w:after="80"/>
      </w:pPr>
      <w:r>
        <w:rPr>
          <w:b/>
        </w:rPr>
        <w:t>Question 19</w:t>
      </w:r>
      <w:r>
        <w:rPr>
          <w:sz w:val="18"/>
        </w:rPr>
        <w:tab/>
        <w:t>(2 marks)</w:t>
      </w:r>
    </w:p>
    <w:p>
      <w:pPr>
        <w:keepNext/>
        <w:spacing w:after="100" w:before="0"/>
      </w:pPr>
      <w:r>
        <w:rPr/>
        <w:t>What is the internal rate of return (IRR) of the project, using linear interpolation?</w:t>
      </w:r>
    </w:p>
    <w:p>
      <w:pPr>
        <w:keepNext/>
        <w:spacing w:after="40" w:before="0"/>
        <w:ind w:left="340"/>
      </w:pPr>
      <w:r>
        <w:rPr>
          <w:b/>
        </w:rPr>
        <w:t>A</w:t>
      </w:r>
      <w:r>
        <w:rPr/>
        <w:tab/>
        <w:t>13.9%</w:t>
      </w:r>
    </w:p>
    <w:p>
      <w:pPr>
        <w:keepNext/>
        <w:spacing w:after="40" w:before="0"/>
        <w:ind w:left="340"/>
      </w:pPr>
      <w:r>
        <w:rPr>
          <w:b/>
        </w:rPr>
        <w:t>B</w:t>
      </w:r>
      <w:r>
        <w:rPr/>
        <w:tab/>
        <w:t>16.1%</w:t>
      </w:r>
    </w:p>
    <w:p>
      <w:pPr>
        <w:keepNext/>
        <w:spacing w:after="40" w:before="0"/>
        <w:ind w:left="340"/>
      </w:pPr>
      <w:r>
        <w:rPr>
          <w:b/>
        </w:rPr>
        <w:t>C</w:t>
      </w:r>
      <w:r>
        <w:rPr/>
        <w:tab/>
        <w:t>20.0%</w:t>
      </w:r>
    </w:p>
    <w:p>
      <w:pPr>
        <w:keepNext/>
        <w:spacing w:after="40" w:before="0"/>
        <w:ind w:left="340"/>
      </w:pPr>
      <w:r>
        <w:rPr>
          <w:b/>
        </w:rPr>
        <w:t>D</w:t>
      </w:r>
      <w:r>
        <w:rPr/>
        <w:tab/>
        <w:t>27.8%</w:t>
      </w:r>
    </w:p>
    <w:p>
      <w:pPr>
        <w:pBdr>
          <w:bottom w:val="single" w:sz="8" w:space="1" w:color="000000"/>
        </w:pBdr>
        <w:spacing w:after="160"/>
      </w:pPr>
    </w:p>
    <w:p>
      <w:pPr>
        <w:keepNext/>
        <w:tabs>
          <w:tab w:pos="9411" w:val="right"/>
        </w:tabs>
        <w:spacing w:before="120" w:after="80"/>
      </w:pPr>
      <w:r>
        <w:rPr>
          <w:b/>
        </w:rPr>
        <w:t>Question 20</w:t>
      </w:r>
      <w:r>
        <w:rPr>
          <w:sz w:val="18"/>
        </w:rPr>
        <w:tab/>
        <w:t>(2 marks)</w:t>
      </w:r>
    </w:p>
    <w:p>
      <w:pPr>
        <w:keepNext/>
        <w:spacing w:after="100" w:before="0"/>
      </w:pPr>
      <w:r>
        <w:rPr/>
        <w:t>Identify whether each of the following statements about NPV and IRR is true or false.</w:t>
      </w:r>
    </w:p>
    <w:tbl>
      <w:tblPr>
        <w:tblStyle w:val="TableGrid"/>
        <w:tblW w:type="auto" w:w="0"/>
        <w:jc w:val="center"/>
        <w:tblLayout w:type="fixed"/>
        <w:tblLook w:firstColumn="1" w:firstRow="1" w:lastColumn="0" w:lastRow="0" w:noHBand="0" w:noVBand="1" w:val="04A0"/>
      </w:tblPr>
      <w:tblGrid>
        <w:gridCol w:w="7735"/>
        <w:gridCol w:w="774"/>
        <w:gridCol w:w="902"/>
      </w:tblGrid>
      <w:tr>
        <w:trPr>
          <w:cantSplit/>
          <w:tblHeader/>
        </w:trPr>
        <w:tc>
          <w:tcPr>
            <w:tcW w:type="dxa" w:w="7735"/>
          </w:tcPr>
          <w:p>
            <w:pPr>
              <w:spacing w:after="0"/>
            </w:pPr>
            <w:r>
              <w:rPr>
                <w:b/>
                <w:sz w:val="19"/>
              </w:rPr>
              <w:t>Statement</w:t>
            </w:r>
          </w:p>
        </w:tc>
        <w:tc>
          <w:tcPr>
            <w:tcW w:type="dxa" w:w="774"/>
          </w:tcPr>
          <w:p>
            <w:pPr>
              <w:spacing w:after="0"/>
              <w:jc w:val="center"/>
            </w:pPr>
            <w:r>
              <w:rPr>
                <w:b/>
                <w:sz w:val="19"/>
              </w:rPr>
              <w:t>True</w:t>
            </w:r>
          </w:p>
        </w:tc>
        <w:tc>
          <w:tcPr>
            <w:tcW w:type="dxa" w:w="902"/>
          </w:tcPr>
          <w:p>
            <w:pPr>
              <w:spacing w:after="0"/>
              <w:jc w:val="center"/>
            </w:pPr>
            <w:r>
              <w:rPr>
                <w:b/>
                <w:sz w:val="19"/>
              </w:rPr>
              <w:t>False</w:t>
            </w:r>
          </w:p>
        </w:tc>
      </w:tr>
      <w:tr>
        <w:trPr>
          <w:cantSplit/>
        </w:trPr>
        <w:tc>
          <w:tcPr>
            <w:tcW w:type="dxa" w:w="7735"/>
          </w:tcPr>
          <w:p>
            <w:pPr>
              <w:spacing w:after="0"/>
            </w:pPr>
            <w:r>
              <w:rPr>
                <w:sz w:val="19"/>
              </w:rPr>
              <w:t>Where NPV and IRR give conflicting rankings for mutually exclusive projects, the NPV ranking should be preferred</w:t>
            </w:r>
          </w:p>
        </w:tc>
        <w:tc>
          <w:tcPr>
            <w:tcW w:type="dxa" w:w="774"/>
          </w:tcPr>
          <w:p>
            <w:pPr>
              <w:spacing w:after="0"/>
              <w:jc w:val="center"/>
            </w:pPr>
            <w:r>
              <w:rPr>
                <w:sz w:val="24"/>
              </w:rPr>
              <w:t>☐</w:t>
            </w:r>
          </w:p>
        </w:tc>
        <w:tc>
          <w:tcPr>
            <w:tcW w:type="dxa" w:w="902"/>
          </w:tcPr>
          <w:p>
            <w:pPr>
              <w:spacing w:after="0"/>
              <w:jc w:val="center"/>
            </w:pPr>
            <w:r>
              <w:rPr>
                <w:sz w:val="24"/>
              </w:rPr>
              <w:t>☐</w:t>
            </w:r>
          </w:p>
        </w:tc>
      </w:tr>
      <w:tr>
        <w:trPr>
          <w:cantSplit/>
        </w:trPr>
        <w:tc>
          <w:tcPr>
            <w:tcW w:type="dxa" w:w="7735"/>
          </w:tcPr>
          <w:p>
            <w:pPr>
              <w:spacing w:after="0"/>
            </w:pPr>
            <w:r>
              <w:rPr>
                <w:sz w:val="19"/>
              </w:rPr>
              <w:t>The IRR method assumes that cash inflows can be reinvested at the IRR</w:t>
            </w:r>
          </w:p>
        </w:tc>
        <w:tc>
          <w:tcPr>
            <w:tcW w:type="dxa" w:w="774"/>
          </w:tcPr>
          <w:p>
            <w:pPr>
              <w:spacing w:after="0"/>
              <w:jc w:val="center"/>
            </w:pPr>
            <w:r>
              <w:rPr>
                <w:sz w:val="24"/>
              </w:rPr>
              <w:t>☐</w:t>
            </w:r>
          </w:p>
        </w:tc>
        <w:tc>
          <w:tcPr>
            <w:tcW w:type="dxa" w:w="902"/>
          </w:tcPr>
          <w:p>
            <w:pPr>
              <w:spacing w:after="0"/>
              <w:jc w:val="center"/>
            </w:pPr>
            <w:r>
              <w:rPr>
                <w:sz w:val="24"/>
              </w:rPr>
              <w:t>☐</w:t>
            </w:r>
          </w:p>
        </w:tc>
      </w:tr>
      <w:tr>
        <w:trPr>
          <w:cantSplit/>
        </w:trPr>
        <w:tc>
          <w:tcPr>
            <w:tcW w:type="dxa" w:w="7735"/>
          </w:tcPr>
          <w:p>
            <w:pPr>
              <w:spacing w:after="0"/>
            </w:pPr>
            <w:r>
              <w:rPr>
                <w:sz w:val="19"/>
              </w:rPr>
              <w:t>A project whose cash flows change from positive to negative more than once can have only one IRR</w:t>
            </w:r>
          </w:p>
        </w:tc>
        <w:tc>
          <w:tcPr>
            <w:tcW w:type="dxa" w:w="774"/>
          </w:tcPr>
          <w:p>
            <w:pPr>
              <w:spacing w:after="0"/>
              <w:jc w:val="center"/>
            </w:pPr>
            <w:r>
              <w:rPr>
                <w:sz w:val="24"/>
              </w:rPr>
              <w:t>☐</w:t>
            </w:r>
          </w:p>
        </w:tc>
        <w:tc>
          <w:tcPr>
            <w:tcW w:type="dxa" w:w="902"/>
          </w:tcPr>
          <w:p>
            <w:pPr>
              <w:spacing w:after="0"/>
              <w:jc w:val="center"/>
            </w:pPr>
            <w:r>
              <w:rPr>
                <w:sz w:val="24"/>
              </w:rPr>
              <w:t>☐</w:t>
            </w:r>
          </w:p>
        </w:tc>
      </w:tr>
    </w:tbl>
    <w:p>
      <w:pPr>
        <w:spacing w:after="120"/>
      </w:pPr>
    </w:p>
    <w:p>
      <w:pPr>
        <w:pBdr>
          <w:bottom w:val="single" w:sz="8" w:space="1" w:color="000000"/>
        </w:pBdr>
        <w:spacing w:after="160"/>
      </w:pPr>
    </w:p>
    <w:p>
      <w:pPr>
        <w:pStyle w:val="Heading2"/>
        <w:pageBreakBefore w:val="0"/>
      </w:pPr>
      <w:r>
        <w:rPr>
          <w:b/>
          <w:color w:val="000000"/>
        </w:rPr>
        <w:t>The following scenario relates to questions 21 to 25</w:t>
      </w:r>
    </w:p>
    <w:p>
      <w:pPr>
        <w:keepNext w:val="0"/>
        <w:spacing w:after="100" w:before="0"/>
      </w:pPr>
      <w:r>
        <w:rPr/>
        <w:t>Corvane Co supplies electrical components to the construction industry. Extracts from its most recent financial statements are:</w:t>
      </w:r>
    </w:p>
    <w:tbl>
      <w:tblPr>
        <w:tblStyle w:val="TableGrid"/>
        <w:tblW w:type="auto" w:w="0"/>
        <w:jc w:val="center"/>
        <w:tblLayout w:type="fixed"/>
        <w:tblLook w:firstColumn="1" w:firstRow="1" w:lastColumn="0" w:lastRow="0" w:noHBand="0" w:noVBand="1" w:val="04A0"/>
      </w:tblPr>
      <w:tblGrid>
        <w:gridCol w:w="6623"/>
        <w:gridCol w:w="2788"/>
      </w:tblGrid>
      <w:tr>
        <w:trPr>
          <w:cantSplit/>
          <w:tblHeader/>
        </w:trPr>
        <w:tc>
          <w:tcPr>
            <w:tcW w:type="dxa" w:w="6623"/>
          </w:tcPr>
          <w:p>
            <w:pPr>
              <w:spacing w:after="0"/>
            </w:pPr>
          </w:p>
        </w:tc>
        <w:tc>
          <w:tcPr>
            <w:tcW w:type="dxa" w:w="2788"/>
          </w:tcPr>
          <w:p>
            <w:pPr>
              <w:spacing w:after="0"/>
              <w:jc w:val="center"/>
            </w:pPr>
            <w:r>
              <w:rPr>
                <w:b/>
                <w:sz w:val="19"/>
              </w:rPr>
              <w:t>$m</w:t>
            </w:r>
          </w:p>
        </w:tc>
      </w:tr>
      <w:tr>
        <w:trPr>
          <w:cantSplit/>
        </w:trPr>
        <w:tc>
          <w:tcPr>
            <w:tcW w:type="dxa" w:w="6623"/>
          </w:tcPr>
          <w:p>
            <w:pPr>
              <w:spacing w:after="0"/>
            </w:pPr>
            <w:r>
              <w:rPr>
                <w:sz w:val="19"/>
              </w:rPr>
              <w:t>Revenue</w:t>
            </w:r>
          </w:p>
        </w:tc>
        <w:tc>
          <w:tcPr>
            <w:tcW w:type="dxa" w:w="2788"/>
          </w:tcPr>
          <w:p>
            <w:pPr>
              <w:spacing w:after="0"/>
              <w:jc w:val="center"/>
            </w:pPr>
            <w:r>
              <w:rPr>
                <w:sz w:val="19"/>
              </w:rPr>
              <w:t>18.250</w:t>
            </w:r>
          </w:p>
        </w:tc>
      </w:tr>
      <w:tr>
        <w:trPr>
          <w:cantSplit/>
        </w:trPr>
        <w:tc>
          <w:tcPr>
            <w:tcW w:type="dxa" w:w="6623"/>
          </w:tcPr>
          <w:p>
            <w:pPr>
              <w:spacing w:after="0"/>
            </w:pPr>
            <w:r>
              <w:rPr>
                <w:sz w:val="19"/>
              </w:rPr>
              <w:t>Cost of sales</w:t>
            </w:r>
          </w:p>
        </w:tc>
        <w:tc>
          <w:tcPr>
            <w:tcW w:type="dxa" w:w="2788"/>
          </w:tcPr>
          <w:p>
            <w:pPr>
              <w:spacing w:after="0"/>
              <w:jc w:val="center"/>
            </w:pPr>
            <w:r>
              <w:rPr>
                <w:sz w:val="19"/>
              </w:rPr>
              <w:t>12.775</w:t>
            </w:r>
          </w:p>
        </w:tc>
      </w:tr>
      <w:tr>
        <w:trPr>
          <w:cantSplit/>
        </w:trPr>
        <w:tc>
          <w:tcPr>
            <w:tcW w:type="dxa" w:w="6623"/>
          </w:tcPr>
          <w:p>
            <w:pPr>
              <w:spacing w:after="0"/>
            </w:pPr>
            <w:r>
              <w:rPr>
                <w:sz w:val="19"/>
              </w:rPr>
              <w:t>Inventory</w:t>
            </w:r>
          </w:p>
        </w:tc>
        <w:tc>
          <w:tcPr>
            <w:tcW w:type="dxa" w:w="2788"/>
          </w:tcPr>
          <w:p>
            <w:pPr>
              <w:spacing w:after="0"/>
              <w:jc w:val="center"/>
            </w:pPr>
            <w:r>
              <w:rPr>
                <w:sz w:val="19"/>
              </w:rPr>
              <w:t>1.400</w:t>
            </w:r>
          </w:p>
        </w:tc>
      </w:tr>
      <w:tr>
        <w:trPr>
          <w:cantSplit/>
        </w:trPr>
        <w:tc>
          <w:tcPr>
            <w:tcW w:type="dxa" w:w="6623"/>
          </w:tcPr>
          <w:p>
            <w:pPr>
              <w:spacing w:after="0"/>
            </w:pPr>
            <w:r>
              <w:rPr>
                <w:sz w:val="19"/>
              </w:rPr>
              <w:t>Trade receivables</w:t>
            </w:r>
          </w:p>
        </w:tc>
        <w:tc>
          <w:tcPr>
            <w:tcW w:type="dxa" w:w="2788"/>
          </w:tcPr>
          <w:p>
            <w:pPr>
              <w:spacing w:after="0"/>
              <w:jc w:val="center"/>
            </w:pPr>
            <w:r>
              <w:rPr>
                <w:sz w:val="19"/>
              </w:rPr>
              <w:t>2.000</w:t>
            </w:r>
          </w:p>
        </w:tc>
      </w:tr>
      <w:tr>
        <w:trPr>
          <w:cantSplit/>
        </w:trPr>
        <w:tc>
          <w:tcPr>
            <w:tcW w:type="dxa" w:w="6623"/>
          </w:tcPr>
          <w:p>
            <w:pPr>
              <w:spacing w:after="0"/>
            </w:pPr>
            <w:r>
              <w:rPr>
                <w:sz w:val="19"/>
              </w:rPr>
              <w:t>Trade payables</w:t>
            </w:r>
          </w:p>
        </w:tc>
        <w:tc>
          <w:tcPr>
            <w:tcW w:type="dxa" w:w="2788"/>
          </w:tcPr>
          <w:p>
            <w:pPr>
              <w:spacing w:after="0"/>
              <w:jc w:val="center"/>
            </w:pPr>
            <w:r>
              <w:rPr>
                <w:sz w:val="19"/>
              </w:rPr>
              <w:t>1.120</w:t>
            </w:r>
          </w:p>
        </w:tc>
      </w:tr>
      <w:tr>
        <w:trPr>
          <w:cantSplit/>
        </w:trPr>
        <w:tc>
          <w:tcPr>
            <w:tcW w:type="dxa" w:w="6623"/>
          </w:tcPr>
          <w:p>
            <w:pPr>
              <w:spacing w:after="0"/>
            </w:pPr>
            <w:r>
              <w:rPr>
                <w:sz w:val="19"/>
              </w:rPr>
              <w:t>Bank overdraft</w:t>
            </w:r>
          </w:p>
        </w:tc>
        <w:tc>
          <w:tcPr>
            <w:tcW w:type="dxa" w:w="2788"/>
          </w:tcPr>
          <w:p>
            <w:pPr>
              <w:spacing w:after="0"/>
              <w:jc w:val="center"/>
            </w:pPr>
            <w:r>
              <w:rPr>
                <w:sz w:val="19"/>
              </w:rPr>
              <w:t>0.900</w:t>
            </w:r>
          </w:p>
        </w:tc>
      </w:tr>
    </w:tbl>
    <w:p>
      <w:pPr>
        <w:spacing w:after="120"/>
      </w:pPr>
    </w:p>
    <w:p>
      <w:pPr>
        <w:keepNext w:val="0"/>
        <w:spacing w:after="100" w:before="0"/>
      </w:pPr>
      <w:r>
        <w:rPr/>
        <w:t>80% of revenue is on credit; the rest is cash sales. Purchases on credit are 80% of cost of sales. Corvane Co has no cash balances. Assume a 365-day year.</w:t>
      </w:r>
    </w:p>
    <w:p>
      <w:pPr>
        <w:keepNext w:val="0"/>
        <w:spacing w:after="100" w:before="0"/>
      </w:pPr>
      <w:r>
        <w:rPr/>
        <w:t>Corvane Co uses 64,000 units of component T7 each year at a price of $8.00 per unit. Each order costs $50 to place, and holding one unit for a year costs $1.60. The supplier has offered a 1% discount on all units if Corvane Co places orders of 8,000 units or more.</w:t>
      </w:r>
    </w:p>
    <w:p>
      <w:pPr>
        <w:keepNext w:val="0"/>
        <w:spacing w:after="100" w:before="0"/>
      </w:pPr>
      <w:r>
        <w:rPr/>
        <w:t>Component T7 is used over 250 working days a year. Daily usage is 256 units on average and 320 units at most. The supplier's lead time is 7 working days on average and 10 working days at most. Corvane Co sets its reorder level so that it never runs out of T7. The board is also considering moving to just-in-time (JIT) purchasing for T7.</w:t>
      </w:r>
    </w:p>
    <w:p>
      <w:pPr>
        <w:keepNext/>
        <w:tabs>
          <w:tab w:pos="9411" w:val="right"/>
        </w:tabs>
        <w:spacing w:before="120" w:after="80"/>
      </w:pPr>
      <w:r>
        <w:rPr>
          <w:b/>
        </w:rPr>
        <w:t>Question 21</w:t>
      </w:r>
      <w:r>
        <w:rPr>
          <w:sz w:val="18"/>
        </w:rPr>
        <w:tab/>
        <w:t>(2 marks)</w:t>
      </w:r>
    </w:p>
    <w:p>
      <w:pPr>
        <w:keepNext/>
        <w:spacing w:after="100" w:before="0"/>
      </w:pPr>
      <w:r>
        <w:rPr/>
        <w:t xml:space="preserve">What is Corvane Co's cash operating cycle (to the </w:t>
      </w:r>
      <w:r>
        <w:rPr>
          <w:b/>
        </w:rPr>
        <w:t>nearest day</w:t>
      </w:r>
      <w:r>
        <w:rPr/>
        <w:t>)?</w:t>
      </w:r>
    </w:p>
    <w:p>
      <w:pPr>
        <w:keepNext w:val="0"/>
        <w:spacing w:after="100" w:before="0"/>
      </w:pPr>
      <w:r>
        <w:rPr>
          <w:u w:val="single"/>
        </w:rPr>
        <w:t xml:space="preserve">                        </w:t>
      </w:r>
      <w:r>
        <w:rPr>
          <w:b/>
        </w:rPr>
        <w:t xml:space="preserve"> days</w:t>
      </w:r>
    </w:p>
    <w:p>
      <w:pPr>
        <w:pBdr>
          <w:bottom w:val="single" w:sz="8" w:space="1" w:color="000000"/>
        </w:pBdr>
        <w:spacing w:after="160"/>
      </w:pPr>
    </w:p>
    <w:p>
      <w:pPr>
        <w:keepNext/>
        <w:tabs>
          <w:tab w:pos="9411" w:val="right"/>
        </w:tabs>
        <w:spacing w:before="120" w:after="80"/>
      </w:pPr>
      <w:r>
        <w:rPr>
          <w:b/>
        </w:rPr>
        <w:t>Question 22</w:t>
      </w:r>
      <w:r>
        <w:rPr>
          <w:sz w:val="18"/>
        </w:rPr>
        <w:tab/>
        <w:t>(2 marks)</w:t>
      </w:r>
    </w:p>
    <w:p>
      <w:pPr>
        <w:keepNext/>
        <w:spacing w:after="100" w:before="0"/>
      </w:pPr>
      <w:r>
        <w:rPr/>
        <w:t>What is the financial effect of accepting the supplier's bulk purchase discount for component T7, compared with ordering at the economic order quantity?</w:t>
      </w:r>
    </w:p>
    <w:p>
      <w:pPr>
        <w:keepNext/>
        <w:spacing w:after="40" w:before="0"/>
        <w:ind w:left="340"/>
      </w:pPr>
      <w:r>
        <w:rPr>
          <w:b/>
        </w:rPr>
        <w:t>A</w:t>
      </w:r>
      <w:r>
        <w:rPr/>
        <w:tab/>
        <w:t>Benefit of $1,520 per year</w:t>
      </w:r>
    </w:p>
    <w:p>
      <w:pPr>
        <w:keepNext/>
        <w:spacing w:after="40" w:before="0"/>
        <w:ind w:left="340"/>
      </w:pPr>
      <w:r>
        <w:rPr>
          <w:b/>
        </w:rPr>
        <w:t>B</w:t>
      </w:r>
      <w:r>
        <w:rPr/>
        <w:tab/>
        <w:t>Cost of $880 per year</w:t>
      </w:r>
    </w:p>
    <w:p>
      <w:pPr>
        <w:keepNext/>
        <w:spacing w:after="40" w:before="0"/>
        <w:ind w:left="340"/>
      </w:pPr>
      <w:r>
        <w:rPr>
          <w:b/>
        </w:rPr>
        <w:t>C</w:t>
      </w:r>
      <w:r>
        <w:rPr/>
        <w:tab/>
        <w:t>Cost of $3,280 per year</w:t>
      </w:r>
    </w:p>
    <w:p>
      <w:pPr>
        <w:keepNext/>
        <w:spacing w:after="40" w:before="0"/>
        <w:ind w:left="340"/>
      </w:pPr>
      <w:r>
        <w:rPr>
          <w:b/>
        </w:rPr>
        <w:t>D</w:t>
      </w:r>
      <w:r>
        <w:rPr/>
        <w:tab/>
        <w:t>Benefit of $5,120 per year</w:t>
      </w:r>
    </w:p>
    <w:p>
      <w:pPr>
        <w:pBdr>
          <w:bottom w:val="single" w:sz="8" w:space="1" w:color="000000"/>
        </w:pBdr>
        <w:spacing w:after="160"/>
      </w:pPr>
    </w:p>
    <w:p>
      <w:pPr>
        <w:keepNext/>
        <w:tabs>
          <w:tab w:pos="9411" w:val="right"/>
        </w:tabs>
        <w:spacing w:before="120" w:after="80"/>
      </w:pPr>
      <w:r>
        <w:rPr>
          <w:b/>
        </w:rPr>
        <w:t>Question 23</w:t>
      </w:r>
      <w:r>
        <w:rPr>
          <w:sz w:val="18"/>
        </w:rPr>
        <w:tab/>
        <w:t>(2 marks)</w:t>
      </w:r>
    </w:p>
    <w:p>
      <w:pPr>
        <w:keepNext/>
        <w:spacing w:after="100" w:before="0"/>
      </w:pPr>
      <w:r>
        <w:rPr/>
        <w:t xml:space="preserve">What is the buffer (safety) inventory of component T7 implied by Corvane Co's reorder level (in </w:t>
      </w:r>
      <w:r>
        <w:rPr>
          <w:b/>
        </w:rPr>
        <w:t>units</w:t>
      </w:r>
      <w:r>
        <w:rPr/>
        <w:t>)?</w:t>
      </w:r>
    </w:p>
    <w:p>
      <w:pPr>
        <w:keepNext w:val="0"/>
        <w:spacing w:after="100" w:before="0"/>
      </w:pPr>
      <w:r>
        <w:rPr>
          <w:u w:val="single"/>
        </w:rPr>
        <w:t xml:space="preserve">                        </w:t>
      </w:r>
      <w:r>
        <w:rPr>
          <w:b/>
        </w:rPr>
        <w:t xml:space="preserve"> units</w:t>
      </w:r>
    </w:p>
    <w:p>
      <w:pPr>
        <w:pBdr>
          <w:bottom w:val="single" w:sz="8" w:space="1" w:color="000000"/>
        </w:pBdr>
        <w:spacing w:after="160"/>
      </w:pPr>
    </w:p>
    <w:p>
      <w:pPr>
        <w:keepNext/>
        <w:tabs>
          <w:tab w:pos="9411" w:val="right"/>
        </w:tabs>
        <w:spacing w:before="120" w:after="80"/>
      </w:pPr>
      <w:r>
        <w:rPr>
          <w:b/>
        </w:rPr>
        <w:t>Question 24</w:t>
      </w:r>
      <w:r>
        <w:rPr>
          <w:sz w:val="18"/>
        </w:rPr>
        <w:tab/>
        <w:t>(2 marks)</w:t>
      </w:r>
    </w:p>
    <w:p>
      <w:pPr>
        <w:keepNext/>
        <w:spacing w:after="100" w:before="0"/>
      </w:pPr>
      <w:r>
        <w:rPr/>
        <w:t>What are Corvane Co's current ratio and quick ratio?</w:t>
      </w:r>
    </w:p>
    <w:tbl>
      <w:tblPr>
        <w:tblStyle w:val="TableGrid"/>
        <w:tblW w:type="auto" w:w="0"/>
        <w:jc w:val="center"/>
        <w:tblLayout w:type="fixed"/>
        <w:tblLook w:firstColumn="1" w:firstRow="1" w:lastColumn="0" w:lastRow="0" w:noHBand="0" w:noVBand="1" w:val="04A0"/>
      </w:tblPr>
      <w:tblGrid>
        <w:gridCol w:w="2091"/>
        <w:gridCol w:w="3921"/>
        <w:gridCol w:w="3398"/>
      </w:tblGrid>
      <w:tr>
        <w:trPr>
          <w:cantSplit/>
          <w:tblHeader/>
        </w:trPr>
        <w:tc>
          <w:tcPr>
            <w:tcW w:type="dxa" w:w="2091"/>
          </w:tcPr>
          <w:p>
            <w:pPr>
              <w:spacing w:after="0"/>
            </w:pPr>
            <w:r>
              <w:rPr>
                <w:b/>
                <w:sz w:val="19"/>
              </w:rPr>
              <w:t>Option</w:t>
            </w:r>
          </w:p>
        </w:tc>
        <w:tc>
          <w:tcPr>
            <w:tcW w:type="dxa" w:w="3921"/>
          </w:tcPr>
          <w:p>
            <w:pPr>
              <w:spacing w:after="0"/>
              <w:jc w:val="center"/>
            </w:pPr>
            <w:r>
              <w:rPr>
                <w:b/>
                <w:sz w:val="19"/>
              </w:rPr>
              <w:t>Current ratio</w:t>
            </w:r>
          </w:p>
        </w:tc>
        <w:tc>
          <w:tcPr>
            <w:tcW w:type="dxa" w:w="3398"/>
          </w:tcPr>
          <w:p>
            <w:pPr>
              <w:spacing w:after="0"/>
              <w:jc w:val="center"/>
            </w:pPr>
            <w:r>
              <w:rPr>
                <w:b/>
                <w:sz w:val="19"/>
              </w:rPr>
              <w:t>Quick ratio</w:t>
            </w:r>
          </w:p>
        </w:tc>
      </w:tr>
      <w:tr>
        <w:trPr>
          <w:cantSplit/>
        </w:trPr>
        <w:tc>
          <w:tcPr>
            <w:tcW w:type="dxa" w:w="2091"/>
          </w:tcPr>
          <w:p>
            <w:pPr>
              <w:spacing w:after="0"/>
            </w:pPr>
            <w:r>
              <w:rPr>
                <w:sz w:val="19"/>
              </w:rPr>
              <w:t>A</w:t>
            </w:r>
          </w:p>
        </w:tc>
        <w:tc>
          <w:tcPr>
            <w:tcW w:type="dxa" w:w="3921"/>
          </w:tcPr>
          <w:p>
            <w:pPr>
              <w:spacing w:after="0"/>
            </w:pPr>
            <w:r>
              <w:rPr>
                <w:sz w:val="19"/>
              </w:rPr>
              <w:t>1.68 times</w:t>
            </w:r>
          </w:p>
        </w:tc>
        <w:tc>
          <w:tcPr>
            <w:tcW w:type="dxa" w:w="3398"/>
          </w:tcPr>
          <w:p>
            <w:pPr>
              <w:spacing w:after="0"/>
            </w:pPr>
            <w:r>
              <w:rPr>
                <w:sz w:val="19"/>
              </w:rPr>
              <w:t>0.99 times</w:t>
            </w:r>
          </w:p>
        </w:tc>
      </w:tr>
      <w:tr>
        <w:trPr>
          <w:cantSplit/>
        </w:trPr>
        <w:tc>
          <w:tcPr>
            <w:tcW w:type="dxa" w:w="2091"/>
          </w:tcPr>
          <w:p>
            <w:pPr>
              <w:spacing w:after="0"/>
            </w:pPr>
            <w:r>
              <w:rPr>
                <w:sz w:val="19"/>
              </w:rPr>
              <w:t>B</w:t>
            </w:r>
          </w:p>
        </w:tc>
        <w:tc>
          <w:tcPr>
            <w:tcW w:type="dxa" w:w="3921"/>
          </w:tcPr>
          <w:p>
            <w:pPr>
              <w:spacing w:after="0"/>
            </w:pPr>
            <w:r>
              <w:rPr>
                <w:sz w:val="19"/>
              </w:rPr>
              <w:t>3.04 times</w:t>
            </w:r>
          </w:p>
        </w:tc>
        <w:tc>
          <w:tcPr>
            <w:tcW w:type="dxa" w:w="3398"/>
          </w:tcPr>
          <w:p>
            <w:pPr>
              <w:spacing w:after="0"/>
            </w:pPr>
            <w:r>
              <w:rPr>
                <w:sz w:val="19"/>
              </w:rPr>
              <w:t>1.79 times</w:t>
            </w:r>
          </w:p>
        </w:tc>
      </w:tr>
      <w:tr>
        <w:trPr>
          <w:cantSplit/>
        </w:trPr>
        <w:tc>
          <w:tcPr>
            <w:tcW w:type="dxa" w:w="2091"/>
          </w:tcPr>
          <w:p>
            <w:pPr>
              <w:spacing w:after="0"/>
            </w:pPr>
            <w:r>
              <w:rPr>
                <w:sz w:val="19"/>
              </w:rPr>
              <w:t>C</w:t>
            </w:r>
          </w:p>
        </w:tc>
        <w:tc>
          <w:tcPr>
            <w:tcW w:type="dxa" w:w="3921"/>
          </w:tcPr>
          <w:p>
            <w:pPr>
              <w:spacing w:after="0"/>
            </w:pPr>
            <w:r>
              <w:rPr>
                <w:sz w:val="19"/>
              </w:rPr>
              <w:t>1.68 times</w:t>
            </w:r>
          </w:p>
        </w:tc>
        <w:tc>
          <w:tcPr>
            <w:tcW w:type="dxa" w:w="3398"/>
          </w:tcPr>
          <w:p>
            <w:pPr>
              <w:spacing w:after="0"/>
            </w:pPr>
            <w:r>
              <w:rPr>
                <w:sz w:val="19"/>
              </w:rPr>
              <w:t>1.79 times</w:t>
            </w:r>
          </w:p>
        </w:tc>
      </w:tr>
      <w:tr>
        <w:trPr>
          <w:cantSplit/>
        </w:trPr>
        <w:tc>
          <w:tcPr>
            <w:tcW w:type="dxa" w:w="2091"/>
          </w:tcPr>
          <w:p>
            <w:pPr>
              <w:spacing w:after="0"/>
            </w:pPr>
            <w:r>
              <w:rPr>
                <w:sz w:val="19"/>
              </w:rPr>
              <w:t>D</w:t>
            </w:r>
          </w:p>
        </w:tc>
        <w:tc>
          <w:tcPr>
            <w:tcW w:type="dxa" w:w="3921"/>
          </w:tcPr>
          <w:p>
            <w:pPr>
              <w:spacing w:after="0"/>
            </w:pPr>
            <w:r>
              <w:rPr>
                <w:sz w:val="19"/>
              </w:rPr>
              <w:t>0.99 times</w:t>
            </w:r>
          </w:p>
        </w:tc>
        <w:tc>
          <w:tcPr>
            <w:tcW w:type="dxa" w:w="3398"/>
          </w:tcPr>
          <w:p>
            <w:pPr>
              <w:spacing w:after="0"/>
            </w:pPr>
            <w:r>
              <w:rPr>
                <w:sz w:val="19"/>
              </w:rPr>
              <w:t>1.68 times</w:t>
            </w:r>
          </w:p>
        </w:tc>
      </w:tr>
    </w:tbl>
    <w:p>
      <w:pPr>
        <w:spacing w:after="120"/>
      </w:pPr>
    </w:p>
    <w:p>
      <w:pPr>
        <w:pBdr>
          <w:bottom w:val="single" w:sz="8" w:space="1" w:color="000000"/>
        </w:pBdr>
        <w:spacing w:after="160"/>
      </w:pPr>
    </w:p>
    <w:p>
      <w:pPr>
        <w:keepNext/>
        <w:tabs>
          <w:tab w:pos="9411" w:val="right"/>
        </w:tabs>
        <w:spacing w:before="120" w:after="80"/>
      </w:pPr>
      <w:r>
        <w:rPr>
          <w:b/>
        </w:rPr>
        <w:t>Question 25</w:t>
      </w:r>
      <w:r>
        <w:rPr>
          <w:sz w:val="18"/>
        </w:rPr>
        <w:tab/>
        <w:t>(2 marks)</w:t>
      </w:r>
    </w:p>
    <w:p>
      <w:pPr>
        <w:keepNext/>
        <w:spacing w:after="100" w:before="0"/>
      </w:pPr>
      <w:r>
        <w:rPr/>
        <w:t>Which TWO of the following are likely consequences of Corvane Co moving to JIT purchasing for component T7?</w:t>
      </w:r>
    </w:p>
    <w:p>
      <w:pPr>
        <w:keepNext/>
        <w:spacing w:after="40" w:before="0"/>
        <w:ind w:left="340"/>
      </w:pPr>
      <w:r>
        <w:rPr>
          <w:sz w:val="24"/>
        </w:rPr>
        <w:t>☐</w:t>
      </w:r>
      <w:r>
        <w:rPr/>
        <w:t xml:space="preserve">   Lower costs of holding inventory of T7</w:t>
      </w:r>
    </w:p>
    <w:p>
      <w:pPr>
        <w:keepNext/>
        <w:spacing w:after="40" w:before="0"/>
        <w:ind w:left="340"/>
      </w:pPr>
      <w:r>
        <w:rPr>
          <w:sz w:val="24"/>
        </w:rPr>
        <w:t>☐</w:t>
      </w:r>
      <w:r>
        <w:rPr/>
        <w:t xml:space="preserve">   Smaller, more frequent deliveries, so the bulk purchase discount on orders of 8,000 units is unlikely to be taken</w:t>
      </w:r>
    </w:p>
    <w:p>
      <w:pPr>
        <w:keepNext/>
        <w:spacing w:after="40" w:before="0"/>
        <w:ind w:left="340"/>
      </w:pPr>
      <w:r>
        <w:rPr>
          <w:sz w:val="24"/>
        </w:rPr>
        <w:t>☐</w:t>
      </w:r>
      <w:r>
        <w:rPr/>
        <w:t xml:space="preserve">   A higher buffer inventory of T7</w:t>
      </w:r>
    </w:p>
    <w:p>
      <w:pPr>
        <w:keepNext/>
        <w:spacing w:after="40" w:before="0"/>
        <w:ind w:left="340"/>
      </w:pPr>
      <w:r>
        <w:rPr>
          <w:sz w:val="24"/>
        </w:rPr>
        <w:t>☐</w:t>
      </w:r>
      <w:r>
        <w:rPr/>
        <w:t xml:space="preserve">   Less dependence on the reliability of the supplier</w:t>
      </w:r>
    </w:p>
    <w:p>
      <w:pPr>
        <w:pBdr>
          <w:bottom w:val="single" w:sz="8" w:space="1" w:color="000000"/>
        </w:pBdr>
        <w:spacing w:after="160"/>
      </w:pPr>
    </w:p>
    <w:p>
      <w:pPr>
        <w:pStyle w:val="Heading1"/>
        <w:pageBreakBefore/>
      </w:pPr>
      <w:r>
        <w:rPr>
          <w:b/>
          <w:color w:val="000000"/>
        </w:rPr>
        <w:t>Answer Key and Examiner Rationale</w:t>
      </w:r>
    </w:p>
    <w:tbl>
      <w:tblPr>
        <w:tblStyle w:val="TableGrid"/>
        <w:tblW w:type="auto" w:w="0"/>
        <w:jc w:val="center"/>
        <w:tblLayout w:type="fixed"/>
        <w:tblLook w:firstColumn="1" w:firstRow="1" w:lastColumn="0" w:lastRow="0" w:noHBand="0" w:noVBand="1" w:val="04A0"/>
      </w:tblPr>
      <w:tblGrid>
        <w:gridCol w:w="457"/>
        <w:gridCol w:w="3289"/>
        <w:gridCol w:w="822"/>
        <w:gridCol w:w="2101"/>
        <w:gridCol w:w="2741"/>
      </w:tblGrid>
      <w:tr>
        <w:trPr>
          <w:cantSplit/>
          <w:tblHeader/>
        </w:trPr>
        <w:tc>
          <w:tcPr>
            <w:tcW w:type="dxa" w:w="457"/>
          </w:tcPr>
          <w:p>
            <w:pPr>
              <w:spacing w:after="0"/>
            </w:pPr>
            <w:r>
              <w:rPr>
                <w:b/>
                <w:sz w:val="19"/>
              </w:rPr>
              <w:t>Q</w:t>
            </w:r>
          </w:p>
        </w:tc>
        <w:tc>
          <w:tcPr>
            <w:tcW w:type="dxa" w:w="3289"/>
          </w:tcPr>
          <w:p>
            <w:pPr>
              <w:spacing w:after="0"/>
              <w:jc w:val="center"/>
            </w:pPr>
            <w:r>
              <w:rPr>
                <w:b/>
                <w:sz w:val="19"/>
              </w:rPr>
              <w:t>Answer</w:t>
            </w:r>
          </w:p>
        </w:tc>
        <w:tc>
          <w:tcPr>
            <w:tcW w:type="dxa" w:w="822"/>
          </w:tcPr>
          <w:p>
            <w:pPr>
              <w:spacing w:after="0"/>
              <w:jc w:val="center"/>
            </w:pPr>
            <w:r>
              <w:rPr>
                <w:b/>
                <w:sz w:val="19"/>
              </w:rPr>
              <w:t>Level</w:t>
            </w:r>
          </w:p>
        </w:tc>
        <w:tc>
          <w:tcPr>
            <w:tcW w:type="dxa" w:w="2101"/>
          </w:tcPr>
          <w:p>
            <w:pPr>
              <w:spacing w:after="0"/>
              <w:jc w:val="center"/>
            </w:pPr>
            <w:r>
              <w:rPr>
                <w:b/>
                <w:sz w:val="19"/>
              </w:rPr>
              <w:t>Format</w:t>
            </w:r>
          </w:p>
        </w:tc>
        <w:tc>
          <w:tcPr>
            <w:tcW w:type="dxa" w:w="2741"/>
          </w:tcPr>
          <w:p>
            <w:pPr>
              <w:spacing w:after="0"/>
              <w:jc w:val="center"/>
            </w:pPr>
            <w:r>
              <w:rPr>
                <w:b/>
                <w:sz w:val="19"/>
              </w:rPr>
              <w:t>Chapter</w:t>
            </w:r>
          </w:p>
        </w:tc>
      </w:tr>
      <w:tr>
        <w:trPr>
          <w:cantSplit/>
        </w:trPr>
        <w:tc>
          <w:tcPr>
            <w:tcW w:type="dxa" w:w="457"/>
          </w:tcPr>
          <w:p>
            <w:pPr>
              <w:spacing w:after="0"/>
            </w:pPr>
            <w:r>
              <w:rPr>
                <w:sz w:val="19"/>
              </w:rPr>
              <w:t>1</w:t>
            </w:r>
          </w:p>
        </w:tc>
        <w:tc>
          <w:tcPr>
            <w:tcW w:type="dxa" w:w="3289"/>
          </w:tcPr>
          <w:p>
            <w:pPr>
              <w:spacing w:after="0"/>
            </w:pPr>
            <w:r>
              <w:rPr>
                <w:sz w:val="19"/>
              </w:rPr>
              <w:t>True, False, True</w:t>
            </w:r>
          </w:p>
        </w:tc>
        <w:tc>
          <w:tcPr>
            <w:tcW w:type="dxa" w:w="822"/>
          </w:tcPr>
          <w:p>
            <w:pPr>
              <w:spacing w:after="0"/>
            </w:pPr>
            <w:r>
              <w:rPr>
                <w:sz w:val="19"/>
              </w:rPr>
              <w:t>Easy</w:t>
            </w:r>
          </w:p>
        </w:tc>
        <w:tc>
          <w:tcPr>
            <w:tcW w:type="dxa" w:w="2101"/>
          </w:tcPr>
          <w:p>
            <w:pPr>
              <w:spacing w:after="0"/>
            </w:pPr>
            <w:r>
              <w:rPr>
                <w:sz w:val="19"/>
              </w:rPr>
              <w:t>T/F matrix</w:t>
            </w:r>
          </w:p>
        </w:tc>
        <w:tc>
          <w:tcPr>
            <w:tcW w:type="dxa" w:w="2741"/>
          </w:tcPr>
          <w:p>
            <w:pPr>
              <w:spacing w:after="0"/>
            </w:pPr>
            <w:r>
              <w:rPr>
                <w:sz w:val="19"/>
              </w:rPr>
              <w:t>1 FM function</w:t>
            </w:r>
          </w:p>
        </w:tc>
      </w:tr>
      <w:tr>
        <w:trPr>
          <w:cantSplit/>
        </w:trPr>
        <w:tc>
          <w:tcPr>
            <w:tcW w:type="dxa" w:w="457"/>
          </w:tcPr>
          <w:p>
            <w:pPr>
              <w:spacing w:after="0"/>
            </w:pPr>
            <w:r>
              <w:rPr>
                <w:sz w:val="19"/>
              </w:rPr>
              <w:t>2</w:t>
            </w:r>
          </w:p>
        </w:tc>
        <w:tc>
          <w:tcPr>
            <w:tcW w:type="dxa" w:w="3289"/>
          </w:tcPr>
          <w:p>
            <w:pPr>
              <w:spacing w:after="0"/>
            </w:pPr>
            <w:r>
              <w:rPr>
                <w:sz w:val="19"/>
              </w:rPr>
              <w:t>A</w:t>
            </w:r>
          </w:p>
        </w:tc>
        <w:tc>
          <w:tcPr>
            <w:tcW w:type="dxa" w:w="822"/>
          </w:tcPr>
          <w:p>
            <w:pPr>
              <w:spacing w:after="0"/>
            </w:pPr>
            <w:r>
              <w:rPr>
                <w:sz w:val="19"/>
              </w:rPr>
              <w:t>Hard</w:t>
            </w:r>
          </w:p>
        </w:tc>
        <w:tc>
          <w:tcPr>
            <w:tcW w:type="dxa" w:w="2101"/>
          </w:tcPr>
          <w:p>
            <w:pPr>
              <w:spacing w:after="0"/>
            </w:pPr>
            <w:r>
              <w:rPr>
                <w:sz w:val="19"/>
              </w:rPr>
              <w:t>Statement combination</w:t>
            </w:r>
          </w:p>
        </w:tc>
        <w:tc>
          <w:tcPr>
            <w:tcW w:type="dxa" w:w="2741"/>
          </w:tcPr>
          <w:p>
            <w:pPr>
              <w:spacing w:after="0"/>
            </w:pPr>
            <w:r>
              <w:rPr>
                <w:sz w:val="19"/>
              </w:rPr>
              <w:t>1 FM function</w:t>
            </w:r>
          </w:p>
        </w:tc>
      </w:tr>
      <w:tr>
        <w:trPr>
          <w:cantSplit/>
        </w:trPr>
        <w:tc>
          <w:tcPr>
            <w:tcW w:type="dxa" w:w="457"/>
          </w:tcPr>
          <w:p>
            <w:pPr>
              <w:spacing w:after="0"/>
            </w:pPr>
            <w:r>
              <w:rPr>
                <w:sz w:val="19"/>
              </w:rPr>
              <w:t>3</w:t>
            </w:r>
          </w:p>
        </w:tc>
        <w:tc>
          <w:tcPr>
            <w:tcW w:type="dxa" w:w="3289"/>
          </w:tcPr>
          <w:p>
            <w:pPr>
              <w:spacing w:after="0"/>
            </w:pPr>
            <w:r>
              <w:rPr>
                <w:sz w:val="19"/>
              </w:rPr>
              <w:t>Economy, Efficiency, Effectiveness</w:t>
            </w:r>
          </w:p>
        </w:tc>
        <w:tc>
          <w:tcPr>
            <w:tcW w:type="dxa" w:w="822"/>
          </w:tcPr>
          <w:p>
            <w:pPr>
              <w:spacing w:after="0"/>
            </w:pPr>
            <w:r>
              <w:rPr>
                <w:sz w:val="19"/>
              </w:rPr>
              <w:t>Average</w:t>
            </w:r>
          </w:p>
        </w:tc>
        <w:tc>
          <w:tcPr>
            <w:tcW w:type="dxa" w:w="2101"/>
          </w:tcPr>
          <w:p>
            <w:pPr>
              <w:spacing w:after="0"/>
            </w:pPr>
            <w:r>
              <w:rPr>
                <w:sz w:val="19"/>
              </w:rPr>
              <w:t>Classification grid</w:t>
            </w:r>
          </w:p>
        </w:tc>
        <w:tc>
          <w:tcPr>
            <w:tcW w:type="dxa" w:w="2741"/>
          </w:tcPr>
          <w:p>
            <w:pPr>
              <w:spacing w:after="0"/>
            </w:pPr>
            <w:r>
              <w:rPr>
                <w:sz w:val="19"/>
              </w:rPr>
              <w:t>1 FM function</w:t>
            </w:r>
          </w:p>
        </w:tc>
      </w:tr>
      <w:tr>
        <w:trPr>
          <w:cantSplit/>
        </w:trPr>
        <w:tc>
          <w:tcPr>
            <w:tcW w:type="dxa" w:w="457"/>
          </w:tcPr>
          <w:p>
            <w:pPr>
              <w:spacing w:after="0"/>
            </w:pPr>
            <w:r>
              <w:rPr>
                <w:sz w:val="19"/>
              </w:rPr>
              <w:t>4</w:t>
            </w:r>
          </w:p>
        </w:tc>
        <w:tc>
          <w:tcPr>
            <w:tcW w:type="dxa" w:w="3289"/>
          </w:tcPr>
          <w:p>
            <w:pPr>
              <w:spacing w:after="0"/>
              <w:jc w:val="center"/>
            </w:pPr>
            <w:r>
              <w:rPr>
                <w:sz w:val="19"/>
              </w:rPr>
              <w:t>12.1%</w:t>
            </w:r>
          </w:p>
        </w:tc>
        <w:tc>
          <w:tcPr>
            <w:tcW w:type="dxa" w:w="822"/>
          </w:tcPr>
          <w:p>
            <w:pPr>
              <w:spacing w:after="0"/>
            </w:pPr>
            <w:r>
              <w:rPr>
                <w:sz w:val="19"/>
              </w:rPr>
              <w:t>Average</w:t>
            </w:r>
          </w:p>
        </w:tc>
        <w:tc>
          <w:tcPr>
            <w:tcW w:type="dxa" w:w="2101"/>
          </w:tcPr>
          <w:p>
            <w:pPr>
              <w:spacing w:after="0"/>
            </w:pPr>
            <w:r>
              <w:rPr>
                <w:sz w:val="19"/>
              </w:rPr>
              <w:t>Numeric entry</w:t>
            </w:r>
          </w:p>
        </w:tc>
        <w:tc>
          <w:tcPr>
            <w:tcW w:type="dxa" w:w="2741"/>
          </w:tcPr>
          <w:p>
            <w:pPr>
              <w:spacing w:after="0"/>
            </w:pPr>
            <w:r>
              <w:rPr>
                <w:sz w:val="19"/>
              </w:rPr>
              <w:t>1 FM function</w:t>
            </w:r>
          </w:p>
        </w:tc>
      </w:tr>
      <w:tr>
        <w:trPr>
          <w:cantSplit/>
        </w:trPr>
        <w:tc>
          <w:tcPr>
            <w:tcW w:type="dxa" w:w="457"/>
          </w:tcPr>
          <w:p>
            <w:pPr>
              <w:spacing w:after="0"/>
            </w:pPr>
            <w:r>
              <w:rPr>
                <w:sz w:val="19"/>
              </w:rPr>
              <w:t>5</w:t>
            </w:r>
          </w:p>
        </w:tc>
        <w:tc>
          <w:tcPr>
            <w:tcW w:type="dxa" w:w="3289"/>
          </w:tcPr>
          <w:p>
            <w:pPr>
              <w:spacing w:after="0"/>
            </w:pPr>
            <w:r>
              <w:rPr>
                <w:sz w:val="19"/>
              </w:rPr>
              <w:t>B</w:t>
            </w:r>
          </w:p>
        </w:tc>
        <w:tc>
          <w:tcPr>
            <w:tcW w:type="dxa" w:w="822"/>
          </w:tcPr>
          <w:p>
            <w:pPr>
              <w:spacing w:after="0"/>
            </w:pPr>
            <w:r>
              <w:rPr>
                <w:sz w:val="19"/>
              </w:rPr>
              <w:t>Hard</w:t>
            </w:r>
          </w:p>
        </w:tc>
        <w:tc>
          <w:tcPr>
            <w:tcW w:type="dxa" w:w="2101"/>
          </w:tcPr>
          <w:p>
            <w:pPr>
              <w:spacing w:after="0"/>
            </w:pPr>
            <w:r>
              <w:rPr>
                <w:sz w:val="19"/>
              </w:rPr>
              <w:t>MCQ</w:t>
            </w:r>
          </w:p>
        </w:tc>
        <w:tc>
          <w:tcPr>
            <w:tcW w:type="dxa" w:w="2741"/>
          </w:tcPr>
          <w:p>
            <w:pPr>
              <w:spacing w:after="0"/>
            </w:pPr>
            <w:r>
              <w:rPr>
                <w:sz w:val="19"/>
              </w:rPr>
              <w:t>2 Basic investment appraisal</w:t>
            </w:r>
          </w:p>
        </w:tc>
      </w:tr>
      <w:tr>
        <w:trPr>
          <w:cantSplit/>
        </w:trPr>
        <w:tc>
          <w:tcPr>
            <w:tcW w:type="dxa" w:w="457"/>
          </w:tcPr>
          <w:p>
            <w:pPr>
              <w:spacing w:after="0"/>
            </w:pPr>
            <w:r>
              <w:rPr>
                <w:sz w:val="19"/>
              </w:rPr>
              <w:t>6</w:t>
            </w:r>
          </w:p>
        </w:tc>
        <w:tc>
          <w:tcPr>
            <w:tcW w:type="dxa" w:w="3289"/>
          </w:tcPr>
          <w:p>
            <w:pPr>
              <w:spacing w:after="0"/>
            </w:pPr>
            <w:r>
              <w:rPr>
                <w:sz w:val="19"/>
              </w:rPr>
              <w:t>C</w:t>
            </w:r>
          </w:p>
        </w:tc>
        <w:tc>
          <w:tcPr>
            <w:tcW w:type="dxa" w:w="822"/>
          </w:tcPr>
          <w:p>
            <w:pPr>
              <w:spacing w:after="0"/>
            </w:pPr>
            <w:r>
              <w:rPr>
                <w:sz w:val="19"/>
              </w:rPr>
              <w:t>Average</w:t>
            </w:r>
          </w:p>
        </w:tc>
        <w:tc>
          <w:tcPr>
            <w:tcW w:type="dxa" w:w="2101"/>
          </w:tcPr>
          <w:p>
            <w:pPr>
              <w:spacing w:after="0"/>
            </w:pPr>
            <w:r>
              <w:rPr>
                <w:sz w:val="19"/>
              </w:rPr>
              <w:t>MCQ</w:t>
            </w:r>
          </w:p>
        </w:tc>
        <w:tc>
          <w:tcPr>
            <w:tcW w:type="dxa" w:w="2741"/>
          </w:tcPr>
          <w:p>
            <w:pPr>
              <w:spacing w:after="0"/>
            </w:pPr>
            <w:r>
              <w:rPr>
                <w:sz w:val="19"/>
              </w:rPr>
              <w:t>2 Basic investment appraisal</w:t>
            </w:r>
          </w:p>
        </w:tc>
      </w:tr>
      <w:tr>
        <w:trPr>
          <w:cantSplit/>
        </w:trPr>
        <w:tc>
          <w:tcPr>
            <w:tcW w:type="dxa" w:w="457"/>
          </w:tcPr>
          <w:p>
            <w:pPr>
              <w:spacing w:after="0"/>
            </w:pPr>
            <w:r>
              <w:rPr>
                <w:sz w:val="19"/>
              </w:rPr>
              <w:t>7</w:t>
            </w:r>
          </w:p>
        </w:tc>
        <w:tc>
          <w:tcPr>
            <w:tcW w:type="dxa" w:w="3289"/>
          </w:tcPr>
          <w:p>
            <w:pPr>
              <w:spacing w:after="0"/>
            </w:pPr>
            <w:r>
              <w:rPr>
                <w:sz w:val="19"/>
              </w:rPr>
              <w:t>C</w:t>
            </w:r>
          </w:p>
        </w:tc>
        <w:tc>
          <w:tcPr>
            <w:tcW w:type="dxa" w:w="822"/>
          </w:tcPr>
          <w:p>
            <w:pPr>
              <w:spacing w:after="0"/>
            </w:pPr>
            <w:r>
              <w:rPr>
                <w:sz w:val="19"/>
              </w:rPr>
              <w:t>Hard</w:t>
            </w:r>
          </w:p>
        </w:tc>
        <w:tc>
          <w:tcPr>
            <w:tcW w:type="dxa" w:w="2101"/>
          </w:tcPr>
          <w:p>
            <w:pPr>
              <w:spacing w:after="0"/>
            </w:pPr>
            <w:r>
              <w:rPr>
                <w:sz w:val="19"/>
              </w:rPr>
              <w:t>MCQ</w:t>
            </w:r>
          </w:p>
        </w:tc>
        <w:tc>
          <w:tcPr>
            <w:tcW w:type="dxa" w:w="2741"/>
          </w:tcPr>
          <w:p>
            <w:pPr>
              <w:spacing w:after="0"/>
            </w:pPr>
            <w:r>
              <w:rPr>
                <w:sz w:val="19"/>
              </w:rPr>
              <w:t>3 DCF techniques</w:t>
            </w:r>
          </w:p>
        </w:tc>
      </w:tr>
      <w:tr>
        <w:trPr>
          <w:cantSplit/>
        </w:trPr>
        <w:tc>
          <w:tcPr>
            <w:tcW w:type="dxa" w:w="457"/>
          </w:tcPr>
          <w:p>
            <w:pPr>
              <w:spacing w:after="0"/>
            </w:pPr>
            <w:r>
              <w:rPr>
                <w:sz w:val="19"/>
              </w:rPr>
              <w:t>8</w:t>
            </w:r>
          </w:p>
        </w:tc>
        <w:tc>
          <w:tcPr>
            <w:tcW w:type="dxa" w:w="3289"/>
          </w:tcPr>
          <w:p>
            <w:pPr>
              <w:spacing w:after="0"/>
            </w:pPr>
            <w:r>
              <w:rPr>
                <w:sz w:val="19"/>
              </w:rPr>
              <w:t>C</w:t>
            </w:r>
          </w:p>
        </w:tc>
        <w:tc>
          <w:tcPr>
            <w:tcW w:type="dxa" w:w="822"/>
          </w:tcPr>
          <w:p>
            <w:pPr>
              <w:spacing w:after="0"/>
            </w:pPr>
            <w:r>
              <w:rPr>
                <w:sz w:val="19"/>
              </w:rPr>
              <w:t>Easy</w:t>
            </w:r>
          </w:p>
        </w:tc>
        <w:tc>
          <w:tcPr>
            <w:tcW w:type="dxa" w:w="2101"/>
          </w:tcPr>
          <w:p>
            <w:pPr>
              <w:spacing w:after="0"/>
            </w:pPr>
            <w:r>
              <w:rPr>
                <w:sz w:val="19"/>
              </w:rPr>
              <w:t>MCQ</w:t>
            </w:r>
          </w:p>
        </w:tc>
        <w:tc>
          <w:tcPr>
            <w:tcW w:type="dxa" w:w="2741"/>
          </w:tcPr>
          <w:p>
            <w:pPr>
              <w:spacing w:after="0"/>
            </w:pPr>
            <w:r>
              <w:rPr>
                <w:sz w:val="19"/>
              </w:rPr>
              <w:t>3 DCF techniques</w:t>
            </w:r>
          </w:p>
        </w:tc>
      </w:tr>
      <w:tr>
        <w:trPr>
          <w:cantSplit/>
        </w:trPr>
        <w:tc>
          <w:tcPr>
            <w:tcW w:type="dxa" w:w="457"/>
          </w:tcPr>
          <w:p>
            <w:pPr>
              <w:spacing w:after="0"/>
            </w:pPr>
            <w:r>
              <w:rPr>
                <w:sz w:val="19"/>
              </w:rPr>
              <w:t>9</w:t>
            </w:r>
          </w:p>
        </w:tc>
        <w:tc>
          <w:tcPr>
            <w:tcW w:type="dxa" w:w="3289"/>
          </w:tcPr>
          <w:p>
            <w:pPr>
              <w:spacing w:after="0"/>
            </w:pPr>
            <w:r>
              <w:rPr>
                <w:sz w:val="19"/>
              </w:rPr>
              <w:t>B</w:t>
            </w:r>
          </w:p>
        </w:tc>
        <w:tc>
          <w:tcPr>
            <w:tcW w:type="dxa" w:w="822"/>
          </w:tcPr>
          <w:p>
            <w:pPr>
              <w:spacing w:after="0"/>
            </w:pPr>
            <w:r>
              <w:rPr>
                <w:sz w:val="19"/>
              </w:rPr>
              <w:t>Hard</w:t>
            </w:r>
          </w:p>
        </w:tc>
        <w:tc>
          <w:tcPr>
            <w:tcW w:type="dxa" w:w="2101"/>
          </w:tcPr>
          <w:p>
            <w:pPr>
              <w:spacing w:after="0"/>
            </w:pPr>
            <w:r>
              <w:rPr>
                <w:sz w:val="19"/>
              </w:rPr>
              <w:t>MCQ</w:t>
            </w:r>
          </w:p>
        </w:tc>
        <w:tc>
          <w:tcPr>
            <w:tcW w:type="dxa" w:w="2741"/>
          </w:tcPr>
          <w:p>
            <w:pPr>
              <w:spacing w:after="0"/>
            </w:pPr>
            <w:r>
              <w:rPr>
                <w:sz w:val="19"/>
              </w:rPr>
              <w:t>3 DCF techniques</w:t>
            </w:r>
          </w:p>
        </w:tc>
      </w:tr>
      <w:tr>
        <w:trPr>
          <w:cantSplit/>
        </w:trPr>
        <w:tc>
          <w:tcPr>
            <w:tcW w:type="dxa" w:w="457"/>
          </w:tcPr>
          <w:p>
            <w:pPr>
              <w:spacing w:after="0"/>
            </w:pPr>
            <w:r>
              <w:rPr>
                <w:sz w:val="19"/>
              </w:rPr>
              <w:t>10</w:t>
            </w:r>
          </w:p>
        </w:tc>
        <w:tc>
          <w:tcPr>
            <w:tcW w:type="dxa" w:w="3289"/>
          </w:tcPr>
          <w:p>
            <w:pPr>
              <w:spacing w:after="0"/>
            </w:pPr>
            <w:r>
              <w:rPr>
                <w:sz w:val="19"/>
              </w:rPr>
              <w:t>2nd and 4th</w:t>
            </w:r>
          </w:p>
        </w:tc>
        <w:tc>
          <w:tcPr>
            <w:tcW w:type="dxa" w:w="822"/>
          </w:tcPr>
          <w:p>
            <w:pPr>
              <w:spacing w:after="0"/>
            </w:pPr>
            <w:r>
              <w:rPr>
                <w:sz w:val="19"/>
              </w:rPr>
              <w:t>Average</w:t>
            </w:r>
          </w:p>
        </w:tc>
        <w:tc>
          <w:tcPr>
            <w:tcW w:type="dxa" w:w="2101"/>
          </w:tcPr>
          <w:p>
            <w:pPr>
              <w:spacing w:after="0"/>
            </w:pPr>
            <w:r>
              <w:rPr>
                <w:sz w:val="19"/>
              </w:rPr>
              <w:t>Which TWO</w:t>
            </w:r>
          </w:p>
        </w:tc>
        <w:tc>
          <w:tcPr>
            <w:tcW w:type="dxa" w:w="2741"/>
          </w:tcPr>
          <w:p>
            <w:pPr>
              <w:spacing w:after="0"/>
            </w:pPr>
            <w:r>
              <w:rPr>
                <w:sz w:val="19"/>
              </w:rPr>
              <w:t>3 DCF techniques</w:t>
            </w:r>
          </w:p>
        </w:tc>
      </w:tr>
      <w:tr>
        <w:trPr>
          <w:cantSplit/>
        </w:trPr>
        <w:tc>
          <w:tcPr>
            <w:tcW w:type="dxa" w:w="457"/>
          </w:tcPr>
          <w:p>
            <w:pPr>
              <w:spacing w:after="0"/>
            </w:pPr>
            <w:r>
              <w:rPr>
                <w:sz w:val="19"/>
              </w:rPr>
              <w:t>11</w:t>
            </w:r>
          </w:p>
        </w:tc>
        <w:tc>
          <w:tcPr>
            <w:tcW w:type="dxa" w:w="3289"/>
          </w:tcPr>
          <w:p>
            <w:pPr>
              <w:spacing w:after="0"/>
              <w:jc w:val="center"/>
            </w:pPr>
            <w:r>
              <w:rPr>
                <w:sz w:val="19"/>
              </w:rPr>
              <w:t>10.1%</w:t>
            </w:r>
          </w:p>
        </w:tc>
        <w:tc>
          <w:tcPr>
            <w:tcW w:type="dxa" w:w="822"/>
          </w:tcPr>
          <w:p>
            <w:pPr>
              <w:spacing w:after="0"/>
            </w:pPr>
            <w:r>
              <w:rPr>
                <w:sz w:val="19"/>
              </w:rPr>
              <w:t>Hard</w:t>
            </w:r>
          </w:p>
        </w:tc>
        <w:tc>
          <w:tcPr>
            <w:tcW w:type="dxa" w:w="2101"/>
          </w:tcPr>
          <w:p>
            <w:pPr>
              <w:spacing w:after="0"/>
            </w:pPr>
            <w:r>
              <w:rPr>
                <w:sz w:val="19"/>
              </w:rPr>
              <w:t>Numeric entry</w:t>
            </w:r>
          </w:p>
        </w:tc>
        <w:tc>
          <w:tcPr>
            <w:tcW w:type="dxa" w:w="2741"/>
          </w:tcPr>
          <w:p>
            <w:pPr>
              <w:spacing w:after="0"/>
            </w:pPr>
            <w:r>
              <w:rPr>
                <w:sz w:val="19"/>
              </w:rPr>
              <w:t>3 DCF techniques</w:t>
            </w:r>
          </w:p>
        </w:tc>
      </w:tr>
      <w:tr>
        <w:trPr>
          <w:cantSplit/>
        </w:trPr>
        <w:tc>
          <w:tcPr>
            <w:tcW w:type="dxa" w:w="457"/>
          </w:tcPr>
          <w:p>
            <w:pPr>
              <w:spacing w:after="0"/>
            </w:pPr>
            <w:r>
              <w:rPr>
                <w:sz w:val="19"/>
              </w:rPr>
              <w:t>12</w:t>
            </w:r>
          </w:p>
        </w:tc>
        <w:tc>
          <w:tcPr>
            <w:tcW w:type="dxa" w:w="3289"/>
          </w:tcPr>
          <w:p>
            <w:pPr>
              <w:spacing w:after="0"/>
            </w:pPr>
            <w:r>
              <w:rPr>
                <w:sz w:val="19"/>
              </w:rPr>
              <w:t>B</w:t>
            </w:r>
          </w:p>
        </w:tc>
        <w:tc>
          <w:tcPr>
            <w:tcW w:type="dxa" w:w="822"/>
          </w:tcPr>
          <w:p>
            <w:pPr>
              <w:spacing w:after="0"/>
            </w:pPr>
            <w:r>
              <w:rPr>
                <w:sz w:val="19"/>
              </w:rPr>
              <w:t>Hard</w:t>
            </w:r>
          </w:p>
        </w:tc>
        <w:tc>
          <w:tcPr>
            <w:tcW w:type="dxa" w:w="2101"/>
          </w:tcPr>
          <w:p>
            <w:pPr>
              <w:spacing w:after="0"/>
            </w:pPr>
            <w:r>
              <w:rPr>
                <w:sz w:val="19"/>
              </w:rPr>
              <w:t>MCQ</w:t>
            </w:r>
          </w:p>
        </w:tc>
        <w:tc>
          <w:tcPr>
            <w:tcW w:type="dxa" w:w="2741"/>
          </w:tcPr>
          <w:p>
            <w:pPr>
              <w:spacing w:after="0"/>
            </w:pPr>
            <w:r>
              <w:rPr>
                <w:sz w:val="19"/>
              </w:rPr>
              <w:t>8 Inventory control</w:t>
            </w:r>
          </w:p>
        </w:tc>
      </w:tr>
      <w:tr>
        <w:trPr>
          <w:cantSplit/>
        </w:trPr>
        <w:tc>
          <w:tcPr>
            <w:tcW w:type="dxa" w:w="457"/>
          </w:tcPr>
          <w:p>
            <w:pPr>
              <w:spacing w:after="0"/>
            </w:pPr>
            <w:r>
              <w:rPr>
                <w:sz w:val="19"/>
              </w:rPr>
              <w:t>13</w:t>
            </w:r>
          </w:p>
        </w:tc>
        <w:tc>
          <w:tcPr>
            <w:tcW w:type="dxa" w:w="3289"/>
          </w:tcPr>
          <w:p>
            <w:pPr>
              <w:spacing w:after="0"/>
            </w:pPr>
            <w:r>
              <w:rPr>
                <w:sz w:val="19"/>
              </w:rPr>
              <w:t>A</w:t>
            </w:r>
          </w:p>
        </w:tc>
        <w:tc>
          <w:tcPr>
            <w:tcW w:type="dxa" w:w="822"/>
          </w:tcPr>
          <w:p>
            <w:pPr>
              <w:spacing w:after="0"/>
            </w:pPr>
            <w:r>
              <w:rPr>
                <w:sz w:val="19"/>
              </w:rPr>
              <w:t>Average</w:t>
            </w:r>
          </w:p>
        </w:tc>
        <w:tc>
          <w:tcPr>
            <w:tcW w:type="dxa" w:w="2101"/>
          </w:tcPr>
          <w:p>
            <w:pPr>
              <w:spacing w:after="0"/>
            </w:pPr>
            <w:r>
              <w:rPr>
                <w:sz w:val="19"/>
              </w:rPr>
              <w:t>Statement combination</w:t>
            </w:r>
          </w:p>
        </w:tc>
        <w:tc>
          <w:tcPr>
            <w:tcW w:type="dxa" w:w="2741"/>
          </w:tcPr>
          <w:p>
            <w:pPr>
              <w:spacing w:after="0"/>
            </w:pPr>
            <w:r>
              <w:rPr>
                <w:sz w:val="19"/>
              </w:rPr>
              <w:t>8 Inventory control</w:t>
            </w:r>
          </w:p>
        </w:tc>
      </w:tr>
      <w:tr>
        <w:trPr>
          <w:cantSplit/>
        </w:trPr>
        <w:tc>
          <w:tcPr>
            <w:tcW w:type="dxa" w:w="457"/>
          </w:tcPr>
          <w:p>
            <w:pPr>
              <w:spacing w:after="0"/>
            </w:pPr>
            <w:r>
              <w:rPr>
                <w:sz w:val="19"/>
              </w:rPr>
              <w:t>14</w:t>
            </w:r>
          </w:p>
        </w:tc>
        <w:tc>
          <w:tcPr>
            <w:tcW w:type="dxa" w:w="3289"/>
          </w:tcPr>
          <w:p>
            <w:pPr>
              <w:spacing w:after="0"/>
            </w:pPr>
            <w:r>
              <w:rPr>
                <w:sz w:val="19"/>
              </w:rPr>
              <w:t>B</w:t>
            </w:r>
          </w:p>
        </w:tc>
        <w:tc>
          <w:tcPr>
            <w:tcW w:type="dxa" w:w="822"/>
          </w:tcPr>
          <w:p>
            <w:pPr>
              <w:spacing w:after="0"/>
            </w:pPr>
            <w:r>
              <w:rPr>
                <w:sz w:val="19"/>
              </w:rPr>
              <w:t>Hard</w:t>
            </w:r>
          </w:p>
        </w:tc>
        <w:tc>
          <w:tcPr>
            <w:tcW w:type="dxa" w:w="2101"/>
          </w:tcPr>
          <w:p>
            <w:pPr>
              <w:spacing w:after="0"/>
            </w:pPr>
            <w:r>
              <w:rPr>
                <w:sz w:val="19"/>
              </w:rPr>
              <w:t>MCQ</w:t>
            </w:r>
          </w:p>
        </w:tc>
        <w:tc>
          <w:tcPr>
            <w:tcW w:type="dxa" w:w="2741"/>
          </w:tcPr>
          <w:p>
            <w:pPr>
              <w:spacing w:after="0"/>
            </w:pPr>
            <w:r>
              <w:rPr>
                <w:sz w:val="19"/>
              </w:rPr>
              <w:t>7 Working capital management</w:t>
            </w:r>
          </w:p>
        </w:tc>
      </w:tr>
      <w:tr>
        <w:trPr>
          <w:cantSplit/>
        </w:trPr>
        <w:tc>
          <w:tcPr>
            <w:tcW w:type="dxa" w:w="457"/>
          </w:tcPr>
          <w:p>
            <w:pPr>
              <w:spacing w:after="0"/>
            </w:pPr>
            <w:r>
              <w:rPr>
                <w:sz w:val="19"/>
              </w:rPr>
              <w:t>15</w:t>
            </w:r>
          </w:p>
        </w:tc>
        <w:tc>
          <w:tcPr>
            <w:tcW w:type="dxa" w:w="3289"/>
          </w:tcPr>
          <w:p>
            <w:pPr>
              <w:spacing w:after="0"/>
            </w:pPr>
            <w:r>
              <w:rPr>
                <w:sz w:val="19"/>
              </w:rPr>
              <w:t>1st and 3rd</w:t>
            </w:r>
          </w:p>
        </w:tc>
        <w:tc>
          <w:tcPr>
            <w:tcW w:type="dxa" w:w="822"/>
          </w:tcPr>
          <w:p>
            <w:pPr>
              <w:spacing w:after="0"/>
            </w:pPr>
            <w:r>
              <w:rPr>
                <w:sz w:val="19"/>
              </w:rPr>
              <w:t>Easy</w:t>
            </w:r>
          </w:p>
        </w:tc>
        <w:tc>
          <w:tcPr>
            <w:tcW w:type="dxa" w:w="2101"/>
          </w:tcPr>
          <w:p>
            <w:pPr>
              <w:spacing w:after="0"/>
            </w:pPr>
            <w:r>
              <w:rPr>
                <w:sz w:val="19"/>
              </w:rPr>
              <w:t>Which TWO</w:t>
            </w:r>
          </w:p>
        </w:tc>
        <w:tc>
          <w:tcPr>
            <w:tcW w:type="dxa" w:w="2741"/>
          </w:tcPr>
          <w:p>
            <w:pPr>
              <w:spacing w:after="0"/>
            </w:pPr>
            <w:r>
              <w:rPr>
                <w:sz w:val="19"/>
              </w:rPr>
              <w:t>7 Working capital management</w:t>
            </w:r>
          </w:p>
        </w:tc>
      </w:tr>
      <w:tr>
        <w:trPr>
          <w:cantSplit/>
        </w:trPr>
        <w:tc>
          <w:tcPr>
            <w:tcW w:type="dxa" w:w="457"/>
          </w:tcPr>
          <w:p>
            <w:pPr>
              <w:spacing w:after="0"/>
            </w:pPr>
            <w:r>
              <w:rPr>
                <w:sz w:val="19"/>
              </w:rPr>
              <w:t>16</w:t>
            </w:r>
          </w:p>
        </w:tc>
        <w:tc>
          <w:tcPr>
            <w:tcW w:type="dxa" w:w="3289"/>
          </w:tcPr>
          <w:p>
            <w:pPr>
              <w:spacing w:after="0"/>
            </w:pPr>
            <w:r>
              <w:rPr>
                <w:sz w:val="19"/>
              </w:rPr>
              <w:t>B</w:t>
            </w:r>
          </w:p>
        </w:tc>
        <w:tc>
          <w:tcPr>
            <w:tcW w:type="dxa" w:w="822"/>
          </w:tcPr>
          <w:p>
            <w:pPr>
              <w:spacing w:after="0"/>
            </w:pPr>
            <w:r>
              <w:rPr>
                <w:sz w:val="19"/>
              </w:rPr>
              <w:t>Hard</w:t>
            </w:r>
          </w:p>
        </w:tc>
        <w:tc>
          <w:tcPr>
            <w:tcW w:type="dxa" w:w="2101"/>
          </w:tcPr>
          <w:p>
            <w:pPr>
              <w:spacing w:after="0"/>
            </w:pPr>
            <w:r>
              <w:rPr>
                <w:sz w:val="19"/>
              </w:rPr>
              <w:t>MCQ</w:t>
            </w:r>
          </w:p>
        </w:tc>
        <w:tc>
          <w:tcPr>
            <w:tcW w:type="dxa" w:w="2741"/>
          </w:tcPr>
          <w:p>
            <w:pPr>
              <w:spacing w:after="0"/>
            </w:pPr>
            <w:r>
              <w:rPr>
                <w:sz w:val="19"/>
              </w:rPr>
              <w:t>3 DCF techniques</w:t>
            </w:r>
          </w:p>
        </w:tc>
      </w:tr>
      <w:tr>
        <w:trPr>
          <w:cantSplit/>
        </w:trPr>
        <w:tc>
          <w:tcPr>
            <w:tcW w:type="dxa" w:w="457"/>
          </w:tcPr>
          <w:p>
            <w:pPr>
              <w:spacing w:after="0"/>
            </w:pPr>
            <w:r>
              <w:rPr>
                <w:sz w:val="19"/>
              </w:rPr>
              <w:t>17</w:t>
            </w:r>
          </w:p>
        </w:tc>
        <w:tc>
          <w:tcPr>
            <w:tcW w:type="dxa" w:w="3289"/>
          </w:tcPr>
          <w:p>
            <w:pPr>
              <w:spacing w:after="0"/>
            </w:pPr>
            <w:r>
              <w:rPr>
                <w:sz w:val="19"/>
              </w:rPr>
              <w:t>2nd and 4th</w:t>
            </w:r>
          </w:p>
        </w:tc>
        <w:tc>
          <w:tcPr>
            <w:tcW w:type="dxa" w:w="822"/>
          </w:tcPr>
          <w:p>
            <w:pPr>
              <w:spacing w:after="0"/>
            </w:pPr>
            <w:r>
              <w:rPr>
                <w:sz w:val="19"/>
              </w:rPr>
              <w:t>Easy</w:t>
            </w:r>
          </w:p>
        </w:tc>
        <w:tc>
          <w:tcPr>
            <w:tcW w:type="dxa" w:w="2101"/>
          </w:tcPr>
          <w:p>
            <w:pPr>
              <w:spacing w:after="0"/>
            </w:pPr>
            <w:r>
              <w:rPr>
                <w:sz w:val="19"/>
              </w:rPr>
              <w:t>Which TWO</w:t>
            </w:r>
          </w:p>
        </w:tc>
        <w:tc>
          <w:tcPr>
            <w:tcW w:type="dxa" w:w="2741"/>
          </w:tcPr>
          <w:p>
            <w:pPr>
              <w:spacing w:after="0"/>
            </w:pPr>
            <w:r>
              <w:rPr>
                <w:sz w:val="19"/>
              </w:rPr>
              <w:t>3 DCF techniques</w:t>
            </w:r>
          </w:p>
        </w:tc>
      </w:tr>
      <w:tr>
        <w:trPr>
          <w:cantSplit/>
        </w:trPr>
        <w:tc>
          <w:tcPr>
            <w:tcW w:type="dxa" w:w="457"/>
          </w:tcPr>
          <w:p>
            <w:pPr>
              <w:spacing w:after="0"/>
            </w:pPr>
            <w:r>
              <w:rPr>
                <w:sz w:val="19"/>
              </w:rPr>
              <w:t>18</w:t>
            </w:r>
          </w:p>
        </w:tc>
        <w:tc>
          <w:tcPr>
            <w:tcW w:type="dxa" w:w="3289"/>
          </w:tcPr>
          <w:p>
            <w:pPr>
              <w:spacing w:after="0"/>
              <w:jc w:val="center"/>
            </w:pPr>
            <w:r>
              <w:rPr>
                <w:sz w:val="19"/>
              </w:rPr>
              <w:t>$39,150</w:t>
            </w:r>
          </w:p>
        </w:tc>
        <w:tc>
          <w:tcPr>
            <w:tcW w:type="dxa" w:w="822"/>
          </w:tcPr>
          <w:p>
            <w:pPr>
              <w:spacing w:after="0"/>
            </w:pPr>
            <w:r>
              <w:rPr>
                <w:sz w:val="19"/>
              </w:rPr>
              <w:t>Hard</w:t>
            </w:r>
          </w:p>
        </w:tc>
        <w:tc>
          <w:tcPr>
            <w:tcW w:type="dxa" w:w="2101"/>
          </w:tcPr>
          <w:p>
            <w:pPr>
              <w:spacing w:after="0"/>
            </w:pPr>
            <w:r>
              <w:rPr>
                <w:sz w:val="19"/>
              </w:rPr>
              <w:t>Numeric entry</w:t>
            </w:r>
          </w:p>
        </w:tc>
        <w:tc>
          <w:tcPr>
            <w:tcW w:type="dxa" w:w="2741"/>
          </w:tcPr>
          <w:p>
            <w:pPr>
              <w:spacing w:after="0"/>
            </w:pPr>
            <w:r>
              <w:rPr>
                <w:sz w:val="19"/>
              </w:rPr>
              <w:t>3 DCF techniques</w:t>
            </w:r>
          </w:p>
        </w:tc>
      </w:tr>
      <w:tr>
        <w:trPr>
          <w:cantSplit/>
        </w:trPr>
        <w:tc>
          <w:tcPr>
            <w:tcW w:type="dxa" w:w="457"/>
          </w:tcPr>
          <w:p>
            <w:pPr>
              <w:spacing w:after="0"/>
            </w:pPr>
            <w:r>
              <w:rPr>
                <w:sz w:val="19"/>
              </w:rPr>
              <w:t>19</w:t>
            </w:r>
          </w:p>
        </w:tc>
        <w:tc>
          <w:tcPr>
            <w:tcW w:type="dxa" w:w="3289"/>
          </w:tcPr>
          <w:p>
            <w:pPr>
              <w:spacing w:after="0"/>
            </w:pPr>
            <w:r>
              <w:rPr>
                <w:sz w:val="19"/>
              </w:rPr>
              <w:t>A</w:t>
            </w:r>
          </w:p>
        </w:tc>
        <w:tc>
          <w:tcPr>
            <w:tcW w:type="dxa" w:w="822"/>
          </w:tcPr>
          <w:p>
            <w:pPr>
              <w:spacing w:after="0"/>
            </w:pPr>
            <w:r>
              <w:rPr>
                <w:sz w:val="19"/>
              </w:rPr>
              <w:t>Hard</w:t>
            </w:r>
          </w:p>
        </w:tc>
        <w:tc>
          <w:tcPr>
            <w:tcW w:type="dxa" w:w="2101"/>
          </w:tcPr>
          <w:p>
            <w:pPr>
              <w:spacing w:after="0"/>
            </w:pPr>
            <w:r>
              <w:rPr>
                <w:sz w:val="19"/>
              </w:rPr>
              <w:t>MCQ</w:t>
            </w:r>
          </w:p>
        </w:tc>
        <w:tc>
          <w:tcPr>
            <w:tcW w:type="dxa" w:w="2741"/>
          </w:tcPr>
          <w:p>
            <w:pPr>
              <w:spacing w:after="0"/>
            </w:pPr>
            <w:r>
              <w:rPr>
                <w:sz w:val="19"/>
              </w:rPr>
              <w:t>3 DCF techniques</w:t>
            </w:r>
          </w:p>
        </w:tc>
      </w:tr>
      <w:tr>
        <w:trPr>
          <w:cantSplit/>
        </w:trPr>
        <w:tc>
          <w:tcPr>
            <w:tcW w:type="dxa" w:w="457"/>
          </w:tcPr>
          <w:p>
            <w:pPr>
              <w:spacing w:after="0"/>
            </w:pPr>
            <w:r>
              <w:rPr>
                <w:sz w:val="19"/>
              </w:rPr>
              <w:t>20</w:t>
            </w:r>
          </w:p>
        </w:tc>
        <w:tc>
          <w:tcPr>
            <w:tcW w:type="dxa" w:w="3289"/>
          </w:tcPr>
          <w:p>
            <w:pPr>
              <w:spacing w:after="0"/>
            </w:pPr>
            <w:r>
              <w:rPr>
                <w:sz w:val="19"/>
              </w:rPr>
              <w:t>True, True, False</w:t>
            </w:r>
          </w:p>
        </w:tc>
        <w:tc>
          <w:tcPr>
            <w:tcW w:type="dxa" w:w="822"/>
          </w:tcPr>
          <w:p>
            <w:pPr>
              <w:spacing w:after="0"/>
            </w:pPr>
            <w:r>
              <w:rPr>
                <w:sz w:val="19"/>
              </w:rPr>
              <w:t>Average</w:t>
            </w:r>
          </w:p>
        </w:tc>
        <w:tc>
          <w:tcPr>
            <w:tcW w:type="dxa" w:w="2101"/>
          </w:tcPr>
          <w:p>
            <w:pPr>
              <w:spacing w:after="0"/>
            </w:pPr>
            <w:r>
              <w:rPr>
                <w:sz w:val="19"/>
              </w:rPr>
              <w:t>T/F matrix</w:t>
            </w:r>
          </w:p>
        </w:tc>
        <w:tc>
          <w:tcPr>
            <w:tcW w:type="dxa" w:w="2741"/>
          </w:tcPr>
          <w:p>
            <w:pPr>
              <w:spacing w:after="0"/>
            </w:pPr>
            <w:r>
              <w:rPr>
                <w:sz w:val="19"/>
              </w:rPr>
              <w:t>3 DCF techniques</w:t>
            </w:r>
          </w:p>
        </w:tc>
      </w:tr>
      <w:tr>
        <w:trPr>
          <w:cantSplit/>
        </w:trPr>
        <w:tc>
          <w:tcPr>
            <w:tcW w:type="dxa" w:w="457"/>
          </w:tcPr>
          <w:p>
            <w:pPr>
              <w:spacing w:after="0"/>
            </w:pPr>
            <w:r>
              <w:rPr>
                <w:sz w:val="19"/>
              </w:rPr>
              <w:t>21</w:t>
            </w:r>
          </w:p>
        </w:tc>
        <w:tc>
          <w:tcPr>
            <w:tcW w:type="dxa" w:w="3289"/>
          </w:tcPr>
          <w:p>
            <w:pPr>
              <w:spacing w:after="0"/>
              <w:jc w:val="center"/>
            </w:pPr>
            <w:r>
              <w:rPr>
                <w:sz w:val="19"/>
              </w:rPr>
              <w:t>50 days</w:t>
            </w:r>
          </w:p>
        </w:tc>
        <w:tc>
          <w:tcPr>
            <w:tcW w:type="dxa" w:w="822"/>
          </w:tcPr>
          <w:p>
            <w:pPr>
              <w:spacing w:after="0"/>
            </w:pPr>
            <w:r>
              <w:rPr>
                <w:sz w:val="19"/>
              </w:rPr>
              <w:t>Hard</w:t>
            </w:r>
          </w:p>
        </w:tc>
        <w:tc>
          <w:tcPr>
            <w:tcW w:type="dxa" w:w="2101"/>
          </w:tcPr>
          <w:p>
            <w:pPr>
              <w:spacing w:after="0"/>
            </w:pPr>
            <w:r>
              <w:rPr>
                <w:sz w:val="19"/>
              </w:rPr>
              <w:t>Numeric entry</w:t>
            </w:r>
          </w:p>
        </w:tc>
        <w:tc>
          <w:tcPr>
            <w:tcW w:type="dxa" w:w="2741"/>
          </w:tcPr>
          <w:p>
            <w:pPr>
              <w:spacing w:after="0"/>
            </w:pPr>
            <w:r>
              <w:rPr>
                <w:sz w:val="19"/>
              </w:rPr>
              <w:t>7 Working capital management</w:t>
            </w:r>
          </w:p>
        </w:tc>
      </w:tr>
      <w:tr>
        <w:trPr>
          <w:cantSplit/>
        </w:trPr>
        <w:tc>
          <w:tcPr>
            <w:tcW w:type="dxa" w:w="457"/>
          </w:tcPr>
          <w:p>
            <w:pPr>
              <w:spacing w:after="0"/>
            </w:pPr>
            <w:r>
              <w:rPr>
                <w:sz w:val="19"/>
              </w:rPr>
              <w:t>22</w:t>
            </w:r>
          </w:p>
        </w:tc>
        <w:tc>
          <w:tcPr>
            <w:tcW w:type="dxa" w:w="3289"/>
          </w:tcPr>
          <w:p>
            <w:pPr>
              <w:spacing w:after="0"/>
            </w:pPr>
            <w:r>
              <w:rPr>
                <w:sz w:val="19"/>
              </w:rPr>
              <w:t>A</w:t>
            </w:r>
          </w:p>
        </w:tc>
        <w:tc>
          <w:tcPr>
            <w:tcW w:type="dxa" w:w="822"/>
          </w:tcPr>
          <w:p>
            <w:pPr>
              <w:spacing w:after="0"/>
            </w:pPr>
            <w:r>
              <w:rPr>
                <w:sz w:val="19"/>
              </w:rPr>
              <w:t>Hard</w:t>
            </w:r>
          </w:p>
        </w:tc>
        <w:tc>
          <w:tcPr>
            <w:tcW w:type="dxa" w:w="2101"/>
          </w:tcPr>
          <w:p>
            <w:pPr>
              <w:spacing w:after="0"/>
            </w:pPr>
            <w:r>
              <w:rPr>
                <w:sz w:val="19"/>
              </w:rPr>
              <w:t>MCQ</w:t>
            </w:r>
          </w:p>
        </w:tc>
        <w:tc>
          <w:tcPr>
            <w:tcW w:type="dxa" w:w="2741"/>
          </w:tcPr>
          <w:p>
            <w:pPr>
              <w:spacing w:after="0"/>
            </w:pPr>
            <w:r>
              <w:rPr>
                <w:sz w:val="19"/>
              </w:rPr>
              <w:t>8 Inventory control</w:t>
            </w:r>
          </w:p>
        </w:tc>
      </w:tr>
      <w:tr>
        <w:trPr>
          <w:cantSplit/>
        </w:trPr>
        <w:tc>
          <w:tcPr>
            <w:tcW w:type="dxa" w:w="457"/>
          </w:tcPr>
          <w:p>
            <w:pPr>
              <w:spacing w:after="0"/>
            </w:pPr>
            <w:r>
              <w:rPr>
                <w:sz w:val="19"/>
              </w:rPr>
              <w:t>23</w:t>
            </w:r>
          </w:p>
        </w:tc>
        <w:tc>
          <w:tcPr>
            <w:tcW w:type="dxa" w:w="3289"/>
          </w:tcPr>
          <w:p>
            <w:pPr>
              <w:spacing w:after="0"/>
              <w:jc w:val="center"/>
            </w:pPr>
            <w:r>
              <w:rPr>
                <w:sz w:val="19"/>
              </w:rPr>
              <w:t>1,408 units</w:t>
            </w:r>
          </w:p>
        </w:tc>
        <w:tc>
          <w:tcPr>
            <w:tcW w:type="dxa" w:w="822"/>
          </w:tcPr>
          <w:p>
            <w:pPr>
              <w:spacing w:after="0"/>
            </w:pPr>
            <w:r>
              <w:rPr>
                <w:sz w:val="19"/>
              </w:rPr>
              <w:t>Hard</w:t>
            </w:r>
          </w:p>
        </w:tc>
        <w:tc>
          <w:tcPr>
            <w:tcW w:type="dxa" w:w="2101"/>
          </w:tcPr>
          <w:p>
            <w:pPr>
              <w:spacing w:after="0"/>
            </w:pPr>
            <w:r>
              <w:rPr>
                <w:sz w:val="19"/>
              </w:rPr>
              <w:t>Numeric entry</w:t>
            </w:r>
          </w:p>
        </w:tc>
        <w:tc>
          <w:tcPr>
            <w:tcW w:type="dxa" w:w="2741"/>
          </w:tcPr>
          <w:p>
            <w:pPr>
              <w:spacing w:after="0"/>
            </w:pPr>
            <w:r>
              <w:rPr>
                <w:sz w:val="19"/>
              </w:rPr>
              <w:t>8 Inventory control</w:t>
            </w:r>
          </w:p>
        </w:tc>
      </w:tr>
      <w:tr>
        <w:trPr>
          <w:cantSplit/>
        </w:trPr>
        <w:tc>
          <w:tcPr>
            <w:tcW w:type="dxa" w:w="457"/>
          </w:tcPr>
          <w:p>
            <w:pPr>
              <w:spacing w:after="0"/>
            </w:pPr>
            <w:r>
              <w:rPr>
                <w:sz w:val="19"/>
              </w:rPr>
              <w:t>24</w:t>
            </w:r>
          </w:p>
        </w:tc>
        <w:tc>
          <w:tcPr>
            <w:tcW w:type="dxa" w:w="3289"/>
          </w:tcPr>
          <w:p>
            <w:pPr>
              <w:spacing w:after="0"/>
            </w:pPr>
            <w:r>
              <w:rPr>
                <w:sz w:val="19"/>
              </w:rPr>
              <w:t>A</w:t>
            </w:r>
          </w:p>
        </w:tc>
        <w:tc>
          <w:tcPr>
            <w:tcW w:type="dxa" w:w="822"/>
          </w:tcPr>
          <w:p>
            <w:pPr>
              <w:spacing w:after="0"/>
            </w:pPr>
            <w:r>
              <w:rPr>
                <w:sz w:val="19"/>
              </w:rPr>
              <w:t>Average</w:t>
            </w:r>
          </w:p>
        </w:tc>
        <w:tc>
          <w:tcPr>
            <w:tcW w:type="dxa" w:w="2101"/>
          </w:tcPr>
          <w:p>
            <w:pPr>
              <w:spacing w:after="0"/>
            </w:pPr>
            <w:r>
              <w:rPr>
                <w:sz w:val="19"/>
              </w:rPr>
              <w:t>Grid MCQ</w:t>
            </w:r>
          </w:p>
        </w:tc>
        <w:tc>
          <w:tcPr>
            <w:tcW w:type="dxa" w:w="2741"/>
          </w:tcPr>
          <w:p>
            <w:pPr>
              <w:spacing w:after="0"/>
            </w:pPr>
            <w:r>
              <w:rPr>
                <w:sz w:val="19"/>
              </w:rPr>
              <w:t>7 Working capital management</w:t>
            </w:r>
          </w:p>
        </w:tc>
      </w:tr>
      <w:tr>
        <w:trPr>
          <w:cantSplit/>
        </w:trPr>
        <w:tc>
          <w:tcPr>
            <w:tcW w:type="dxa" w:w="457"/>
          </w:tcPr>
          <w:p>
            <w:pPr>
              <w:spacing w:after="0"/>
            </w:pPr>
            <w:r>
              <w:rPr>
                <w:sz w:val="19"/>
              </w:rPr>
              <w:t>25</w:t>
            </w:r>
          </w:p>
        </w:tc>
        <w:tc>
          <w:tcPr>
            <w:tcW w:type="dxa" w:w="3289"/>
          </w:tcPr>
          <w:p>
            <w:pPr>
              <w:spacing w:after="0"/>
            </w:pPr>
            <w:r>
              <w:rPr>
                <w:sz w:val="19"/>
              </w:rPr>
              <w:t>1st and 2nd</w:t>
            </w:r>
          </w:p>
        </w:tc>
        <w:tc>
          <w:tcPr>
            <w:tcW w:type="dxa" w:w="822"/>
          </w:tcPr>
          <w:p>
            <w:pPr>
              <w:spacing w:after="0"/>
            </w:pPr>
            <w:r>
              <w:rPr>
                <w:sz w:val="19"/>
              </w:rPr>
              <w:t>Easy</w:t>
            </w:r>
          </w:p>
        </w:tc>
        <w:tc>
          <w:tcPr>
            <w:tcW w:type="dxa" w:w="2101"/>
          </w:tcPr>
          <w:p>
            <w:pPr>
              <w:spacing w:after="0"/>
            </w:pPr>
            <w:r>
              <w:rPr>
                <w:sz w:val="19"/>
              </w:rPr>
              <w:t>Which TWO</w:t>
            </w:r>
          </w:p>
        </w:tc>
        <w:tc>
          <w:tcPr>
            <w:tcW w:type="dxa" w:w="2741"/>
          </w:tcPr>
          <w:p>
            <w:pPr>
              <w:spacing w:after="0"/>
            </w:pPr>
            <w:r>
              <w:rPr>
                <w:sz w:val="19"/>
              </w:rPr>
              <w:t>8 Inventory control</w:t>
            </w:r>
          </w:p>
        </w:tc>
      </w:tr>
    </w:tbl>
    <w:p>
      <w:pPr>
        <w:spacing w:after="120"/>
      </w:pPr>
    </w:p>
    <w:p>
      <w:pPr>
        <w:pStyle w:val="Heading3"/>
        <w:pageBreakBefore w:val="0"/>
      </w:pPr>
      <w:r>
        <w:rPr>
          <w:b/>
          <w:color w:val="000000"/>
        </w:rPr>
        <w:t>Question 1: True, False, True</w:t>
      </w:r>
    </w:p>
    <w:p>
      <w:pPr>
        <w:pStyle w:val="ListBullet"/>
        <w:spacing w:after="40"/>
      </w:pPr>
      <w:r>
        <w:rPr>
          <w:b/>
        </w:rPr>
        <w:t>True.</w:t>
      </w:r>
      <w:r>
        <w:rPr/>
        <w:t xml:space="preserve"> Investment, financing and dividend decisions affect each other. For example, cash paid as dividends cannot be retained to finance investment.</w:t>
      </w:r>
    </w:p>
    <w:p>
      <w:pPr>
        <w:pStyle w:val="ListBullet"/>
        <w:spacing w:after="40"/>
      </w:pPr>
      <w:r>
        <w:rPr>
          <w:b/>
        </w:rPr>
        <w:t>False.</w:t>
      </w:r>
      <w:r>
        <w:rPr/>
        <w:t xml:space="preserve"> This is the trap. Profit is an accounting measure: it ignores risk, the timing of cash flows and the cost of capital, and it can be raised by cutting R&amp;D at the expense of future value. Shareholder wealth depends on the present value of future cash flows.</w:t>
      </w:r>
    </w:p>
    <w:p>
      <w:pPr>
        <w:pStyle w:val="ListBullet"/>
        <w:spacing w:after="40"/>
      </w:pPr>
      <w:r>
        <w:rPr>
          <w:b/>
        </w:rPr>
        <w:t>True.</w:t>
      </w:r>
      <w:r>
        <w:rPr/>
        <w:t xml:space="preserve"> Working capital management is part of the FM syllabus.</w:t>
      </w:r>
    </w:p>
    <w:p>
      <w:pPr>
        <w:pBdr>
          <w:bottom w:val="single" w:sz="8" w:space="1" w:color="000000"/>
        </w:pBdr>
        <w:spacing w:after="160"/>
      </w:pPr>
    </w:p>
    <w:p>
      <w:pPr>
        <w:pStyle w:val="Heading3"/>
        <w:pageBreakBefore w:val="0"/>
      </w:pPr>
      <w:r>
        <w:rPr>
          <w:b/>
          <w:color w:val="000000"/>
        </w:rPr>
        <w:t>Question 2: A (1 and 3 only)</w:t>
      </w:r>
    </w:p>
    <w:p>
      <w:pPr>
        <w:pStyle w:val="ListBullet"/>
        <w:spacing w:after="40"/>
      </w:pPr>
      <w:r>
        <w:rPr>
          <w:b/>
        </w:rPr>
        <w:t>(1) Correct.</w:t>
      </w:r>
      <w:r>
        <w:rPr/>
        <w:t xml:space="preserve"> Long-term share awards linked to relative TSR reward directors for creating shareholder wealth over a long horizon.</w:t>
      </w:r>
    </w:p>
    <w:p>
      <w:pPr>
        <w:pStyle w:val="ListBullet"/>
        <w:spacing w:after="40"/>
      </w:pPr>
      <w:r>
        <w:rPr>
          <w:b/>
        </w:rPr>
        <w:t>(2) Incorrect.</w:t>
      </w:r>
      <w:r>
        <w:rPr/>
        <w:t xml:space="preserve"> This is the trap: it </w:t>
      </w:r>
      <w:r>
        <w:rPr>
          <w:i/>
        </w:rPr>
        <w:t>sounds</w:t>
      </w:r>
      <w:r>
        <w:rPr/>
        <w:t xml:space="preserve"> like performance pay, but an annual bonus on reported profit encourages short-termism and creative accounting.</w:t>
      </w:r>
    </w:p>
    <w:p>
      <w:pPr>
        <w:pStyle w:val="ListBullet"/>
        <w:spacing w:after="40"/>
      </w:pPr>
      <w:r>
        <w:rPr>
          <w:b/>
        </w:rPr>
        <w:t>(3) Correct.</w:t>
      </w:r>
      <w:r>
        <w:rPr/>
        <w:t xml:space="preserve"> Independent NEDs on the remuneration committee are a corporate governance safeguard.</w:t>
      </w:r>
    </w:p>
    <w:p>
      <w:pPr>
        <w:pStyle w:val="ListBullet"/>
        <w:spacing w:after="40"/>
      </w:pPr>
      <w:r>
        <w:rPr>
          <w:b/>
        </w:rPr>
        <w:t>(4) Incorrect.</w:t>
      </w:r>
      <w:r>
        <w:rPr/>
        <w:t xml:space="preserve"> Long notice periods entrench directors and make failure expensive for shareholders to remove, which makes the agency problem worse.</w:t>
      </w:r>
    </w:p>
    <w:p>
      <w:pPr>
        <w:pStyle w:val="ListBullet"/>
        <w:spacing w:after="40"/>
      </w:pPr>
      <w:r>
        <w:rPr/>
        <w:t>Options B, C and D each include either (2) or (4).</w:t>
      </w:r>
    </w:p>
    <w:p>
      <w:pPr>
        <w:pBdr>
          <w:bottom w:val="single" w:sz="8" w:space="1" w:color="000000"/>
        </w:pBdr>
        <w:spacing w:after="160"/>
      </w:pPr>
    </w:p>
    <w:p>
      <w:pPr>
        <w:pStyle w:val="Heading3"/>
        <w:pageBreakBefore w:val="0"/>
      </w:pPr>
      <w:r>
        <w:rPr>
          <w:b/>
          <w:color w:val="000000"/>
        </w:rPr>
        <w:t>Question 3: Economy, Efficiency, Effectiveness</w:t>
      </w:r>
    </w:p>
    <w:p>
      <w:pPr>
        <w:pStyle w:val="ListBullet"/>
        <w:spacing w:after="40"/>
      </w:pPr>
      <w:r>
        <w:rPr>
          <w:b/>
        </w:rPr>
        <w:t>Fuel price vs benchmark = Economy:</w:t>
      </w:r>
      <w:r>
        <w:rPr/>
        <w:t xml:space="preserve"> obtaining inputs of the right quality at the lowest cost.</w:t>
      </w:r>
    </w:p>
    <w:p>
      <w:pPr>
        <w:pStyle w:val="ListBullet"/>
        <w:spacing w:after="40"/>
      </w:pPr>
      <w:r>
        <w:rPr>
          <w:b/>
        </w:rPr>
        <w:t>Journeys per vehicle per day = Efficiency:</w:t>
      </w:r>
      <w:r>
        <w:rPr/>
        <w:t xml:space="preserve"> the ratio of output to input.</w:t>
      </w:r>
    </w:p>
    <w:p>
      <w:pPr>
        <w:pStyle w:val="ListBullet"/>
        <w:spacing w:after="40"/>
      </w:pPr>
      <w:r>
        <w:rPr>
          <w:b/>
        </w:rPr>
        <w:t>On-time arrival against target = Effectiveness:</w:t>
      </w:r>
      <w:r>
        <w:rPr/>
        <w:t xml:space="preserve"> how far the service meets its objectives.</w:t>
      </w:r>
    </w:p>
    <w:p>
      <w:pPr>
        <w:pStyle w:val="ListBullet"/>
        <w:spacing w:after="40"/>
      </w:pPr>
      <w:r>
        <w:rPr>
          <w:b/>
        </w:rPr>
        <w:t>Trap:</w:t>
      </w:r>
      <w:r>
        <w:rPr/>
        <w:t xml:space="preserve"> candidates often call the journeys measure "effectiveness" because it sounds like an outcome. It measures </w:t>
      </w:r>
      <w:r>
        <w:rPr>
          <w:i/>
        </w:rPr>
        <w:t>productivity of a resource</w:t>
      </w:r>
      <w:r>
        <w:rPr/>
        <w:t>, not whether the objective was met.</w:t>
      </w:r>
    </w:p>
    <w:p>
      <w:pPr>
        <w:pBdr>
          <w:bottom w:val="single" w:sz="8" w:space="1" w:color="000000"/>
        </w:pBdr>
        <w:spacing w:after="160"/>
      </w:pPr>
    </w:p>
    <w:p>
      <w:pPr>
        <w:pStyle w:val="Heading3"/>
        <w:pageBreakBefore w:val="0"/>
      </w:pPr>
      <w:r>
        <w:rPr>
          <w:b/>
          <w:color w:val="000000"/>
        </w:rPr>
        <w:t>Question 4: 12.1%</w:t>
      </w:r>
    </w:p>
    <w:p>
      <w:pPr>
        <w:keepNext w:val="0"/>
        <w:spacing w:after="100" w:before="0"/>
      </w:pPr>
      <w:r>
        <w:rPr/>
        <w:t xml:space="preserve">TSR = (P₁ − P₀ + D) / P₀ = (5.16 − 4.80 + 0.22) / 4.80 = 0.58 / 4.80 = </w:t>
      </w:r>
      <w:r>
        <w:rPr>
          <w:b/>
        </w:rPr>
        <w:t>12.08%, rounded to 12.1%</w:t>
      </w:r>
    </w:p>
    <w:p>
      <w:pPr>
        <w:keepNext w:val="0"/>
        <w:spacing w:after="100" w:before="0"/>
      </w:pPr>
      <w:r>
        <w:rPr/>
        <w:t>Common wrong answers:</w:t>
      </w:r>
    </w:p>
    <w:p>
      <w:pPr>
        <w:pStyle w:val="ListBullet"/>
        <w:spacing w:after="40"/>
      </w:pPr>
      <w:r>
        <w:rPr/>
        <w:t>Capital gain only: 0.36 / 4.80 = 7.5%</w:t>
      </w:r>
    </w:p>
    <w:p>
      <w:pPr>
        <w:pStyle w:val="ListBullet"/>
        <w:spacing w:after="40"/>
      </w:pPr>
      <w:r>
        <w:rPr/>
        <w:t>Dividend yield only: 0.22 / 4.80 = 4.6%</w:t>
      </w:r>
    </w:p>
    <w:p>
      <w:pPr>
        <w:pStyle w:val="ListBullet"/>
        <w:spacing w:after="40"/>
      </w:pPr>
      <w:r>
        <w:rPr/>
        <w:t>Closing price as the denominator: 0.58 / 5.16 = 11.2%</w:t>
      </w:r>
    </w:p>
    <w:p>
      <w:pPr>
        <w:pBdr>
          <w:bottom w:val="single" w:sz="8" w:space="1" w:color="000000"/>
        </w:pBdr>
        <w:spacing w:after="160"/>
      </w:pPr>
    </w:p>
    <w:p>
      <w:pPr>
        <w:pStyle w:val="Heading3"/>
        <w:pageBreakBefore w:val="0"/>
      </w:pPr>
      <w:r>
        <w:rPr>
          <w:b/>
          <w:color w:val="000000"/>
        </w:rPr>
        <w:t>Question 5: B (29.6%)</w:t>
      </w:r>
    </w:p>
    <w:p>
      <w:pPr>
        <w:pStyle w:val="ListBullet"/>
        <w:spacing w:after="40"/>
      </w:pPr>
      <w:r>
        <w:rPr/>
        <w:t>Total depreciation = 480,000 − 60,000 = $420,000</w:t>
      </w:r>
    </w:p>
    <w:p>
      <w:pPr>
        <w:pStyle w:val="ListBullet"/>
        <w:spacing w:after="40"/>
      </w:pPr>
      <w:r>
        <w:rPr/>
        <w:t>Total profit = 900,000 − 420,000 = $480,000, so average annual profit = $80,000</w:t>
      </w:r>
    </w:p>
    <w:p>
      <w:pPr>
        <w:pStyle w:val="ListBullet"/>
        <w:spacing w:after="40"/>
      </w:pPr>
      <w:r>
        <w:rPr/>
        <w:t>Average investment = (initial investment + scrap) / 2 = (480,000 + 60,000) / 2 = $270,000</w:t>
      </w:r>
    </w:p>
    <w:p>
      <w:pPr>
        <w:pStyle w:val="ListBullet"/>
        <w:spacing w:after="40"/>
      </w:pPr>
      <w:r>
        <w:rPr/>
        <w:t xml:space="preserve">ROCE = 80,000 / 270,000 = </w:t>
      </w:r>
      <w:r>
        <w:rPr>
          <w:b/>
        </w:rPr>
        <w:t>29.6%</w:t>
      </w:r>
    </w:p>
    <w:p>
      <w:pPr>
        <w:keepNext w:val="0"/>
        <w:spacing w:after="100" w:before="0"/>
      </w:pPr>
      <w:r>
        <w:rPr/>
        <w:t>Distractors:</w:t>
      </w:r>
    </w:p>
    <w:p>
      <w:pPr>
        <w:pStyle w:val="ListBullet"/>
        <w:spacing w:after="40"/>
      </w:pPr>
      <w:r>
        <w:rPr>
          <w:b/>
        </w:rPr>
        <w:t>A (16.7%):</w:t>
      </w:r>
      <w:r>
        <w:rPr/>
        <w:t xml:space="preserve"> uses the initial investment, 80,000 / 480,000.</w:t>
      </w:r>
    </w:p>
    <w:p>
      <w:pPr>
        <w:pStyle w:val="ListBullet"/>
        <w:spacing w:after="40"/>
      </w:pPr>
      <w:r>
        <w:rPr>
          <w:b/>
        </w:rPr>
        <w:t>C (38.1%):</w:t>
      </w:r>
      <w:r>
        <w:rPr/>
        <w:t xml:space="preserve"> the main trap. It deducts the scrap value, (480,000 − 60,000) / 2 = 210,000. Scrap is </w:t>
      </w:r>
      <w:r>
        <w:rPr>
          <w:b/>
        </w:rPr>
        <w:t>added</w:t>
      </w:r>
      <w:r>
        <w:rPr/>
        <w:t xml:space="preserve"> because the asset is never depreciated below its scrap value.</w:t>
      </w:r>
    </w:p>
    <w:p>
      <w:pPr>
        <w:pStyle w:val="ListBullet"/>
        <w:spacing w:after="40"/>
      </w:pPr>
      <w:r>
        <w:rPr>
          <w:b/>
        </w:rPr>
        <w:t>D (55.6%):</w:t>
      </w:r>
      <w:r>
        <w:rPr/>
        <w:t xml:space="preserve"> uses cash flow instead of profit (150,000 / 270,000). ROCE is based on accounting profit after depreciation.</w:t>
      </w:r>
    </w:p>
    <w:p>
      <w:pPr>
        <w:pBdr>
          <w:bottom w:val="single" w:sz="8" w:space="1" w:color="000000"/>
        </w:pBdr>
        <w:spacing w:after="160"/>
      </w:pPr>
    </w:p>
    <w:p>
      <w:pPr>
        <w:pStyle w:val="Heading3"/>
        <w:pageBreakBefore w:val="0"/>
      </w:pPr>
      <w:r>
        <w:rPr>
          <w:b/>
          <w:color w:val="000000"/>
        </w:rPr>
        <w:t>Question 6: C (3 years 1 month)</w:t>
      </w:r>
    </w:p>
    <w:p>
      <w:pPr>
        <w:pStyle w:val="ListBullet"/>
        <w:spacing w:after="40"/>
      </w:pPr>
      <w:r>
        <w:rPr/>
        <w:t xml:space="preserve">Relevant outlay = 250,000 + 30,000 = $280,000. The $40,000 market research is a </w:t>
      </w:r>
      <w:r>
        <w:rPr>
          <w:b/>
        </w:rPr>
        <w:t>sunk cost</w:t>
      </w:r>
      <w:r>
        <w:rPr/>
        <w:t xml:space="preserve"> and is excluded. Working capital is a real cash outflow and is </w:t>
      </w:r>
      <w:r>
        <w:rPr>
          <w:b/>
        </w:rPr>
        <w:t>included</w:t>
      </w:r>
      <w:r>
        <w:rPr/>
        <w:t>.</w:t>
      </w:r>
    </w:p>
    <w:p>
      <w:pPr>
        <w:pStyle w:val="ListBullet"/>
        <w:spacing w:after="40"/>
      </w:pPr>
      <w:r>
        <w:rPr/>
        <w:t xml:space="preserve">Cumulative cash flows: Year 1 70,000, Year 2 160,000, Year 3 270,000. A further $10,000 is needed in Year 4: 10,000 / 120,000 × 12 = 1 month, so the answer is </w:t>
      </w:r>
      <w:r>
        <w:rPr>
          <w:b/>
        </w:rPr>
        <w:t>3 years 1 month</w:t>
      </w:r>
      <w:r>
        <w:rPr/>
        <w:t>.</w:t>
      </w:r>
    </w:p>
    <w:p>
      <w:pPr>
        <w:keepNext w:val="0"/>
        <w:spacing w:after="100" w:before="0"/>
      </w:pPr>
      <w:r>
        <w:rPr/>
        <w:t>Distractors:</w:t>
      </w:r>
    </w:p>
    <w:p>
      <w:pPr>
        <w:pStyle w:val="ListBullet"/>
        <w:spacing w:after="40"/>
      </w:pPr>
      <w:r>
        <w:rPr>
          <w:b/>
        </w:rPr>
        <w:t>A:</w:t>
      </w:r>
      <w:r>
        <w:rPr/>
        <w:t xml:space="preserve"> omits working capital (outlay $250,000): 2 years + 90/110 × 12 = 2 years 10 months.</w:t>
      </w:r>
    </w:p>
    <w:p>
      <w:pPr>
        <w:pStyle w:val="ListBullet"/>
        <w:spacing w:after="40"/>
      </w:pPr>
      <w:r>
        <w:rPr>
          <w:b/>
        </w:rPr>
        <w:t>B:</w:t>
      </w:r>
      <w:r>
        <w:rPr/>
        <w:t xml:space="preserve"> uses the average annual inflow: 280,000 / 97,500 = 2.87 years. That method is only valid when cash flows are constant.</w:t>
      </w:r>
    </w:p>
    <w:p>
      <w:pPr>
        <w:pStyle w:val="ListBullet"/>
        <w:spacing w:after="40"/>
      </w:pPr>
      <w:r>
        <w:rPr>
          <w:b/>
        </w:rPr>
        <w:t>D:</w:t>
      </w:r>
      <w:r>
        <w:rPr/>
        <w:t xml:space="preserve"> includes the sunk cost (outlay $320,000): 3 years + 50/120 × 12 = 3 years 5 months.</w:t>
      </w:r>
    </w:p>
    <w:p>
      <w:pPr>
        <w:pBdr>
          <w:bottom w:val="single" w:sz="8" w:space="1" w:color="000000"/>
        </w:pBdr>
        <w:spacing w:after="160"/>
      </w:pPr>
    </w:p>
    <w:p>
      <w:pPr>
        <w:pStyle w:val="Heading3"/>
        <w:pageBreakBefore w:val="0"/>
      </w:pPr>
      <w:r>
        <w:rPr>
          <w:b/>
          <w:color w:val="000000"/>
        </w:rPr>
        <w:t>Question 7: C ($102,690)</w:t>
      </w:r>
    </w:p>
    <w:p>
      <w:pPr>
        <w:keepNext w:val="0"/>
        <w:spacing w:after="100" w:before="0"/>
      </w:pPr>
      <w:r>
        <w:rPr/>
        <w:t>The receipts run from Year 3 to Year 7, so use the annuity factor for Years 1 to 7 less the factor for Years 1 to 2:</w:t>
      </w:r>
    </w:p>
    <w:p>
      <w:pPr>
        <w:pStyle w:val="ListBullet"/>
        <w:spacing w:after="40"/>
      </w:pPr>
      <w:r>
        <w:rPr/>
        <w:t>Annuity factor = 5.206 − 1.783 = 3.423</w:t>
      </w:r>
    </w:p>
    <w:p>
      <w:pPr>
        <w:pStyle w:val="ListBullet"/>
        <w:spacing w:after="40"/>
      </w:pPr>
      <w:r>
        <w:rPr/>
        <w:t xml:space="preserve">PV = 30,000 × 3.423 = </w:t>
      </w:r>
      <w:r>
        <w:rPr>
          <w:b/>
        </w:rPr>
        <w:t>$102,690</w:t>
      </w:r>
    </w:p>
    <w:p>
      <w:pPr>
        <w:keepNext w:val="0"/>
        <w:spacing w:after="100" w:before="0"/>
      </w:pPr>
      <w:r>
        <w:rPr/>
        <w:t>An alternative method gives the same answer to rounding: value the five receipts as an annuity one year before the first receipt (Year 2), then discount for two years: 30,000 × 3.993 × 0.857 = $102,660.</w:t>
      </w:r>
    </w:p>
    <w:p>
      <w:pPr>
        <w:keepNext w:val="0"/>
        <w:spacing w:after="100" w:before="0"/>
      </w:pPr>
      <w:r>
        <w:rPr/>
        <w:t>Distractors:</w:t>
      </w:r>
    </w:p>
    <w:p>
      <w:pPr>
        <w:pStyle w:val="ListBullet"/>
        <w:spacing w:after="40"/>
      </w:pPr>
      <w:r>
        <w:rPr>
          <w:b/>
        </w:rPr>
        <w:t>A ($78,870):</w:t>
      </w:r>
      <w:r>
        <w:rPr/>
        <w:t xml:space="preserve"> subtracts the factor for Years 1 to 3 (5.206 − 2.577 = 2.629), which values only four receipts (Years 4 to 7).</w:t>
      </w:r>
    </w:p>
    <w:p>
      <w:pPr>
        <w:pStyle w:val="ListBullet"/>
        <w:spacing w:after="40"/>
      </w:pPr>
      <w:r>
        <w:rPr>
          <w:b/>
        </w:rPr>
        <w:t>B ($95,113):</w:t>
      </w:r>
      <w:r>
        <w:rPr/>
        <w:t xml:space="preserve"> discounts the five-year annuity back with the Year 3 factor. This is the classic off-by-one trap: an annuity formula gives a value one year </w:t>
      </w:r>
      <w:r>
        <w:rPr>
          <w:b/>
        </w:rPr>
        <w:t>before</w:t>
      </w:r>
      <w:r>
        <w:rPr/>
        <w:t xml:space="preserve"> the first cash flow.</w:t>
      </w:r>
    </w:p>
    <w:p>
      <w:pPr>
        <w:pStyle w:val="ListBullet"/>
        <w:spacing w:after="40"/>
      </w:pPr>
      <w:r>
        <w:rPr>
          <w:b/>
        </w:rPr>
        <w:t>D ($119,790):</w:t>
      </w:r>
      <w:r>
        <w:rPr/>
        <w:t xml:space="preserve"> ignores the deferral and treats the receipts as Years 1 to 5.</w:t>
      </w:r>
    </w:p>
    <w:p>
      <w:pPr>
        <w:pBdr>
          <w:bottom w:val="single" w:sz="8" w:space="1" w:color="000000"/>
        </w:pBdr>
        <w:spacing w:after="160"/>
      </w:pPr>
    </w:p>
    <w:p>
      <w:pPr>
        <w:pStyle w:val="Heading3"/>
        <w:pageBreakBefore w:val="0"/>
      </w:pPr>
      <w:r>
        <w:rPr>
          <w:b/>
          <w:color w:val="000000"/>
        </w:rPr>
        <w:t>Question 8: C ($46,230)</w:t>
      </w:r>
    </w:p>
    <w:p>
      <w:pPr>
        <w:keepNext w:val="0"/>
        <w:spacing w:after="100" w:before="0"/>
      </w:pPr>
      <w:r>
        <w:rPr/>
        <w:t xml:space="preserve">PV = 10,000 × annuity factor (8%, 6 years) = 10,000 × 4.623 = </w:t>
      </w:r>
      <w:r>
        <w:rPr>
          <w:b/>
        </w:rPr>
        <w:t>$46,230</w:t>
      </w:r>
    </w:p>
    <w:p>
      <w:pPr>
        <w:keepNext w:val="0"/>
        <w:spacing w:after="100" w:before="0"/>
      </w:pPr>
      <w:r>
        <w:rPr/>
        <w:t>Distractors:</w:t>
      </w:r>
    </w:p>
    <w:p>
      <w:pPr>
        <w:pStyle w:val="ListBullet"/>
        <w:spacing w:after="40"/>
      </w:pPr>
      <w:r>
        <w:rPr>
          <w:b/>
        </w:rPr>
        <w:t>A ($37,800):</w:t>
      </w:r>
      <w:r>
        <w:rPr/>
        <w:t xml:space="preserve"> discounts every saving with the Year 6 factor (10,000 × 0.630 × 6).</w:t>
      </w:r>
    </w:p>
    <w:p>
      <w:pPr>
        <w:pStyle w:val="ListBullet"/>
        <w:spacing w:after="40"/>
      </w:pPr>
      <w:r>
        <w:rPr>
          <w:b/>
        </w:rPr>
        <w:t>B ($39,930):</w:t>
      </w:r>
      <w:r>
        <w:rPr/>
        <w:t xml:space="preserve"> uses the five-year annuity factor (3.993).</w:t>
      </w:r>
    </w:p>
    <w:p>
      <w:pPr>
        <w:pStyle w:val="ListBullet"/>
        <w:spacing w:after="40"/>
      </w:pPr>
      <w:r>
        <w:rPr>
          <w:b/>
        </w:rPr>
        <w:t>D ($60,000):</w:t>
      </w:r>
      <w:r>
        <w:rPr/>
        <w:t xml:space="preserve"> no discounting.</w:t>
      </w:r>
    </w:p>
    <w:p>
      <w:pPr>
        <w:pBdr>
          <w:bottom w:val="single" w:sz="8" w:space="1" w:color="000000"/>
        </w:pBdr>
        <w:spacing w:after="160"/>
      </w:pPr>
    </w:p>
    <w:p>
      <w:pPr>
        <w:pStyle w:val="Heading3"/>
        <w:pageBreakBefore w:val="0"/>
      </w:pPr>
      <w:r>
        <w:rPr>
          <w:b/>
          <w:color w:val="000000"/>
        </w:rPr>
        <w:t>Question 9: B ($76,320)</w:t>
      </w:r>
    </w:p>
    <w:p>
      <w:pPr>
        <w:keepNext w:val="0"/>
        <w:spacing w:after="100" w:before="0"/>
      </w:pPr>
      <w:r>
        <w:rPr/>
        <w:t>A payment made today is not discounted. The other four payments form an annuity for Years 1 to 4:</w:t>
      </w:r>
    </w:p>
    <w:p>
      <w:pPr>
        <w:pStyle w:val="ListBullet"/>
        <w:spacing w:after="40"/>
      </w:pPr>
      <w:r>
        <w:rPr/>
        <w:t xml:space="preserve">PV = 18,000 × (1 + 3.240) = 18,000 × 4.240 = </w:t>
      </w:r>
      <w:r>
        <w:rPr>
          <w:b/>
        </w:rPr>
        <w:t>$76,320</w:t>
      </w:r>
    </w:p>
    <w:p>
      <w:pPr>
        <w:keepNext w:val="0"/>
        <w:spacing w:after="100" w:before="0"/>
      </w:pPr>
      <w:r>
        <w:rPr/>
        <w:t>Distractors:</w:t>
      </w:r>
    </w:p>
    <w:p>
      <w:pPr>
        <w:pStyle w:val="ListBullet"/>
        <w:spacing w:after="40"/>
      </w:pPr>
      <w:r>
        <w:rPr>
          <w:b/>
        </w:rPr>
        <w:t>A ($70,020):</w:t>
      </w:r>
      <w:r>
        <w:rPr/>
        <w:t xml:space="preserve"> treats all five payments as arriving at the end of Years 1 to 5 (18,000 × 3.890). Payments in advance are worth more in PV terms.</w:t>
      </w:r>
    </w:p>
    <w:p>
      <w:pPr>
        <w:pStyle w:val="ListBullet"/>
        <w:spacing w:after="40"/>
      </w:pPr>
      <w:r>
        <w:rPr>
          <w:b/>
        </w:rPr>
        <w:t>C ($88,020):</w:t>
      </w:r>
      <w:r>
        <w:rPr/>
        <w:t xml:space="preserve"> adds 1 to the </w:t>
      </w:r>
      <w:r>
        <w:rPr>
          <w:b/>
        </w:rPr>
        <w:t>five</w:t>
      </w:r>
      <w:r>
        <w:rPr/>
        <w:t>-year factor, which counts six payments.</w:t>
      </w:r>
    </w:p>
    <w:p>
      <w:pPr>
        <w:pStyle w:val="ListBullet"/>
        <w:spacing w:after="40"/>
      </w:pPr>
      <w:r>
        <w:rPr>
          <w:b/>
        </w:rPr>
        <w:t>D ($90,000):</w:t>
      </w:r>
      <w:r>
        <w:rPr/>
        <w:t xml:space="preserve"> no discounting.</w:t>
      </w:r>
    </w:p>
    <w:p>
      <w:pPr>
        <w:pBdr>
          <w:bottom w:val="single" w:sz="8" w:space="1" w:color="000000"/>
        </w:pBdr>
        <w:spacing w:after="160"/>
      </w:pPr>
    </w:p>
    <w:p>
      <w:pPr>
        <w:pStyle w:val="Heading3"/>
        <w:pageBreakBefore w:val="0"/>
      </w:pPr>
      <w:r>
        <w:rPr>
          <w:b/>
          <w:color w:val="000000"/>
        </w:rPr>
        <w:t>Question 10: 2nd and 4th</w:t>
      </w:r>
    </w:p>
    <w:p>
      <w:pPr>
        <w:keepNext w:val="0"/>
        <w:spacing w:after="100" w:before="0"/>
      </w:pPr>
      <w:r>
        <w:rPr/>
        <w:t>Relevant cash flows are future, incremental cash flows that arise as a direct result of the decision.</w:t>
      </w:r>
    </w:p>
    <w:p>
      <w:pPr>
        <w:pStyle w:val="ListBullet"/>
        <w:spacing w:after="40"/>
      </w:pPr>
      <w:r>
        <w:rPr>
          <w:b/>
        </w:rPr>
        <w:t>Rent forgone: relevant.</w:t>
      </w:r>
      <w:r>
        <w:rPr/>
        <w:t xml:space="preserve"> It is an opportunity cost: the company loses this cash inflow if the project goes ahead.</w:t>
      </w:r>
    </w:p>
    <w:p>
      <w:pPr>
        <w:pStyle w:val="ListBullet"/>
        <w:spacing w:after="40"/>
      </w:pPr>
      <w:r>
        <w:rPr>
          <w:b/>
        </w:rPr>
        <w:t>Additional supervisor's salary: relevant.</w:t>
      </w:r>
      <w:r>
        <w:rPr/>
        <w:t xml:space="preserve"> It is an incremental cash cost.</w:t>
      </w:r>
    </w:p>
    <w:p>
      <w:pPr>
        <w:pStyle w:val="ListBullet"/>
        <w:spacing w:after="40"/>
      </w:pPr>
      <w:r>
        <w:rPr>
          <w:b/>
        </w:rPr>
        <w:t>Depreciation: not relevant.</w:t>
      </w:r>
      <w:r>
        <w:rPr/>
        <w:t xml:space="preserve"> It is not a cash flow. The cash cost of the equipment is included when it is paid.</w:t>
      </w:r>
    </w:p>
    <w:p>
      <w:pPr>
        <w:pStyle w:val="ListBullet"/>
        <w:spacing w:after="40"/>
      </w:pPr>
      <w:r>
        <w:rPr>
          <w:b/>
        </w:rPr>
        <w:t>Loan interest: not relevant.</w:t>
      </w:r>
      <w:r>
        <w:rPr/>
        <w:t xml:space="preserve"> Financing costs are allowed for in the discount rate. Including interest as a cash flow would count the cost of finance twice.</w:t>
      </w:r>
    </w:p>
    <w:p>
      <w:pPr>
        <w:pStyle w:val="ListBullet"/>
        <w:spacing w:after="40"/>
      </w:pPr>
      <w:r>
        <w:rPr>
          <w:b/>
        </w:rPr>
        <w:t>Apportioned head office costs: not relevant.</w:t>
      </w:r>
      <w:r>
        <w:rPr/>
        <w:t xml:space="preserve"> Total head office costs do not change because of the project.</w:t>
      </w:r>
    </w:p>
    <w:p>
      <w:pPr>
        <w:pBdr>
          <w:bottom w:val="single" w:sz="8" w:space="1" w:color="000000"/>
        </w:pBdr>
        <w:spacing w:after="160"/>
      </w:pPr>
    </w:p>
    <w:p>
      <w:pPr>
        <w:pStyle w:val="Heading3"/>
        <w:pageBreakBefore w:val="0"/>
      </w:pPr>
      <w:r>
        <w:rPr>
          <w:b/>
          <w:color w:val="000000"/>
        </w:rPr>
        <w:t>Question 11: 10.1%</w:t>
      </w:r>
    </w:p>
    <w:p>
      <w:pPr>
        <w:keepNext w:val="0"/>
        <w:spacing w:after="100" w:before="0"/>
      </w:pPr>
      <w:r>
        <w:rPr/>
        <w:t>For an annuity, the IRR is the rate at which the annuity factor equals investment ÷ annual inflow:</w:t>
      </w:r>
    </w:p>
    <w:p>
      <w:pPr>
        <w:pStyle w:val="ListBullet"/>
        <w:spacing w:after="40"/>
      </w:pPr>
      <w:r>
        <w:rPr/>
        <w:t>Target factor = 100,000 / 23,000 = 4.348</w:t>
      </w:r>
    </w:p>
    <w:p>
      <w:pPr>
        <w:pStyle w:val="ListBullet"/>
        <w:spacing w:after="40"/>
      </w:pPr>
      <w:r>
        <w:rPr/>
        <w:t>Six-year annuity factors: 10% = 4.355, 11% = 4.231</w:t>
      </w:r>
    </w:p>
    <w:p>
      <w:pPr>
        <w:pStyle w:val="ListBullet"/>
        <w:spacing w:after="40"/>
      </w:pPr>
      <w:r>
        <w:rPr/>
        <w:t xml:space="preserve">IRR = 10% + [(4.355 − 4.348) / (4.355 − 4.231)] × 1% = 10% + 0.06% = </w:t>
      </w:r>
      <w:r>
        <w:rPr>
          <w:b/>
        </w:rPr>
        <w:t>10.1%</w:t>
      </w:r>
    </w:p>
    <w:p>
      <w:pPr>
        <w:keepNext w:val="0"/>
        <w:spacing w:after="100" w:before="0"/>
      </w:pPr>
      <w:r>
        <w:rPr/>
        <w:t>Traps:</w:t>
      </w:r>
    </w:p>
    <w:p>
      <w:pPr>
        <w:pStyle w:val="ListBullet"/>
        <w:spacing w:after="40"/>
      </w:pPr>
      <w:r>
        <w:rPr/>
        <w:t>Reading the factor from the five-year row: the target factor 4.348 is close to the 5-year factor at 5% (4.329), which gives about 5%.</w:t>
      </w:r>
    </w:p>
    <w:p>
      <w:pPr>
        <w:pStyle w:val="ListBullet"/>
        <w:spacing w:after="40"/>
      </w:pPr>
      <w:r>
        <w:rPr/>
        <w:t>Taking the reciprocal of the payback period (23,000 / 100,000 = 23.0%). That is only an approximation for very long-lived projects.</w:t>
      </w:r>
    </w:p>
    <w:p>
      <w:pPr>
        <w:pStyle w:val="ListBullet"/>
        <w:spacing w:after="40"/>
      </w:pPr>
      <w:r>
        <w:rPr/>
        <w:t>Stopping at 10% without interpolating, when the question asks for one decimal place.</w:t>
      </w:r>
    </w:p>
    <w:p>
      <w:pPr>
        <w:pBdr>
          <w:bottom w:val="single" w:sz="8" w:space="1" w:color="000000"/>
        </w:pBdr>
        <w:spacing w:after="160"/>
      </w:pPr>
    </w:p>
    <w:p>
      <w:pPr>
        <w:pStyle w:val="Heading3"/>
        <w:pageBreakBefore w:val="0"/>
      </w:pPr>
      <w:r>
        <w:rPr>
          <w:b/>
          <w:color w:val="000000"/>
        </w:rPr>
        <w:t>Question 12: B ($8,750)</w:t>
      </w:r>
    </w:p>
    <w:p>
      <w:pPr>
        <w:pStyle w:val="ListBullet"/>
        <w:spacing w:after="40"/>
      </w:pPr>
      <w:r>
        <w:rPr/>
        <w:t>Average inventory = buffer inventory + order quantity / 2 = 1,500 + 4,000 / 2 = 3,500 units</w:t>
      </w:r>
    </w:p>
    <w:p>
      <w:pPr>
        <w:pStyle w:val="ListBullet"/>
        <w:spacing w:after="40"/>
      </w:pPr>
      <w:r>
        <w:rPr/>
        <w:t xml:space="preserve">Holding cost = 3,500 × $2.50 = </w:t>
      </w:r>
      <w:r>
        <w:rPr>
          <w:b/>
        </w:rPr>
        <w:t>$8,750</w:t>
      </w:r>
    </w:p>
    <w:p>
      <w:pPr>
        <w:keepNext w:val="0"/>
        <w:spacing w:after="100" w:before="0"/>
      </w:pPr>
      <w:r>
        <w:rPr/>
        <w:t>Distractors:</w:t>
      </w:r>
    </w:p>
    <w:p>
      <w:pPr>
        <w:pStyle w:val="ListBullet"/>
        <w:spacing w:after="40"/>
      </w:pPr>
      <w:r>
        <w:rPr>
          <w:b/>
        </w:rPr>
        <w:t>A ($5,000):</w:t>
      </w:r>
      <w:r>
        <w:rPr/>
        <w:t xml:space="preserve"> ignores the buffer inventory (2,000 × 2.50). Buffer inventory is held all the time, so it adds to average inventory in full.</w:t>
      </w:r>
    </w:p>
    <w:p>
      <w:pPr>
        <w:pStyle w:val="ListBullet"/>
        <w:spacing w:after="40"/>
      </w:pPr>
      <w:r>
        <w:rPr>
          <w:b/>
        </w:rPr>
        <w:t>C ($11,250):</w:t>
      </w:r>
      <w:r>
        <w:rPr/>
        <w:t xml:space="preserve"> values the reorder level instead of average inventory. The reorder level is 1,500 + (1,000 × 3) = 4,500 units.</w:t>
      </w:r>
    </w:p>
    <w:p>
      <w:pPr>
        <w:pStyle w:val="ListBullet"/>
        <w:spacing w:after="40"/>
      </w:pPr>
      <w:r>
        <w:rPr>
          <w:b/>
        </w:rPr>
        <w:t>D ($13,750):</w:t>
      </w:r>
      <w:r>
        <w:rPr/>
        <w:t xml:space="preserve"> uses buffer inventory plus the </w:t>
      </w:r>
      <w:r>
        <w:rPr>
          <w:b/>
        </w:rPr>
        <w:t>whole</w:t>
      </w:r>
      <w:r>
        <w:rPr/>
        <w:t xml:space="preserve"> order quantity (5,500 units), which is the maximum inventory, not the average.</w:t>
      </w:r>
    </w:p>
    <w:p>
      <w:pPr>
        <w:pBdr>
          <w:bottom w:val="single" w:sz="8" w:space="1" w:color="000000"/>
        </w:pBdr>
        <w:spacing w:after="160"/>
      </w:pPr>
    </w:p>
    <w:p>
      <w:pPr>
        <w:pStyle w:val="Heading3"/>
        <w:pageBreakBefore w:val="0"/>
      </w:pPr>
      <w:r>
        <w:rPr>
          <w:b/>
          <w:color w:val="000000"/>
        </w:rPr>
        <w:t>Question 13: A (1 and 3 only)</w:t>
      </w:r>
    </w:p>
    <w:p>
      <w:pPr>
        <w:pStyle w:val="ListBullet"/>
        <w:spacing w:after="40"/>
      </w:pPr>
      <w:r>
        <w:rPr>
          <w:b/>
        </w:rPr>
        <w:t>(1) True.</w:t>
      </w:r>
      <w:r>
        <w:rPr/>
        <w:t xml:space="preserve"> JIT depends on suppliers who deliver small quantities on time, which needs close long-term relationships.</w:t>
      </w:r>
    </w:p>
    <w:p>
      <w:pPr>
        <w:pStyle w:val="ListBullet"/>
        <w:spacing w:after="40"/>
      </w:pPr>
      <w:r>
        <w:rPr>
          <w:b/>
        </w:rPr>
        <w:t>(2) False.</w:t>
      </w:r>
      <w:r>
        <w:rPr/>
        <w:t xml:space="preserve"> JIT aims to </w:t>
      </w:r>
      <w:r>
        <w:rPr>
          <w:b/>
        </w:rPr>
        <w:t>eliminate</w:t>
      </w:r>
      <w:r>
        <w:rPr/>
        <w:t xml:space="preserve"> buffer inventory, not increase it.</w:t>
      </w:r>
    </w:p>
    <w:p>
      <w:pPr>
        <w:pStyle w:val="ListBullet"/>
        <w:spacing w:after="40"/>
      </w:pPr>
      <w:r>
        <w:rPr>
          <w:b/>
        </w:rPr>
        <w:t>(3) True.</w:t>
      </w:r>
      <w:r>
        <w:rPr/>
        <w:t xml:space="preserve"> Lower inventory cuts holding costs, but there is no buffer to protect production if a delivery fails.</w:t>
      </w:r>
    </w:p>
    <w:p>
      <w:pPr>
        <w:pStyle w:val="ListBullet"/>
        <w:spacing w:after="40"/>
      </w:pPr>
      <w:r>
        <w:rPr>
          <w:b/>
        </w:rPr>
        <w:t>(4) False.</w:t>
      </w:r>
      <w:r>
        <w:rPr/>
        <w:t xml:space="preserve"> JIT means frequent small deliveries, so large orders that earn bulk discounts are usually given up.</w:t>
      </w:r>
    </w:p>
    <w:p>
      <w:pPr>
        <w:pBdr>
          <w:bottom w:val="single" w:sz="8" w:space="1" w:color="000000"/>
        </w:pBdr>
        <w:spacing w:after="160"/>
      </w:pPr>
    </w:p>
    <w:p>
      <w:pPr>
        <w:pStyle w:val="Heading3"/>
        <w:pageBreakBefore w:val="0"/>
      </w:pPr>
      <w:r>
        <w:rPr>
          <w:b/>
          <w:color w:val="000000"/>
        </w:rPr>
        <w:t>Question 14: B ($2.3 million)</w:t>
      </w:r>
    </w:p>
    <w:p>
      <w:pPr>
        <w:keepNext w:val="0"/>
        <w:spacing w:after="100" w:before="0"/>
      </w:pPr>
      <w:r>
        <w:rPr/>
        <w:t>Each period must be applied to the right base:</w:t>
      </w:r>
    </w:p>
    <w:tbl>
      <w:tblPr>
        <w:tblStyle w:val="TableGrid"/>
        <w:tblW w:type="auto" w:w="0"/>
        <w:jc w:val="center"/>
        <w:tblLayout w:type="fixed"/>
        <w:tblLook w:firstColumn="1" w:firstRow="1" w:lastColumn="0" w:lastRow="0" w:noHBand="0" w:noVBand="1" w:val="04A0"/>
      </w:tblPr>
      <w:tblGrid>
        <w:gridCol w:w="4296"/>
        <w:gridCol w:w="3683"/>
        <w:gridCol w:w="1432"/>
      </w:tblGrid>
      <w:tr>
        <w:trPr>
          <w:cantSplit/>
          <w:tblHeader/>
        </w:trPr>
        <w:tc>
          <w:tcPr>
            <w:tcW w:type="dxa" w:w="4296"/>
          </w:tcPr>
          <w:p>
            <w:pPr>
              <w:spacing w:after="0"/>
            </w:pPr>
            <w:r>
              <w:rPr>
                <w:b/>
                <w:sz w:val="19"/>
              </w:rPr>
              <w:t>Item</w:t>
            </w:r>
          </w:p>
        </w:tc>
        <w:tc>
          <w:tcPr>
            <w:tcW w:type="dxa" w:w="3683"/>
          </w:tcPr>
          <w:p>
            <w:pPr>
              <w:spacing w:after="0"/>
              <w:jc w:val="center"/>
            </w:pPr>
            <w:r>
              <w:rPr>
                <w:b/>
                <w:sz w:val="19"/>
              </w:rPr>
              <w:t>Workings</w:t>
            </w:r>
          </w:p>
        </w:tc>
        <w:tc>
          <w:tcPr>
            <w:tcW w:type="dxa" w:w="1432"/>
          </w:tcPr>
          <w:p>
            <w:pPr>
              <w:spacing w:after="0"/>
              <w:jc w:val="center"/>
            </w:pPr>
            <w:r>
              <w:rPr>
                <w:b/>
                <w:sz w:val="19"/>
              </w:rPr>
              <w:t>$m</w:t>
            </w:r>
          </w:p>
        </w:tc>
      </w:tr>
      <w:tr>
        <w:trPr>
          <w:cantSplit/>
        </w:trPr>
        <w:tc>
          <w:tcPr>
            <w:tcW w:type="dxa" w:w="4296"/>
          </w:tcPr>
          <w:p>
            <w:pPr>
              <w:spacing w:after="0"/>
            </w:pPr>
            <w:r>
              <w:rPr>
                <w:sz w:val="19"/>
              </w:rPr>
              <w:t>Inventory</w:t>
            </w:r>
          </w:p>
        </w:tc>
        <w:tc>
          <w:tcPr>
            <w:tcW w:type="dxa" w:w="3683"/>
          </w:tcPr>
          <w:p>
            <w:pPr>
              <w:spacing w:after="0"/>
            </w:pPr>
            <w:r>
              <w:rPr>
                <w:sz w:val="19"/>
              </w:rPr>
              <w:t>10.95 × 40 / 365</w:t>
            </w:r>
          </w:p>
        </w:tc>
        <w:tc>
          <w:tcPr>
            <w:tcW w:type="dxa" w:w="1432"/>
          </w:tcPr>
          <w:p>
            <w:pPr>
              <w:spacing w:after="0"/>
              <w:jc w:val="center"/>
            </w:pPr>
            <w:r>
              <w:rPr>
                <w:sz w:val="19"/>
              </w:rPr>
              <w:t>1.2</w:t>
            </w:r>
          </w:p>
        </w:tc>
      </w:tr>
      <w:tr>
        <w:trPr>
          <w:cantSplit/>
        </w:trPr>
        <w:tc>
          <w:tcPr>
            <w:tcW w:type="dxa" w:w="4296"/>
          </w:tcPr>
          <w:p>
            <w:pPr>
              <w:spacing w:after="0"/>
            </w:pPr>
            <w:r>
              <w:rPr>
                <w:sz w:val="19"/>
              </w:rPr>
              <w:t>Trade receivables</w:t>
            </w:r>
          </w:p>
        </w:tc>
        <w:tc>
          <w:tcPr>
            <w:tcW w:type="dxa" w:w="3683"/>
          </w:tcPr>
          <w:p>
            <w:pPr>
              <w:spacing w:after="0"/>
            </w:pPr>
            <w:r>
              <w:rPr>
                <w:sz w:val="19"/>
              </w:rPr>
              <w:t>14.60 × 50 / 365</w:t>
            </w:r>
          </w:p>
        </w:tc>
        <w:tc>
          <w:tcPr>
            <w:tcW w:type="dxa" w:w="1432"/>
          </w:tcPr>
          <w:p>
            <w:pPr>
              <w:spacing w:after="0"/>
              <w:jc w:val="center"/>
            </w:pPr>
            <w:r>
              <w:rPr>
                <w:sz w:val="19"/>
              </w:rPr>
              <w:t>2.0</w:t>
            </w:r>
          </w:p>
        </w:tc>
      </w:tr>
      <w:tr>
        <w:trPr>
          <w:cantSplit/>
        </w:trPr>
        <w:tc>
          <w:tcPr>
            <w:tcW w:type="dxa" w:w="4296"/>
          </w:tcPr>
          <w:p>
            <w:pPr>
              <w:spacing w:after="0"/>
            </w:pPr>
            <w:r>
              <w:rPr>
                <w:sz w:val="19"/>
              </w:rPr>
              <w:t>Trade payables</w:t>
            </w:r>
          </w:p>
        </w:tc>
        <w:tc>
          <w:tcPr>
            <w:tcW w:type="dxa" w:w="3683"/>
          </w:tcPr>
          <w:p>
            <w:pPr>
              <w:spacing w:after="0"/>
            </w:pPr>
            <w:r>
              <w:rPr>
                <w:sz w:val="19"/>
              </w:rPr>
              <w:t>10.95 × 30 / 365</w:t>
            </w:r>
          </w:p>
        </w:tc>
        <w:tc>
          <w:tcPr>
            <w:tcW w:type="dxa" w:w="1432"/>
          </w:tcPr>
          <w:p>
            <w:pPr>
              <w:spacing w:after="0"/>
              <w:jc w:val="center"/>
            </w:pPr>
            <w:r>
              <w:rPr>
                <w:sz w:val="19"/>
              </w:rPr>
              <w:t>(0.9)</w:t>
            </w:r>
          </w:p>
        </w:tc>
      </w:tr>
      <w:tr>
        <w:trPr>
          <w:cantSplit/>
        </w:trPr>
        <w:tc>
          <w:tcPr>
            <w:tcW w:type="dxa" w:w="4296"/>
          </w:tcPr>
          <w:p>
            <w:pPr>
              <w:spacing w:after="0"/>
            </w:pPr>
            <w:r>
              <w:rPr>
                <w:b/>
                <w:sz w:val="19"/>
              </w:rPr>
              <w:t>Net working capital</w:t>
            </w:r>
          </w:p>
        </w:tc>
        <w:tc>
          <w:tcPr>
            <w:tcW w:type="dxa" w:w="3683"/>
          </w:tcPr>
          <w:p>
            <w:pPr>
              <w:spacing w:after="0"/>
            </w:pPr>
          </w:p>
        </w:tc>
        <w:tc>
          <w:tcPr>
            <w:tcW w:type="dxa" w:w="1432"/>
          </w:tcPr>
          <w:p>
            <w:pPr>
              <w:spacing w:after="0"/>
              <w:jc w:val="center"/>
            </w:pPr>
            <w:r>
              <w:rPr>
                <w:b/>
                <w:sz w:val="19"/>
              </w:rPr>
              <w:t>2.3</w:t>
            </w:r>
          </w:p>
        </w:tc>
      </w:tr>
    </w:tbl>
    <w:p>
      <w:pPr>
        <w:spacing w:after="120"/>
      </w:pPr>
    </w:p>
    <w:p>
      <w:pPr>
        <w:keepNext w:val="0"/>
        <w:spacing w:after="100" w:before="0"/>
      </w:pPr>
      <w:r>
        <w:rPr/>
        <w:t>Distractors:</w:t>
      </w:r>
    </w:p>
    <w:p>
      <w:pPr>
        <w:pStyle w:val="ListBullet"/>
        <w:spacing w:after="40"/>
      </w:pPr>
      <w:r>
        <w:rPr>
          <w:b/>
        </w:rPr>
        <w:t>A ($1.8m):</w:t>
      </w:r>
      <w:r>
        <w:rPr/>
        <w:t xml:space="preserve"> multiplies the cash operating cycle (40 + 50 − 30 = 60 days) by cost of sales. The cycle is a number of days; it cannot be applied to a single base because each component uses a different one.</w:t>
      </w:r>
    </w:p>
    <w:p>
      <w:pPr>
        <w:pStyle w:val="ListBullet"/>
        <w:spacing w:after="40"/>
      </w:pPr>
      <w:r>
        <w:rPr>
          <w:b/>
        </w:rPr>
        <w:t>C ($2.4m):</w:t>
      </w:r>
      <w:r>
        <w:rPr/>
        <w:t xml:space="preserve"> multiplies the 60-day cycle by revenue, with the same error.</w:t>
      </w:r>
    </w:p>
    <w:p>
      <w:pPr>
        <w:pStyle w:val="ListBullet"/>
        <w:spacing w:after="40"/>
      </w:pPr>
      <w:r>
        <w:rPr>
          <w:b/>
        </w:rPr>
        <w:t>D ($3.2m):</w:t>
      </w:r>
      <w:r>
        <w:rPr/>
        <w:t xml:space="preserve"> forgets to deduct trade payables.</w:t>
      </w:r>
    </w:p>
    <w:p>
      <w:pPr>
        <w:pBdr>
          <w:bottom w:val="single" w:sz="8" w:space="1" w:color="000000"/>
        </w:pBdr>
        <w:spacing w:after="160"/>
      </w:pPr>
    </w:p>
    <w:p>
      <w:pPr>
        <w:pStyle w:val="Heading3"/>
        <w:pageBreakBefore w:val="0"/>
      </w:pPr>
      <w:r>
        <w:rPr>
          <w:b/>
          <w:color w:val="000000"/>
        </w:rPr>
        <w:t>Question 15: "A rapid increase in sales revenue" and "A lengthening of trade payables days"</w:t>
      </w:r>
    </w:p>
    <w:p>
      <w:pPr>
        <w:keepNext w:val="0"/>
        <w:spacing w:after="100" w:before="0"/>
      </w:pPr>
      <w:r>
        <w:rPr/>
        <w:t>Overtrading means trading beyond the working capital base. Sales grow faster than the long-term finance supporting them, so the company relies on suppliers and the overdraft.</w:t>
      </w:r>
    </w:p>
    <w:p>
      <w:pPr>
        <w:keepNext w:val="0"/>
        <w:spacing w:after="100" w:before="0"/>
      </w:pPr>
      <w:r>
        <w:rPr/>
        <w:t>Why the others are wrong:</w:t>
      </w:r>
    </w:p>
    <w:p>
      <w:pPr>
        <w:pStyle w:val="ListBullet"/>
        <w:spacing w:after="40"/>
      </w:pPr>
      <w:r>
        <w:rPr>
          <w:b/>
        </w:rPr>
        <w:t>Rising liquidity ratios:</w:t>
      </w:r>
      <w:r>
        <w:rPr/>
        <w:t xml:space="preserve"> the current and quick ratios usually </w:t>
      </w:r>
      <w:r>
        <w:rPr>
          <w:i/>
        </w:rPr>
        <w:t>fall</w:t>
      </w:r>
      <w:r>
        <w:rPr/>
        <w:t>.</w:t>
      </w:r>
    </w:p>
    <w:p>
      <w:pPr>
        <w:pStyle w:val="ListBullet"/>
        <w:spacing w:after="40"/>
      </w:pPr>
      <w:r>
        <w:rPr>
          <w:b/>
        </w:rPr>
        <w:t>Falling overdraft:</w:t>
      </w:r>
      <w:r>
        <w:rPr/>
        <w:t xml:space="preserve"> the overdraft usually </w:t>
      </w:r>
      <w:r>
        <w:rPr>
          <w:i/>
        </w:rPr>
        <w:t>rises</w:t>
      </w:r>
      <w:r>
        <w:rPr/>
        <w:t>.</w:t>
      </w:r>
    </w:p>
    <w:p>
      <w:pPr>
        <w:pStyle w:val="ListBullet"/>
        <w:spacing w:after="40"/>
      </w:pPr>
      <w:r>
        <w:rPr>
          <w:b/>
        </w:rPr>
        <w:t>More long-term finance:</w:t>
      </w:r>
      <w:r>
        <w:rPr/>
        <w:t xml:space="preserve"> the cure for overtrading, not a symptom.</w:t>
      </w:r>
    </w:p>
    <w:p>
      <w:pPr>
        <w:pBdr>
          <w:bottom w:val="single" w:sz="8" w:space="1" w:color="000000"/>
        </w:pBdr>
        <w:spacing w:after="160"/>
      </w:pPr>
    </w:p>
    <w:p>
      <w:pPr>
        <w:pStyle w:val="Heading3"/>
        <w:pageBreakBefore w:val="0"/>
      </w:pPr>
      <w:r>
        <w:rPr>
          <w:b/>
          <w:color w:val="000000"/>
        </w:rPr>
        <w:t>Question 16: B ($15,000)</w:t>
      </w:r>
    </w:p>
    <w:p>
      <w:pPr>
        <w:keepNext w:val="0"/>
        <w:spacing w:after="100" w:before="0"/>
      </w:pPr>
      <w:r>
        <w:rPr/>
        <w:t xml:space="preserve">The relevant cost of materials that are already held and not otherwise needed is their </w:t>
      </w:r>
      <w:r>
        <w:rPr>
          <w:b/>
        </w:rPr>
        <w:t>opportunity cost</w:t>
      </w:r>
      <w:r>
        <w:rPr/>
        <w:t>: the best alternative given up. The two alternatives are mutually exclusive, so the higher one applies:</w:t>
      </w:r>
    </w:p>
    <w:p>
      <w:pPr>
        <w:pStyle w:val="ListBullet"/>
        <w:spacing w:after="40"/>
      </w:pPr>
      <w:r>
        <w:rPr/>
        <w:t>Sell now: $12,000</w:t>
      </w:r>
    </w:p>
    <w:p>
      <w:pPr>
        <w:pStyle w:val="ListBullet"/>
        <w:spacing w:after="40"/>
      </w:pPr>
      <w:r>
        <w:rPr/>
        <w:t>Use as a substitute: saves $15,000</w:t>
      </w:r>
    </w:p>
    <w:p>
      <w:pPr>
        <w:pStyle w:val="ListBullet"/>
        <w:spacing w:after="40"/>
      </w:pPr>
      <w:r>
        <w:rPr/>
        <w:t xml:space="preserve">Relevant cost = </w:t>
      </w:r>
      <w:r>
        <w:rPr>
          <w:b/>
        </w:rPr>
        <w:t>$15,000</w:t>
      </w:r>
    </w:p>
    <w:p>
      <w:pPr>
        <w:keepNext w:val="0"/>
        <w:spacing w:after="100" w:before="0"/>
      </w:pPr>
      <w:r>
        <w:rPr/>
        <w:t>Distractors:</w:t>
      </w:r>
    </w:p>
    <w:p>
      <w:pPr>
        <w:pStyle w:val="ListBullet"/>
        <w:spacing w:after="40"/>
      </w:pPr>
      <w:r>
        <w:rPr>
          <w:b/>
        </w:rPr>
        <w:t>A ($12,000):</w:t>
      </w:r>
      <w:r>
        <w:rPr/>
        <w:t xml:space="preserve"> uses the resale value, which is not the best alternative.</w:t>
      </w:r>
    </w:p>
    <w:p>
      <w:pPr>
        <w:pStyle w:val="ListBullet"/>
        <w:spacing w:after="40"/>
      </w:pPr>
      <w:r>
        <w:rPr>
          <w:b/>
        </w:rPr>
        <w:t>C ($27,000):</w:t>
      </w:r>
      <w:r>
        <w:rPr/>
        <w:t xml:space="preserve"> adds both alternatives, but the materials can only be used once.</w:t>
      </w:r>
    </w:p>
    <w:p>
      <w:pPr>
        <w:pStyle w:val="ListBullet"/>
        <w:spacing w:after="40"/>
      </w:pPr>
      <w:r>
        <w:rPr>
          <w:b/>
        </w:rPr>
        <w:t>D ($30,000):</w:t>
      </w:r>
      <w:r>
        <w:rPr/>
        <w:t xml:space="preserve"> uses the original cost, which is a sunk cost.</w:t>
      </w:r>
    </w:p>
    <w:p>
      <w:pPr>
        <w:pBdr>
          <w:bottom w:val="single" w:sz="8" w:space="1" w:color="000000"/>
        </w:pBdr>
        <w:spacing w:after="160"/>
      </w:pPr>
    </w:p>
    <w:p>
      <w:pPr>
        <w:pStyle w:val="Heading3"/>
        <w:pageBreakBefore w:val="0"/>
      </w:pPr>
      <w:r>
        <w:rPr>
          <w:b/>
          <w:color w:val="000000"/>
        </w:rPr>
        <w:t>Question 17: 2nd and 4th</w:t>
      </w:r>
    </w:p>
    <w:p>
      <w:pPr>
        <w:pStyle w:val="ListBullet"/>
        <w:spacing w:after="40"/>
      </w:pPr>
      <w:r>
        <w:rPr>
          <w:b/>
        </w:rPr>
        <w:t>Feasibility study: exclude.</w:t>
      </w:r>
      <w:r>
        <w:rPr/>
        <w:t xml:space="preserve"> It has already been paid, so it is a sunk cost.</w:t>
      </w:r>
    </w:p>
    <w:p>
      <w:pPr>
        <w:pStyle w:val="ListBullet"/>
        <w:spacing w:after="40"/>
      </w:pPr>
      <w:r>
        <w:rPr>
          <w:b/>
        </w:rPr>
        <w:t>Apportioned head office overheads: exclude.</w:t>
      </w:r>
      <w:r>
        <w:rPr/>
        <w:t xml:space="preserve"> Total overheads do not change, so they are not incremental.</w:t>
      </w:r>
    </w:p>
    <w:p>
      <w:pPr>
        <w:pStyle w:val="ListBullet"/>
        <w:spacing w:after="40"/>
      </w:pPr>
      <w:r>
        <w:rPr>
          <w:b/>
        </w:rPr>
        <w:t>Rent forgone: include.</w:t>
      </w:r>
      <w:r>
        <w:rPr/>
        <w:t xml:space="preserve"> It is an opportunity cost.</w:t>
      </w:r>
    </w:p>
    <w:p>
      <w:pPr>
        <w:pStyle w:val="ListBullet"/>
        <w:spacing w:after="40"/>
      </w:pPr>
      <w:r>
        <w:rPr>
          <w:b/>
        </w:rPr>
        <w:t>Working capital: include.</w:t>
      </w:r>
      <w:r>
        <w:rPr/>
        <w:t xml:space="preserve"> It is a cash outflow at the start, recovered at the end.</w:t>
      </w:r>
    </w:p>
    <w:p>
      <w:pPr>
        <w:pBdr>
          <w:bottom w:val="single" w:sz="8" w:space="1" w:color="000000"/>
        </w:pBdr>
        <w:spacing w:after="160"/>
      </w:pPr>
    </w:p>
    <w:p>
      <w:pPr>
        <w:pStyle w:val="Heading3"/>
        <w:pageBreakBefore w:val="0"/>
      </w:pPr>
      <w:r>
        <w:rPr>
          <w:b/>
          <w:color w:val="000000"/>
        </w:rPr>
        <w:t>Question 18: $39,150</w:t>
      </w:r>
    </w:p>
    <w:tbl>
      <w:tblPr>
        <w:tblStyle w:val="TableGrid"/>
        <w:tblW w:type="auto" w:w="0"/>
        <w:jc w:val="center"/>
        <w:tblLayout w:type="fixed"/>
        <w:tblLook w:firstColumn="1" w:firstRow="1" w:lastColumn="0" w:lastRow="0" w:noHBand="0" w:noVBand="1" w:val="04A0"/>
      </w:tblPr>
      <w:tblGrid>
        <w:gridCol w:w="3486"/>
        <w:gridCol w:w="1278"/>
        <w:gridCol w:w="1162"/>
        <w:gridCol w:w="1162"/>
        <w:gridCol w:w="1162"/>
        <w:gridCol w:w="1162"/>
      </w:tblGrid>
      <w:tr>
        <w:trPr>
          <w:cantSplit/>
          <w:tblHeader/>
        </w:trPr>
        <w:tc>
          <w:tcPr>
            <w:tcW w:type="dxa" w:w="3486"/>
          </w:tcPr>
          <w:p>
            <w:pPr>
              <w:spacing w:after="0"/>
            </w:pPr>
            <w:r>
              <w:rPr>
                <w:b/>
                <w:sz w:val="19"/>
              </w:rPr>
              <w:t>Year</w:t>
            </w:r>
          </w:p>
        </w:tc>
        <w:tc>
          <w:tcPr>
            <w:tcW w:type="dxa" w:w="1278"/>
          </w:tcPr>
          <w:p>
            <w:pPr>
              <w:spacing w:after="0"/>
              <w:jc w:val="center"/>
            </w:pPr>
            <w:r>
              <w:rPr>
                <w:b/>
                <w:sz w:val="19"/>
              </w:rPr>
              <w:t>0</w:t>
            </w:r>
          </w:p>
        </w:tc>
        <w:tc>
          <w:tcPr>
            <w:tcW w:type="dxa" w:w="1162"/>
          </w:tcPr>
          <w:p>
            <w:pPr>
              <w:spacing w:after="0"/>
              <w:jc w:val="center"/>
            </w:pPr>
            <w:r>
              <w:rPr>
                <w:b/>
                <w:sz w:val="19"/>
              </w:rPr>
              <w:t>1</w:t>
            </w:r>
          </w:p>
        </w:tc>
        <w:tc>
          <w:tcPr>
            <w:tcW w:type="dxa" w:w="1162"/>
          </w:tcPr>
          <w:p>
            <w:pPr>
              <w:spacing w:after="0"/>
              <w:jc w:val="center"/>
            </w:pPr>
            <w:r>
              <w:rPr>
                <w:b/>
                <w:sz w:val="19"/>
              </w:rPr>
              <w:t>2</w:t>
            </w:r>
          </w:p>
        </w:tc>
        <w:tc>
          <w:tcPr>
            <w:tcW w:type="dxa" w:w="1162"/>
          </w:tcPr>
          <w:p>
            <w:pPr>
              <w:spacing w:after="0"/>
              <w:jc w:val="center"/>
            </w:pPr>
            <w:r>
              <w:rPr>
                <w:b/>
                <w:sz w:val="19"/>
              </w:rPr>
              <w:t>3</w:t>
            </w:r>
          </w:p>
        </w:tc>
        <w:tc>
          <w:tcPr>
            <w:tcW w:type="dxa" w:w="1162"/>
          </w:tcPr>
          <w:p>
            <w:pPr>
              <w:spacing w:after="0"/>
              <w:jc w:val="center"/>
            </w:pPr>
            <w:r>
              <w:rPr>
                <w:b/>
                <w:sz w:val="19"/>
              </w:rPr>
              <w:t>4</w:t>
            </w:r>
          </w:p>
        </w:tc>
      </w:tr>
      <w:tr>
        <w:trPr>
          <w:cantSplit/>
        </w:trPr>
        <w:tc>
          <w:tcPr>
            <w:tcW w:type="dxa" w:w="3486"/>
          </w:tcPr>
          <w:p>
            <w:pPr>
              <w:spacing w:after="0"/>
            </w:pPr>
            <w:r>
              <w:rPr>
                <w:sz w:val="19"/>
              </w:rPr>
              <w:t>Machine</w:t>
            </w:r>
          </w:p>
        </w:tc>
        <w:tc>
          <w:tcPr>
            <w:tcW w:type="dxa" w:w="1278"/>
          </w:tcPr>
          <w:p>
            <w:pPr>
              <w:spacing w:after="0"/>
              <w:jc w:val="center"/>
            </w:pPr>
            <w:r>
              <w:rPr>
                <w:sz w:val="19"/>
              </w:rPr>
              <w:t>(400,000)</w:t>
            </w:r>
          </w:p>
        </w:tc>
        <w:tc>
          <w:tcPr>
            <w:tcW w:type="dxa" w:w="1162"/>
          </w:tcPr>
          <w:p>
            <w:pPr>
              <w:spacing w:after="0"/>
            </w:pPr>
          </w:p>
        </w:tc>
        <w:tc>
          <w:tcPr>
            <w:tcW w:type="dxa" w:w="1162"/>
          </w:tcPr>
          <w:p>
            <w:pPr>
              <w:spacing w:after="0"/>
            </w:pPr>
          </w:p>
        </w:tc>
        <w:tc>
          <w:tcPr>
            <w:tcW w:type="dxa" w:w="1162"/>
          </w:tcPr>
          <w:p>
            <w:pPr>
              <w:spacing w:after="0"/>
            </w:pPr>
          </w:p>
        </w:tc>
        <w:tc>
          <w:tcPr>
            <w:tcW w:type="dxa" w:w="1162"/>
          </w:tcPr>
          <w:p>
            <w:pPr>
              <w:spacing w:after="0"/>
              <w:jc w:val="center"/>
            </w:pPr>
            <w:r>
              <w:rPr>
                <w:sz w:val="19"/>
              </w:rPr>
              <w:t>40,000</w:t>
            </w:r>
          </w:p>
        </w:tc>
      </w:tr>
      <w:tr>
        <w:trPr>
          <w:cantSplit/>
        </w:trPr>
        <w:tc>
          <w:tcPr>
            <w:tcW w:type="dxa" w:w="3486"/>
          </w:tcPr>
          <w:p>
            <w:pPr>
              <w:spacing w:after="0"/>
            </w:pPr>
            <w:r>
              <w:rPr>
                <w:sz w:val="19"/>
              </w:rPr>
              <w:t>Materials (opportunity cost)</w:t>
            </w:r>
          </w:p>
        </w:tc>
        <w:tc>
          <w:tcPr>
            <w:tcW w:type="dxa" w:w="1278"/>
          </w:tcPr>
          <w:p>
            <w:pPr>
              <w:spacing w:after="0"/>
              <w:jc w:val="center"/>
            </w:pPr>
            <w:r>
              <w:rPr>
                <w:sz w:val="19"/>
              </w:rPr>
              <w:t>(15,000)</w:t>
            </w:r>
          </w:p>
        </w:tc>
        <w:tc>
          <w:tcPr>
            <w:tcW w:type="dxa" w:w="1162"/>
          </w:tcPr>
          <w:p>
            <w:pPr>
              <w:spacing w:after="0"/>
            </w:pPr>
          </w:p>
        </w:tc>
        <w:tc>
          <w:tcPr>
            <w:tcW w:type="dxa" w:w="1162"/>
          </w:tcPr>
          <w:p>
            <w:pPr>
              <w:spacing w:after="0"/>
            </w:pPr>
          </w:p>
        </w:tc>
        <w:tc>
          <w:tcPr>
            <w:tcW w:type="dxa" w:w="1162"/>
          </w:tcPr>
          <w:p>
            <w:pPr>
              <w:spacing w:after="0"/>
            </w:pPr>
          </w:p>
        </w:tc>
        <w:tc>
          <w:tcPr>
            <w:tcW w:type="dxa" w:w="1162"/>
          </w:tcPr>
          <w:p>
            <w:pPr>
              <w:spacing w:after="0"/>
            </w:pPr>
          </w:p>
        </w:tc>
      </w:tr>
      <w:tr>
        <w:trPr>
          <w:cantSplit/>
        </w:trPr>
        <w:tc>
          <w:tcPr>
            <w:tcW w:type="dxa" w:w="3486"/>
          </w:tcPr>
          <w:p>
            <w:pPr>
              <w:spacing w:after="0"/>
            </w:pPr>
            <w:r>
              <w:rPr>
                <w:sz w:val="19"/>
              </w:rPr>
              <w:t>Working capital</w:t>
            </w:r>
          </w:p>
        </w:tc>
        <w:tc>
          <w:tcPr>
            <w:tcW w:type="dxa" w:w="1278"/>
          </w:tcPr>
          <w:p>
            <w:pPr>
              <w:spacing w:after="0"/>
              <w:jc w:val="center"/>
            </w:pPr>
            <w:r>
              <w:rPr>
                <w:sz w:val="19"/>
              </w:rPr>
              <w:t>(50,000)</w:t>
            </w:r>
          </w:p>
        </w:tc>
        <w:tc>
          <w:tcPr>
            <w:tcW w:type="dxa" w:w="1162"/>
          </w:tcPr>
          <w:p>
            <w:pPr>
              <w:spacing w:after="0"/>
            </w:pPr>
          </w:p>
        </w:tc>
        <w:tc>
          <w:tcPr>
            <w:tcW w:type="dxa" w:w="1162"/>
          </w:tcPr>
          <w:p>
            <w:pPr>
              <w:spacing w:after="0"/>
            </w:pPr>
          </w:p>
        </w:tc>
        <w:tc>
          <w:tcPr>
            <w:tcW w:type="dxa" w:w="1162"/>
          </w:tcPr>
          <w:p>
            <w:pPr>
              <w:spacing w:after="0"/>
            </w:pPr>
          </w:p>
        </w:tc>
        <w:tc>
          <w:tcPr>
            <w:tcW w:type="dxa" w:w="1162"/>
          </w:tcPr>
          <w:p>
            <w:pPr>
              <w:spacing w:after="0"/>
              <w:jc w:val="center"/>
            </w:pPr>
            <w:r>
              <w:rPr>
                <w:sz w:val="19"/>
              </w:rPr>
              <w:t>50,000</w:t>
            </w:r>
          </w:p>
        </w:tc>
      </w:tr>
      <w:tr>
        <w:trPr>
          <w:cantSplit/>
        </w:trPr>
        <w:tc>
          <w:tcPr>
            <w:tcW w:type="dxa" w:w="3486"/>
          </w:tcPr>
          <w:p>
            <w:pPr>
              <w:spacing w:after="0"/>
            </w:pPr>
            <w:r>
              <w:rPr>
                <w:sz w:val="19"/>
              </w:rPr>
              <w:t>Net operating inflows</w:t>
            </w:r>
          </w:p>
        </w:tc>
        <w:tc>
          <w:tcPr>
            <w:tcW w:type="dxa" w:w="1278"/>
          </w:tcPr>
          <w:p>
            <w:pPr>
              <w:spacing w:after="0"/>
            </w:pPr>
          </w:p>
        </w:tc>
        <w:tc>
          <w:tcPr>
            <w:tcW w:type="dxa" w:w="1162"/>
          </w:tcPr>
          <w:p>
            <w:pPr>
              <w:spacing w:after="0"/>
              <w:jc w:val="center"/>
            </w:pPr>
            <w:r>
              <w:rPr>
                <w:sz w:val="19"/>
              </w:rPr>
              <w:t>140,000</w:t>
            </w:r>
          </w:p>
        </w:tc>
        <w:tc>
          <w:tcPr>
            <w:tcW w:type="dxa" w:w="1162"/>
          </w:tcPr>
          <w:p>
            <w:pPr>
              <w:spacing w:after="0"/>
              <w:jc w:val="center"/>
            </w:pPr>
            <w:r>
              <w:rPr>
                <w:sz w:val="19"/>
              </w:rPr>
              <w:t>180,000</w:t>
            </w:r>
          </w:p>
        </w:tc>
        <w:tc>
          <w:tcPr>
            <w:tcW w:type="dxa" w:w="1162"/>
          </w:tcPr>
          <w:p>
            <w:pPr>
              <w:spacing w:after="0"/>
              <w:jc w:val="center"/>
            </w:pPr>
            <w:r>
              <w:rPr>
                <w:sz w:val="19"/>
              </w:rPr>
              <w:t>170,000</w:t>
            </w:r>
          </w:p>
        </w:tc>
        <w:tc>
          <w:tcPr>
            <w:tcW w:type="dxa" w:w="1162"/>
          </w:tcPr>
          <w:p>
            <w:pPr>
              <w:spacing w:after="0"/>
              <w:jc w:val="center"/>
            </w:pPr>
            <w:r>
              <w:rPr>
                <w:sz w:val="19"/>
              </w:rPr>
              <w:t>150,000</w:t>
            </w:r>
          </w:p>
        </w:tc>
      </w:tr>
      <w:tr>
        <w:trPr>
          <w:cantSplit/>
        </w:trPr>
        <w:tc>
          <w:tcPr>
            <w:tcW w:type="dxa" w:w="3486"/>
          </w:tcPr>
          <w:p>
            <w:pPr>
              <w:spacing w:after="0"/>
            </w:pPr>
            <w:r>
              <w:rPr>
                <w:sz w:val="19"/>
              </w:rPr>
              <w:t>Rent forgone</w:t>
            </w:r>
          </w:p>
        </w:tc>
        <w:tc>
          <w:tcPr>
            <w:tcW w:type="dxa" w:w="1278"/>
          </w:tcPr>
          <w:p>
            <w:pPr>
              <w:spacing w:after="0"/>
            </w:pPr>
          </w:p>
        </w:tc>
        <w:tc>
          <w:tcPr>
            <w:tcW w:type="dxa" w:w="1162"/>
          </w:tcPr>
          <w:p>
            <w:pPr>
              <w:spacing w:after="0"/>
              <w:jc w:val="center"/>
            </w:pPr>
            <w:r>
              <w:rPr>
                <w:sz w:val="19"/>
              </w:rPr>
              <w:t>(20,000)</w:t>
            </w:r>
          </w:p>
        </w:tc>
        <w:tc>
          <w:tcPr>
            <w:tcW w:type="dxa" w:w="1162"/>
          </w:tcPr>
          <w:p>
            <w:pPr>
              <w:spacing w:after="0"/>
              <w:jc w:val="center"/>
            </w:pPr>
            <w:r>
              <w:rPr>
                <w:sz w:val="19"/>
              </w:rPr>
              <w:t>(20,000)</w:t>
            </w:r>
          </w:p>
        </w:tc>
        <w:tc>
          <w:tcPr>
            <w:tcW w:type="dxa" w:w="1162"/>
          </w:tcPr>
          <w:p>
            <w:pPr>
              <w:spacing w:after="0"/>
              <w:jc w:val="center"/>
            </w:pPr>
            <w:r>
              <w:rPr>
                <w:sz w:val="19"/>
              </w:rPr>
              <w:t>(20,000)</w:t>
            </w:r>
          </w:p>
        </w:tc>
        <w:tc>
          <w:tcPr>
            <w:tcW w:type="dxa" w:w="1162"/>
          </w:tcPr>
          <w:p>
            <w:pPr>
              <w:spacing w:after="0"/>
              <w:jc w:val="center"/>
            </w:pPr>
            <w:r>
              <w:rPr>
                <w:sz w:val="19"/>
              </w:rPr>
              <w:t>(20,000)</w:t>
            </w:r>
          </w:p>
        </w:tc>
      </w:tr>
      <w:tr>
        <w:trPr>
          <w:cantSplit/>
        </w:trPr>
        <w:tc>
          <w:tcPr>
            <w:tcW w:type="dxa" w:w="3486"/>
          </w:tcPr>
          <w:p>
            <w:pPr>
              <w:spacing w:after="0"/>
            </w:pPr>
            <w:r>
              <w:rPr>
                <w:b/>
                <w:sz w:val="19"/>
              </w:rPr>
              <w:t>Net cash flow</w:t>
            </w:r>
          </w:p>
        </w:tc>
        <w:tc>
          <w:tcPr>
            <w:tcW w:type="dxa" w:w="1278"/>
          </w:tcPr>
          <w:p>
            <w:pPr>
              <w:spacing w:after="0"/>
              <w:jc w:val="center"/>
            </w:pPr>
            <w:r>
              <w:rPr>
                <w:b/>
                <w:sz w:val="19"/>
              </w:rPr>
              <w:t>(465,000)</w:t>
            </w:r>
          </w:p>
        </w:tc>
        <w:tc>
          <w:tcPr>
            <w:tcW w:type="dxa" w:w="1162"/>
          </w:tcPr>
          <w:p>
            <w:pPr>
              <w:spacing w:after="0"/>
              <w:jc w:val="center"/>
            </w:pPr>
            <w:r>
              <w:rPr>
                <w:b/>
                <w:sz w:val="19"/>
              </w:rPr>
              <w:t>120,000</w:t>
            </w:r>
          </w:p>
        </w:tc>
        <w:tc>
          <w:tcPr>
            <w:tcW w:type="dxa" w:w="1162"/>
          </w:tcPr>
          <w:p>
            <w:pPr>
              <w:spacing w:after="0"/>
              <w:jc w:val="center"/>
            </w:pPr>
            <w:r>
              <w:rPr>
                <w:b/>
                <w:sz w:val="19"/>
              </w:rPr>
              <w:t>160,000</w:t>
            </w:r>
          </w:p>
        </w:tc>
        <w:tc>
          <w:tcPr>
            <w:tcW w:type="dxa" w:w="1162"/>
          </w:tcPr>
          <w:p>
            <w:pPr>
              <w:spacing w:after="0"/>
              <w:jc w:val="center"/>
            </w:pPr>
            <w:r>
              <w:rPr>
                <w:b/>
                <w:sz w:val="19"/>
              </w:rPr>
              <w:t>150,000</w:t>
            </w:r>
          </w:p>
        </w:tc>
        <w:tc>
          <w:tcPr>
            <w:tcW w:type="dxa" w:w="1162"/>
          </w:tcPr>
          <w:p>
            <w:pPr>
              <w:spacing w:after="0"/>
              <w:jc w:val="center"/>
            </w:pPr>
            <w:r>
              <w:rPr>
                <w:b/>
                <w:sz w:val="19"/>
              </w:rPr>
              <w:t>220,000</w:t>
            </w:r>
          </w:p>
        </w:tc>
      </w:tr>
      <w:tr>
        <w:trPr>
          <w:cantSplit/>
        </w:trPr>
        <w:tc>
          <w:tcPr>
            <w:tcW w:type="dxa" w:w="3486"/>
          </w:tcPr>
          <w:p>
            <w:pPr>
              <w:spacing w:after="0"/>
            </w:pPr>
            <w:r>
              <w:rPr>
                <w:sz w:val="19"/>
              </w:rPr>
              <w:t>Discount factor at 10%</w:t>
            </w:r>
          </w:p>
        </w:tc>
        <w:tc>
          <w:tcPr>
            <w:tcW w:type="dxa" w:w="1278"/>
          </w:tcPr>
          <w:p>
            <w:pPr>
              <w:spacing w:after="0"/>
              <w:jc w:val="center"/>
            </w:pPr>
            <w:r>
              <w:rPr>
                <w:sz w:val="19"/>
              </w:rPr>
              <w:t>1.000</w:t>
            </w:r>
          </w:p>
        </w:tc>
        <w:tc>
          <w:tcPr>
            <w:tcW w:type="dxa" w:w="1162"/>
          </w:tcPr>
          <w:p>
            <w:pPr>
              <w:spacing w:after="0"/>
              <w:jc w:val="center"/>
            </w:pPr>
            <w:r>
              <w:rPr>
                <w:sz w:val="19"/>
              </w:rPr>
              <w:t>0.909</w:t>
            </w:r>
          </w:p>
        </w:tc>
        <w:tc>
          <w:tcPr>
            <w:tcW w:type="dxa" w:w="1162"/>
          </w:tcPr>
          <w:p>
            <w:pPr>
              <w:spacing w:after="0"/>
              <w:jc w:val="center"/>
            </w:pPr>
            <w:r>
              <w:rPr>
                <w:sz w:val="19"/>
              </w:rPr>
              <w:t>0.826</w:t>
            </w:r>
          </w:p>
        </w:tc>
        <w:tc>
          <w:tcPr>
            <w:tcW w:type="dxa" w:w="1162"/>
          </w:tcPr>
          <w:p>
            <w:pPr>
              <w:spacing w:after="0"/>
              <w:jc w:val="center"/>
            </w:pPr>
            <w:r>
              <w:rPr>
                <w:sz w:val="19"/>
              </w:rPr>
              <w:t>0.751</w:t>
            </w:r>
          </w:p>
        </w:tc>
        <w:tc>
          <w:tcPr>
            <w:tcW w:type="dxa" w:w="1162"/>
          </w:tcPr>
          <w:p>
            <w:pPr>
              <w:spacing w:after="0"/>
              <w:jc w:val="center"/>
            </w:pPr>
            <w:r>
              <w:rPr>
                <w:sz w:val="19"/>
              </w:rPr>
              <w:t>0.683</w:t>
            </w:r>
          </w:p>
        </w:tc>
      </w:tr>
      <w:tr>
        <w:trPr>
          <w:cantSplit/>
        </w:trPr>
        <w:tc>
          <w:tcPr>
            <w:tcW w:type="dxa" w:w="3486"/>
          </w:tcPr>
          <w:p>
            <w:pPr>
              <w:spacing w:after="0"/>
            </w:pPr>
            <w:r>
              <w:rPr>
                <w:sz w:val="19"/>
              </w:rPr>
              <w:t>Present value</w:t>
            </w:r>
          </w:p>
        </w:tc>
        <w:tc>
          <w:tcPr>
            <w:tcW w:type="dxa" w:w="1278"/>
          </w:tcPr>
          <w:p>
            <w:pPr>
              <w:spacing w:after="0"/>
              <w:jc w:val="center"/>
            </w:pPr>
            <w:r>
              <w:rPr>
                <w:sz w:val="19"/>
              </w:rPr>
              <w:t>(465,000)</w:t>
            </w:r>
          </w:p>
        </w:tc>
        <w:tc>
          <w:tcPr>
            <w:tcW w:type="dxa" w:w="1162"/>
          </w:tcPr>
          <w:p>
            <w:pPr>
              <w:spacing w:after="0"/>
              <w:jc w:val="center"/>
            </w:pPr>
            <w:r>
              <w:rPr>
                <w:sz w:val="19"/>
              </w:rPr>
              <w:t>109,080</w:t>
            </w:r>
          </w:p>
        </w:tc>
        <w:tc>
          <w:tcPr>
            <w:tcW w:type="dxa" w:w="1162"/>
          </w:tcPr>
          <w:p>
            <w:pPr>
              <w:spacing w:after="0"/>
              <w:jc w:val="center"/>
            </w:pPr>
            <w:r>
              <w:rPr>
                <w:sz w:val="19"/>
              </w:rPr>
              <w:t>132,160</w:t>
            </w:r>
          </w:p>
        </w:tc>
        <w:tc>
          <w:tcPr>
            <w:tcW w:type="dxa" w:w="1162"/>
          </w:tcPr>
          <w:p>
            <w:pPr>
              <w:spacing w:after="0"/>
              <w:jc w:val="center"/>
            </w:pPr>
            <w:r>
              <w:rPr>
                <w:sz w:val="19"/>
              </w:rPr>
              <w:t>112,650</w:t>
            </w:r>
          </w:p>
        </w:tc>
        <w:tc>
          <w:tcPr>
            <w:tcW w:type="dxa" w:w="1162"/>
          </w:tcPr>
          <w:p>
            <w:pPr>
              <w:spacing w:after="0"/>
              <w:jc w:val="center"/>
            </w:pPr>
            <w:r>
              <w:rPr>
                <w:sz w:val="19"/>
              </w:rPr>
              <w:t>150,260</w:t>
            </w:r>
          </w:p>
        </w:tc>
      </w:tr>
    </w:tbl>
    <w:p>
      <w:pPr>
        <w:spacing w:after="120"/>
      </w:pPr>
    </w:p>
    <w:p>
      <w:pPr>
        <w:keepNext w:val="0"/>
        <w:spacing w:after="100" w:before="0"/>
      </w:pPr>
      <w:r>
        <w:rPr/>
        <w:t xml:space="preserve">NPV = </w:t>
      </w:r>
      <w:r>
        <w:rPr>
          <w:b/>
        </w:rPr>
        <w:t>$39,150</w:t>
      </w:r>
      <w:r>
        <w:rPr/>
        <w:t>, positive, so the project is acceptable.</w:t>
      </w:r>
    </w:p>
    <w:p>
      <w:pPr>
        <w:keepNext w:val="0"/>
        <w:spacing w:after="100" w:before="0"/>
      </w:pPr>
      <w:r>
        <w:rPr/>
        <w:t>Traps:</w:t>
      </w:r>
    </w:p>
    <w:p>
      <w:pPr>
        <w:pStyle w:val="ListBullet"/>
        <w:spacing w:after="40"/>
      </w:pPr>
      <w:r>
        <w:rPr/>
        <w:t>Including the sunk feasibility study and the apportioned overheads gives an NPV of $(33,385), which wrongly rejects the project.</w:t>
      </w:r>
    </w:p>
    <w:p>
      <w:pPr>
        <w:pStyle w:val="ListBullet"/>
        <w:spacing w:after="40"/>
      </w:pPr>
      <w:r>
        <w:rPr/>
        <w:t>Ignoring the rent forgone gives $102,530.</w:t>
      </w:r>
    </w:p>
    <w:p>
      <w:pPr>
        <w:pStyle w:val="ListBullet"/>
        <w:spacing w:after="40"/>
      </w:pPr>
      <w:r>
        <w:rPr/>
        <w:t>Charging the materials at their original cost of $30,000 gives $24,150.</w:t>
      </w:r>
    </w:p>
    <w:p>
      <w:pPr>
        <w:pStyle w:val="ListBullet"/>
        <w:spacing w:after="40"/>
      </w:pPr>
      <w:r>
        <w:rPr/>
        <w:t>Forgetting to release the working capital in Year 4 gives $5,000.</w:t>
      </w:r>
    </w:p>
    <w:p>
      <w:pPr>
        <w:pBdr>
          <w:bottom w:val="single" w:sz="8" w:space="1" w:color="000000"/>
        </w:pBdr>
        <w:spacing w:after="160"/>
      </w:pPr>
    </w:p>
    <w:p>
      <w:pPr>
        <w:pStyle w:val="Heading3"/>
        <w:pageBreakBefore w:val="0"/>
      </w:pPr>
      <w:r>
        <w:rPr>
          <w:b/>
          <w:color w:val="000000"/>
        </w:rPr>
        <w:t>Question 19: A (13.9%)</w:t>
      </w:r>
    </w:p>
    <w:p>
      <w:pPr>
        <w:pStyle w:val="ListBullet"/>
        <w:spacing w:after="40"/>
      </w:pPr>
      <w:r>
        <w:rPr/>
        <w:t>NPV at 10% = $39,150 (Q18); NPV at 20% = $(61,110), as given.</w:t>
      </w:r>
    </w:p>
    <w:p>
      <w:pPr>
        <w:pStyle w:val="ListBullet"/>
        <w:spacing w:after="40"/>
      </w:pPr>
      <w:r>
        <w:rPr/>
        <w:t xml:space="preserve">IRR = 10% + [39,150 / (39,150 + 61,110)] × (20% − 10%) = 10% + 3.9% = </w:t>
      </w:r>
      <w:r>
        <w:rPr>
          <w:b/>
        </w:rPr>
        <w:t>13.9%</w:t>
      </w:r>
    </w:p>
    <w:p>
      <w:pPr>
        <w:keepNext w:val="0"/>
        <w:spacing w:after="100" w:before="0"/>
      </w:pPr>
      <w:r>
        <w:rPr/>
        <w:t>Distractors:</w:t>
      </w:r>
    </w:p>
    <w:p>
      <w:pPr>
        <w:pStyle w:val="ListBullet"/>
        <w:spacing w:after="40"/>
      </w:pPr>
      <w:r>
        <w:rPr>
          <w:b/>
        </w:rPr>
        <w:t>B (16.1%):</w:t>
      </w:r>
      <w:r>
        <w:rPr/>
        <w:t xml:space="preserve"> puts the negative NPV in the numerator.</w:t>
      </w:r>
    </w:p>
    <w:p>
      <w:pPr>
        <w:pStyle w:val="ListBullet"/>
        <w:spacing w:after="40"/>
      </w:pPr>
      <w:r>
        <w:rPr>
          <w:b/>
        </w:rPr>
        <w:t>C (20.0%):</w:t>
      </w:r>
      <w:r>
        <w:rPr/>
        <w:t xml:space="preserve"> picks the trial rate instead of interpolating.</w:t>
      </w:r>
    </w:p>
    <w:p>
      <w:pPr>
        <w:pStyle w:val="ListBullet"/>
        <w:spacing w:after="40"/>
      </w:pPr>
      <w:r>
        <w:rPr>
          <w:b/>
        </w:rPr>
        <w:t>D (27.8%):</w:t>
      </w:r>
      <w:r>
        <w:rPr/>
        <w:t xml:space="preserve"> subtracts the NPVs in the denominator (61,110 − 39,150). The gap between a positive and a negative NPV is their </w:t>
      </w:r>
      <w:r>
        <w:rPr>
          <w:i/>
        </w:rPr>
        <w:t>sum</w:t>
      </w:r>
      <w:r>
        <w:rPr/>
        <w:t xml:space="preserve"> in absolute terms.</w:t>
      </w:r>
    </w:p>
    <w:p>
      <w:pPr>
        <w:pBdr>
          <w:bottom w:val="single" w:sz="8" w:space="1" w:color="000000"/>
        </w:pBdr>
        <w:spacing w:after="160"/>
      </w:pPr>
    </w:p>
    <w:p>
      <w:pPr>
        <w:pStyle w:val="Heading3"/>
        <w:pageBreakBefore w:val="0"/>
      </w:pPr>
      <w:r>
        <w:rPr>
          <w:b/>
          <w:color w:val="000000"/>
        </w:rPr>
        <w:t>Question 20: True, True, False</w:t>
      </w:r>
    </w:p>
    <w:p>
      <w:pPr>
        <w:pStyle w:val="ListBullet"/>
        <w:spacing w:after="40"/>
      </w:pPr>
      <w:r>
        <w:rPr>
          <w:b/>
        </w:rPr>
        <w:t>True.</w:t>
      </w:r>
      <w:r>
        <w:rPr/>
        <w:t xml:space="preserve"> NPV measures the absolute increase in shareholder wealth, so it is the better guide when mutually exclusive projects rank differently.</w:t>
      </w:r>
    </w:p>
    <w:p>
      <w:pPr>
        <w:pStyle w:val="ListBullet"/>
        <w:spacing w:after="40"/>
      </w:pPr>
      <w:r>
        <w:rPr>
          <w:b/>
        </w:rPr>
        <w:t>True.</w:t>
      </w:r>
      <w:r>
        <w:rPr/>
        <w:t xml:space="preserve"> This is a recognised weakness of IRR. NPV assumes reinvestment at the cost of capital, which is more realistic.</w:t>
      </w:r>
    </w:p>
    <w:p>
      <w:pPr>
        <w:pStyle w:val="ListBullet"/>
        <w:spacing w:after="40"/>
      </w:pPr>
      <w:r>
        <w:rPr>
          <w:b/>
        </w:rPr>
        <w:t>False.</w:t>
      </w:r>
      <w:r>
        <w:rPr/>
        <w:t xml:space="preserve"> Non-conventional cash flows that change sign more than once can produce </w:t>
      </w:r>
      <w:r>
        <w:rPr>
          <w:b/>
        </w:rPr>
        <w:t>multiple</w:t>
      </w:r>
      <w:r>
        <w:rPr/>
        <w:t xml:space="preserve"> IRRs, or none at all.</w:t>
      </w:r>
    </w:p>
    <w:p>
      <w:pPr>
        <w:pBdr>
          <w:bottom w:val="single" w:sz="8" w:space="1" w:color="000000"/>
        </w:pBdr>
        <w:spacing w:after="160"/>
      </w:pPr>
    </w:p>
    <w:p>
      <w:pPr>
        <w:pStyle w:val="Heading3"/>
        <w:pageBreakBefore w:val="0"/>
      </w:pPr>
      <w:r>
        <w:rPr>
          <w:b/>
          <w:color w:val="000000"/>
        </w:rPr>
        <w:t>Question 21: 50 days</w:t>
      </w:r>
    </w:p>
    <w:tbl>
      <w:tblPr>
        <w:tblStyle w:val="TableGrid"/>
        <w:tblW w:type="auto" w:w="0"/>
        <w:jc w:val="center"/>
        <w:tblLayout w:type="fixed"/>
        <w:tblLook w:firstColumn="1" w:firstRow="1" w:lastColumn="0" w:lastRow="0" w:noHBand="0" w:noVBand="1" w:val="04A0"/>
      </w:tblPr>
      <w:tblGrid>
        <w:gridCol w:w="2465"/>
        <w:gridCol w:w="5938"/>
        <w:gridCol w:w="1008"/>
      </w:tblGrid>
      <w:tr>
        <w:trPr>
          <w:cantSplit/>
          <w:tblHeader/>
        </w:trPr>
        <w:tc>
          <w:tcPr>
            <w:tcW w:type="dxa" w:w="2465"/>
          </w:tcPr>
          <w:p>
            <w:pPr>
              <w:spacing w:after="0"/>
            </w:pPr>
            <w:r>
              <w:rPr>
                <w:b/>
                <w:sz w:val="19"/>
              </w:rPr>
              <w:t>Component</w:t>
            </w:r>
          </w:p>
        </w:tc>
        <w:tc>
          <w:tcPr>
            <w:tcW w:type="dxa" w:w="5938"/>
          </w:tcPr>
          <w:p>
            <w:pPr>
              <w:spacing w:after="0"/>
              <w:jc w:val="center"/>
            </w:pPr>
            <w:r>
              <w:rPr>
                <w:b/>
                <w:sz w:val="19"/>
              </w:rPr>
              <w:t>Workings</w:t>
            </w:r>
          </w:p>
        </w:tc>
        <w:tc>
          <w:tcPr>
            <w:tcW w:type="dxa" w:w="1008"/>
          </w:tcPr>
          <w:p>
            <w:pPr>
              <w:spacing w:after="0"/>
              <w:jc w:val="center"/>
            </w:pPr>
            <w:r>
              <w:rPr>
                <w:b/>
                <w:sz w:val="19"/>
              </w:rPr>
              <w:t>Days</w:t>
            </w:r>
          </w:p>
        </w:tc>
      </w:tr>
      <w:tr>
        <w:trPr>
          <w:cantSplit/>
        </w:trPr>
        <w:tc>
          <w:tcPr>
            <w:tcW w:type="dxa" w:w="2465"/>
          </w:tcPr>
          <w:p>
            <w:pPr>
              <w:spacing w:after="0"/>
            </w:pPr>
            <w:r>
              <w:rPr>
                <w:sz w:val="19"/>
              </w:rPr>
              <w:t>Inventory days</w:t>
            </w:r>
          </w:p>
        </w:tc>
        <w:tc>
          <w:tcPr>
            <w:tcW w:type="dxa" w:w="5938"/>
          </w:tcPr>
          <w:p>
            <w:pPr>
              <w:spacing w:after="0"/>
            </w:pPr>
            <w:r>
              <w:rPr>
                <w:sz w:val="19"/>
              </w:rPr>
              <w:t>1.400 / 12.775 × 365</w:t>
            </w:r>
          </w:p>
        </w:tc>
        <w:tc>
          <w:tcPr>
            <w:tcW w:type="dxa" w:w="1008"/>
          </w:tcPr>
          <w:p>
            <w:pPr>
              <w:spacing w:after="0"/>
              <w:jc w:val="center"/>
            </w:pPr>
            <w:r>
              <w:rPr>
                <w:sz w:val="19"/>
              </w:rPr>
              <w:t>40</w:t>
            </w:r>
          </w:p>
        </w:tc>
      </w:tr>
      <w:tr>
        <w:trPr>
          <w:cantSplit/>
        </w:trPr>
        <w:tc>
          <w:tcPr>
            <w:tcW w:type="dxa" w:w="2465"/>
          </w:tcPr>
          <w:p>
            <w:pPr>
              <w:spacing w:after="0"/>
            </w:pPr>
            <w:r>
              <w:rPr>
                <w:sz w:val="19"/>
              </w:rPr>
              <w:t>Receivables days</w:t>
            </w:r>
          </w:p>
        </w:tc>
        <w:tc>
          <w:tcPr>
            <w:tcW w:type="dxa" w:w="5938"/>
          </w:tcPr>
          <w:p>
            <w:pPr>
              <w:spacing w:after="0"/>
            </w:pPr>
            <w:r>
              <w:rPr>
                <w:sz w:val="19"/>
              </w:rPr>
              <w:t>2.000 / (18.250 × 80%) × 365 = 2.000 / 14.600 × 365</w:t>
            </w:r>
          </w:p>
        </w:tc>
        <w:tc>
          <w:tcPr>
            <w:tcW w:type="dxa" w:w="1008"/>
          </w:tcPr>
          <w:p>
            <w:pPr>
              <w:spacing w:after="0"/>
              <w:jc w:val="center"/>
            </w:pPr>
            <w:r>
              <w:rPr>
                <w:sz w:val="19"/>
              </w:rPr>
              <w:t>50</w:t>
            </w:r>
          </w:p>
        </w:tc>
      </w:tr>
      <w:tr>
        <w:trPr>
          <w:cantSplit/>
        </w:trPr>
        <w:tc>
          <w:tcPr>
            <w:tcW w:type="dxa" w:w="2465"/>
          </w:tcPr>
          <w:p>
            <w:pPr>
              <w:spacing w:after="0"/>
            </w:pPr>
            <w:r>
              <w:rPr>
                <w:sz w:val="19"/>
              </w:rPr>
              <w:t>Payables days</w:t>
            </w:r>
          </w:p>
        </w:tc>
        <w:tc>
          <w:tcPr>
            <w:tcW w:type="dxa" w:w="5938"/>
          </w:tcPr>
          <w:p>
            <w:pPr>
              <w:spacing w:after="0"/>
            </w:pPr>
            <w:r>
              <w:rPr>
                <w:sz w:val="19"/>
              </w:rPr>
              <w:t>1.120 / (12.775 × 80%) × 365 = 1.120 / 10.220 × 365</w:t>
            </w:r>
          </w:p>
        </w:tc>
        <w:tc>
          <w:tcPr>
            <w:tcW w:type="dxa" w:w="1008"/>
          </w:tcPr>
          <w:p>
            <w:pPr>
              <w:spacing w:after="0"/>
              <w:jc w:val="center"/>
            </w:pPr>
            <w:r>
              <w:rPr>
                <w:sz w:val="19"/>
              </w:rPr>
              <w:t>(40)</w:t>
            </w:r>
          </w:p>
        </w:tc>
      </w:tr>
      <w:tr>
        <w:trPr>
          <w:cantSplit/>
        </w:trPr>
        <w:tc>
          <w:tcPr>
            <w:tcW w:type="dxa" w:w="2465"/>
          </w:tcPr>
          <w:p>
            <w:pPr>
              <w:spacing w:after="0"/>
            </w:pPr>
            <w:r>
              <w:rPr>
                <w:b/>
                <w:sz w:val="19"/>
              </w:rPr>
              <w:t>Cash operating cycle</w:t>
            </w:r>
          </w:p>
        </w:tc>
        <w:tc>
          <w:tcPr>
            <w:tcW w:type="dxa" w:w="5938"/>
          </w:tcPr>
          <w:p>
            <w:pPr>
              <w:spacing w:after="0"/>
            </w:pPr>
          </w:p>
        </w:tc>
        <w:tc>
          <w:tcPr>
            <w:tcW w:type="dxa" w:w="1008"/>
          </w:tcPr>
          <w:p>
            <w:pPr>
              <w:spacing w:after="0"/>
              <w:jc w:val="center"/>
            </w:pPr>
            <w:r>
              <w:rPr>
                <w:b/>
                <w:sz w:val="19"/>
              </w:rPr>
              <w:t>50 days</w:t>
            </w:r>
          </w:p>
        </w:tc>
      </w:tr>
    </w:tbl>
    <w:p>
      <w:pPr>
        <w:spacing w:after="120"/>
      </w:pPr>
    </w:p>
    <w:p>
      <w:pPr>
        <w:keepNext w:val="0"/>
        <w:spacing w:after="100" w:before="0"/>
      </w:pPr>
      <w:r>
        <w:rPr/>
        <w:t>Traps:</w:t>
      </w:r>
    </w:p>
    <w:p>
      <w:pPr>
        <w:pStyle w:val="ListBullet"/>
        <w:spacing w:after="40"/>
      </w:pPr>
      <w:r>
        <w:rPr/>
        <w:t xml:space="preserve">Receivables days on </w:t>
      </w:r>
      <w:r>
        <w:rPr>
          <w:b/>
        </w:rPr>
        <w:t>total revenue</w:t>
      </w:r>
      <w:r>
        <w:rPr/>
        <w:t>: 40 days, giving a cycle of 40 days. Cash sales never create receivables.</w:t>
      </w:r>
    </w:p>
    <w:p>
      <w:pPr>
        <w:pStyle w:val="ListBullet"/>
        <w:spacing w:after="40"/>
      </w:pPr>
      <w:r>
        <w:rPr/>
        <w:t xml:space="preserve">Payables days on </w:t>
      </w:r>
      <w:r>
        <w:rPr>
          <w:b/>
        </w:rPr>
        <w:t>cost of sales</w:t>
      </w:r>
      <w:r>
        <w:rPr/>
        <w:t xml:space="preserve"> instead of credit purchases: 32 days, giving a cycle of 58 days.</w:t>
      </w:r>
    </w:p>
    <w:p>
      <w:pPr>
        <w:pStyle w:val="ListBullet"/>
        <w:spacing w:after="40"/>
      </w:pPr>
      <w:r>
        <w:rPr/>
        <w:t>Both errors together give 48 days.</w:t>
      </w:r>
    </w:p>
    <w:p>
      <w:pPr>
        <w:pBdr>
          <w:bottom w:val="single" w:sz="8" w:space="1" w:color="000000"/>
        </w:pBdr>
        <w:spacing w:after="160"/>
      </w:pPr>
    </w:p>
    <w:p>
      <w:pPr>
        <w:pStyle w:val="Heading3"/>
        <w:pageBreakBefore w:val="0"/>
      </w:pPr>
      <w:r>
        <w:rPr>
          <w:b/>
          <w:color w:val="000000"/>
        </w:rPr>
        <w:t>Question 22: A (Benefit of $1,520 per year)</w:t>
      </w:r>
    </w:p>
    <w:p>
      <w:pPr>
        <w:keepNext w:val="0"/>
        <w:spacing w:after="100" w:before="0"/>
      </w:pPr>
      <w:r>
        <w:rPr/>
        <w:t>EOQ = √(2 × 50 × 64,000 / 1.60) = √4,000,000 = 2,000 units</w:t>
      </w:r>
    </w:p>
    <w:tbl>
      <w:tblPr>
        <w:tblStyle w:val="TableGrid"/>
        <w:tblW w:type="auto" w:w="0"/>
        <w:jc w:val="center"/>
        <w:tblLayout w:type="fixed"/>
        <w:tblLook w:firstColumn="1" w:firstRow="1" w:lastColumn="0" w:lastRow="0" w:noHBand="0" w:noVBand="1" w:val="04A0"/>
      </w:tblPr>
      <w:tblGrid>
        <w:gridCol w:w="1641"/>
        <w:gridCol w:w="3064"/>
        <w:gridCol w:w="3064"/>
        <w:gridCol w:w="1641"/>
      </w:tblGrid>
      <w:tr>
        <w:trPr>
          <w:cantSplit/>
          <w:tblHeader/>
        </w:trPr>
        <w:tc>
          <w:tcPr>
            <w:tcW w:type="dxa" w:w="1641"/>
          </w:tcPr>
          <w:p>
            <w:pPr>
              <w:spacing w:after="0"/>
            </w:pPr>
          </w:p>
        </w:tc>
        <w:tc>
          <w:tcPr>
            <w:tcW w:type="dxa" w:w="3064"/>
          </w:tcPr>
          <w:p>
            <w:pPr>
              <w:spacing w:after="0"/>
              <w:jc w:val="center"/>
            </w:pPr>
            <w:r>
              <w:rPr>
                <w:b/>
                <w:sz w:val="19"/>
              </w:rPr>
              <w:t>At EOQ (2,000 units)</w:t>
            </w:r>
          </w:p>
        </w:tc>
        <w:tc>
          <w:tcPr>
            <w:tcW w:type="dxa" w:w="3064"/>
          </w:tcPr>
          <w:p>
            <w:pPr>
              <w:spacing w:after="0"/>
              <w:jc w:val="center"/>
            </w:pPr>
            <w:r>
              <w:rPr>
                <w:b/>
                <w:sz w:val="19"/>
              </w:rPr>
              <w:t>At 8,000 units</w:t>
            </w:r>
          </w:p>
        </w:tc>
        <w:tc>
          <w:tcPr>
            <w:tcW w:type="dxa" w:w="1641"/>
          </w:tcPr>
          <w:p>
            <w:pPr>
              <w:spacing w:after="0"/>
              <w:jc w:val="center"/>
            </w:pPr>
            <w:r>
              <w:rPr>
                <w:b/>
                <w:sz w:val="19"/>
              </w:rPr>
              <w:t>Change</w:t>
            </w:r>
          </w:p>
        </w:tc>
      </w:tr>
      <w:tr>
        <w:trPr>
          <w:cantSplit/>
        </w:trPr>
        <w:tc>
          <w:tcPr>
            <w:tcW w:type="dxa" w:w="1641"/>
          </w:tcPr>
          <w:p>
            <w:pPr>
              <w:spacing w:after="0"/>
            </w:pPr>
            <w:r>
              <w:rPr>
                <w:sz w:val="19"/>
              </w:rPr>
              <w:t>Purchase cost</w:t>
            </w:r>
          </w:p>
        </w:tc>
        <w:tc>
          <w:tcPr>
            <w:tcW w:type="dxa" w:w="3064"/>
          </w:tcPr>
          <w:p>
            <w:pPr>
              <w:spacing w:after="0"/>
            </w:pPr>
            <w:r>
              <w:rPr>
                <w:sz w:val="19"/>
              </w:rPr>
              <w:t>64,000 × $8.00 = 512,000</w:t>
            </w:r>
          </w:p>
        </w:tc>
        <w:tc>
          <w:tcPr>
            <w:tcW w:type="dxa" w:w="3064"/>
          </w:tcPr>
          <w:p>
            <w:pPr>
              <w:spacing w:after="0"/>
            </w:pPr>
            <w:r>
              <w:rPr>
                <w:sz w:val="19"/>
              </w:rPr>
              <w:t>64,000 × $7.92 = 506,880</w:t>
            </w:r>
          </w:p>
        </w:tc>
        <w:tc>
          <w:tcPr>
            <w:tcW w:type="dxa" w:w="1641"/>
          </w:tcPr>
          <w:p>
            <w:pPr>
              <w:spacing w:after="0"/>
            </w:pPr>
            <w:r>
              <w:rPr>
                <w:sz w:val="19"/>
              </w:rPr>
              <w:t>Saving 5,120</w:t>
            </w:r>
          </w:p>
        </w:tc>
      </w:tr>
      <w:tr>
        <w:trPr>
          <w:cantSplit/>
        </w:trPr>
        <w:tc>
          <w:tcPr>
            <w:tcW w:type="dxa" w:w="1641"/>
          </w:tcPr>
          <w:p>
            <w:pPr>
              <w:spacing w:after="0"/>
            </w:pPr>
            <w:r>
              <w:rPr>
                <w:sz w:val="19"/>
              </w:rPr>
              <w:t>Ordering cost</w:t>
            </w:r>
          </w:p>
        </w:tc>
        <w:tc>
          <w:tcPr>
            <w:tcW w:type="dxa" w:w="3064"/>
          </w:tcPr>
          <w:p>
            <w:pPr>
              <w:spacing w:after="0"/>
            </w:pPr>
            <w:r>
              <w:rPr>
                <w:sz w:val="19"/>
              </w:rPr>
              <w:t>32 orders × $50 = 1,600</w:t>
            </w:r>
          </w:p>
        </w:tc>
        <w:tc>
          <w:tcPr>
            <w:tcW w:type="dxa" w:w="3064"/>
          </w:tcPr>
          <w:p>
            <w:pPr>
              <w:spacing w:after="0"/>
            </w:pPr>
            <w:r>
              <w:rPr>
                <w:sz w:val="19"/>
              </w:rPr>
              <w:t>8 orders × $50 = 400</w:t>
            </w:r>
          </w:p>
        </w:tc>
        <w:tc>
          <w:tcPr>
            <w:tcW w:type="dxa" w:w="1641"/>
          </w:tcPr>
          <w:p>
            <w:pPr>
              <w:spacing w:after="0"/>
            </w:pPr>
            <w:r>
              <w:rPr>
                <w:sz w:val="19"/>
              </w:rPr>
              <w:t>Saving 1,200</w:t>
            </w:r>
          </w:p>
        </w:tc>
      </w:tr>
      <w:tr>
        <w:trPr>
          <w:cantSplit/>
        </w:trPr>
        <w:tc>
          <w:tcPr>
            <w:tcW w:type="dxa" w:w="1641"/>
          </w:tcPr>
          <w:p>
            <w:pPr>
              <w:spacing w:after="0"/>
            </w:pPr>
            <w:r>
              <w:rPr>
                <w:sz w:val="19"/>
              </w:rPr>
              <w:t>Holding cost</w:t>
            </w:r>
          </w:p>
        </w:tc>
        <w:tc>
          <w:tcPr>
            <w:tcW w:type="dxa" w:w="3064"/>
          </w:tcPr>
          <w:p>
            <w:pPr>
              <w:spacing w:after="0"/>
            </w:pPr>
            <w:r>
              <w:rPr>
                <w:sz w:val="19"/>
              </w:rPr>
              <w:t>(2,000 / 2) × 1.60 = 1,600</w:t>
            </w:r>
          </w:p>
        </w:tc>
        <w:tc>
          <w:tcPr>
            <w:tcW w:type="dxa" w:w="3064"/>
          </w:tcPr>
          <w:p>
            <w:pPr>
              <w:spacing w:after="0"/>
            </w:pPr>
            <w:r>
              <w:rPr>
                <w:sz w:val="19"/>
              </w:rPr>
              <w:t>(8,000 / 2) × 1.60 = 6,400</w:t>
            </w:r>
          </w:p>
        </w:tc>
        <w:tc>
          <w:tcPr>
            <w:tcW w:type="dxa" w:w="1641"/>
          </w:tcPr>
          <w:p>
            <w:pPr>
              <w:spacing w:after="0"/>
            </w:pPr>
            <w:r>
              <w:rPr>
                <w:sz w:val="19"/>
              </w:rPr>
              <w:t>Cost (4,800)</w:t>
            </w:r>
          </w:p>
        </w:tc>
      </w:tr>
      <w:tr>
        <w:trPr>
          <w:cantSplit/>
        </w:trPr>
        <w:tc>
          <w:tcPr>
            <w:tcW w:type="dxa" w:w="1641"/>
          </w:tcPr>
          <w:p>
            <w:pPr>
              <w:spacing w:after="0"/>
            </w:pPr>
            <w:r>
              <w:rPr>
                <w:b/>
                <w:sz w:val="19"/>
              </w:rPr>
              <w:t>Total</w:t>
            </w:r>
          </w:p>
        </w:tc>
        <w:tc>
          <w:tcPr>
            <w:tcW w:type="dxa" w:w="3064"/>
          </w:tcPr>
          <w:p>
            <w:pPr>
              <w:spacing w:after="0"/>
              <w:jc w:val="center"/>
            </w:pPr>
            <w:r>
              <w:rPr>
                <w:b/>
                <w:sz w:val="19"/>
              </w:rPr>
              <w:t>515,200</w:t>
            </w:r>
          </w:p>
        </w:tc>
        <w:tc>
          <w:tcPr>
            <w:tcW w:type="dxa" w:w="3064"/>
          </w:tcPr>
          <w:p>
            <w:pPr>
              <w:spacing w:after="0"/>
              <w:jc w:val="center"/>
            </w:pPr>
            <w:r>
              <w:rPr>
                <w:b/>
                <w:sz w:val="19"/>
              </w:rPr>
              <w:t>513,680</w:t>
            </w:r>
          </w:p>
        </w:tc>
        <w:tc>
          <w:tcPr>
            <w:tcW w:type="dxa" w:w="1641"/>
          </w:tcPr>
          <w:p>
            <w:pPr>
              <w:spacing w:after="0"/>
            </w:pPr>
            <w:r>
              <w:rPr>
                <w:b/>
                <w:sz w:val="19"/>
              </w:rPr>
              <w:t>Benefit 1,520</w:t>
            </w:r>
          </w:p>
        </w:tc>
      </w:tr>
    </w:tbl>
    <w:p>
      <w:pPr>
        <w:spacing w:after="120"/>
      </w:pPr>
    </w:p>
    <w:p>
      <w:pPr>
        <w:keepNext w:val="0"/>
        <w:spacing w:after="100" w:before="0"/>
      </w:pPr>
      <w:r>
        <w:rPr/>
        <w:t>Distractors:</w:t>
      </w:r>
    </w:p>
    <w:p>
      <w:pPr>
        <w:pStyle w:val="ListBullet"/>
        <w:spacing w:after="40"/>
      </w:pPr>
      <w:r>
        <w:rPr>
          <w:b/>
        </w:rPr>
        <w:t>B (cost of $880):</w:t>
      </w:r>
      <w:r>
        <w:rPr/>
        <w:t xml:space="preserve"> treats the ordering cost </w:t>
      </w:r>
      <w:r>
        <w:rPr>
          <w:i/>
        </w:rPr>
        <w:t>saving</w:t>
      </w:r>
      <w:r>
        <w:rPr/>
        <w:t xml:space="preserve"> as an extra cost: 5,120 − 4,800 − 1,200.</w:t>
      </w:r>
    </w:p>
    <w:p>
      <w:pPr>
        <w:pStyle w:val="ListBullet"/>
        <w:spacing w:after="40"/>
      </w:pPr>
      <w:r>
        <w:rPr>
          <w:b/>
        </w:rPr>
        <w:t>C (cost of $3,280):</w:t>
      </w:r>
      <w:r>
        <w:rPr/>
        <w:t xml:space="preserve"> uses the full order quantity as the average inventory instead of Q/2.</w:t>
      </w:r>
    </w:p>
    <w:p>
      <w:pPr>
        <w:pStyle w:val="ListBullet"/>
        <w:spacing w:after="40"/>
      </w:pPr>
      <w:r>
        <w:rPr>
          <w:b/>
        </w:rPr>
        <w:t>D (benefit of $5,120):</w:t>
      </w:r>
      <w:r>
        <w:rPr/>
        <w:t xml:space="preserve"> counts only the price discount and ignores the change in ordering and holding costs.</w:t>
      </w:r>
    </w:p>
    <w:p>
      <w:pPr>
        <w:pBdr>
          <w:bottom w:val="single" w:sz="8" w:space="1" w:color="000000"/>
        </w:pBdr>
        <w:spacing w:after="160"/>
      </w:pPr>
    </w:p>
    <w:p>
      <w:pPr>
        <w:pStyle w:val="Heading3"/>
        <w:pageBreakBefore w:val="0"/>
      </w:pPr>
      <w:r>
        <w:rPr>
          <w:b/>
          <w:color w:val="000000"/>
        </w:rPr>
        <w:t>Question 23: 1,408 units</w:t>
      </w:r>
    </w:p>
    <w:p>
      <w:pPr>
        <w:pStyle w:val="ListBullet"/>
        <w:spacing w:after="40"/>
      </w:pPr>
      <w:r>
        <w:rPr/>
        <w:t>Reorder level (no stock-outs) = maximum usage × maximum lead time = 320 × 10 = 3,200 units</w:t>
      </w:r>
    </w:p>
    <w:p>
      <w:pPr>
        <w:pStyle w:val="ListBullet"/>
        <w:spacing w:after="40"/>
      </w:pPr>
      <w:r>
        <w:rPr/>
        <w:t>Average usage during the average lead time = 256 × 7 = 1,792 units</w:t>
      </w:r>
    </w:p>
    <w:p>
      <w:pPr>
        <w:pStyle w:val="ListBullet"/>
        <w:spacing w:after="40"/>
      </w:pPr>
      <w:r>
        <w:rPr/>
        <w:t xml:space="preserve">Buffer inventory = reorder level − average usage in the average lead time = 3,200 − 1,792 = </w:t>
      </w:r>
      <w:r>
        <w:rPr>
          <w:b/>
        </w:rPr>
        <w:t>1,408 units</w:t>
      </w:r>
    </w:p>
    <w:p>
      <w:pPr>
        <w:keepNext w:val="0"/>
        <w:spacing w:after="100" w:before="0"/>
      </w:pPr>
      <w:r>
        <w:rPr/>
        <w:t>Traps:</w:t>
      </w:r>
    </w:p>
    <w:p>
      <w:pPr>
        <w:pStyle w:val="ListBullet"/>
        <w:spacing w:after="40"/>
      </w:pPr>
      <w:r>
        <w:rPr/>
        <w:t>3,200 units: the reorder level itself, not the buffer.</w:t>
      </w:r>
    </w:p>
    <w:p>
      <w:pPr>
        <w:pStyle w:val="ListBullet"/>
        <w:spacing w:after="40"/>
      </w:pPr>
      <w:r>
        <w:rPr/>
        <w:t>1,792 units: the expected usage during the lead time, not the buffer.</w:t>
      </w:r>
    </w:p>
    <w:p>
      <w:pPr>
        <w:pStyle w:val="ListBullet"/>
        <w:spacing w:after="40"/>
      </w:pPr>
      <w:r>
        <w:rPr/>
        <w:t>2,240 units: maximum usage × average lead time (320 × 7), which mixes the measures.</w:t>
      </w:r>
    </w:p>
    <w:p>
      <w:pPr>
        <w:pBdr>
          <w:bottom w:val="single" w:sz="8" w:space="1" w:color="000000"/>
        </w:pBdr>
        <w:spacing w:after="160"/>
      </w:pPr>
    </w:p>
    <w:p>
      <w:pPr>
        <w:pStyle w:val="Heading3"/>
        <w:pageBreakBefore w:val="0"/>
      </w:pPr>
      <w:r>
        <w:rPr>
          <w:b/>
          <w:color w:val="000000"/>
        </w:rPr>
        <w:t>Question 24: A</w:t>
      </w:r>
    </w:p>
    <w:p>
      <w:pPr>
        <w:pStyle w:val="ListBullet"/>
        <w:spacing w:after="40"/>
      </w:pPr>
      <w:r>
        <w:rPr/>
        <w:t xml:space="preserve">Current ratio = (inventory + receivables) / (payables + overdraft) = (1.400 + 2.000) / (1.120 + 0.900) = 3.400 / 2.020 = </w:t>
      </w:r>
      <w:r>
        <w:rPr>
          <w:b/>
        </w:rPr>
        <w:t>1.68 times</w:t>
      </w:r>
    </w:p>
    <w:p>
      <w:pPr>
        <w:pStyle w:val="ListBullet"/>
        <w:spacing w:after="40"/>
      </w:pPr>
      <w:r>
        <w:rPr/>
        <w:t xml:space="preserve">Quick ratio = receivables / current liabilities = 2.000 / 2.020 = </w:t>
      </w:r>
      <w:r>
        <w:rPr>
          <w:b/>
        </w:rPr>
        <w:t>0.99 times</w:t>
      </w:r>
    </w:p>
    <w:p>
      <w:pPr>
        <w:keepNext w:val="0"/>
        <w:spacing w:after="100" w:before="0"/>
      </w:pPr>
      <w:r>
        <w:rPr/>
        <w:t>Distractors:</w:t>
      </w:r>
    </w:p>
    <w:p>
      <w:pPr>
        <w:pStyle w:val="ListBullet"/>
        <w:spacing w:after="40"/>
      </w:pPr>
      <w:r>
        <w:rPr>
          <w:b/>
        </w:rPr>
        <w:t>B:</w:t>
      </w:r>
      <w:r>
        <w:rPr/>
        <w:t xml:space="preserve"> leaves the bank overdraft out of current liabilities (3.400 / 1.120 and 2.000 / 1.120). An overdraft is repayable on demand and is a current liability.</w:t>
      </w:r>
    </w:p>
    <w:p>
      <w:pPr>
        <w:pStyle w:val="ListBullet"/>
        <w:spacing w:after="40"/>
      </w:pPr>
      <w:r>
        <w:rPr>
          <w:b/>
        </w:rPr>
        <w:t>C:</w:t>
      </w:r>
      <w:r>
        <w:rPr/>
        <w:t xml:space="preserve"> correct current ratio, but the quick ratio leaves out the overdraft.</w:t>
      </w:r>
    </w:p>
    <w:p>
      <w:pPr>
        <w:pStyle w:val="ListBullet"/>
        <w:spacing w:after="40"/>
      </w:pPr>
      <w:r>
        <w:rPr>
          <w:b/>
        </w:rPr>
        <w:t>D:</w:t>
      </w:r>
      <w:r>
        <w:rPr/>
        <w:t xml:space="preserve"> the two ratios swapped. The quick ratio excludes inventory, so it can never be higher than the current ratio.</w:t>
      </w:r>
    </w:p>
    <w:p>
      <w:pPr>
        <w:pBdr>
          <w:bottom w:val="single" w:sz="8" w:space="1" w:color="000000"/>
        </w:pBdr>
        <w:spacing w:after="160"/>
      </w:pPr>
    </w:p>
    <w:p>
      <w:pPr>
        <w:pStyle w:val="Heading3"/>
        <w:pageBreakBefore w:val="0"/>
      </w:pPr>
      <w:r>
        <w:rPr>
          <w:b/>
          <w:color w:val="000000"/>
        </w:rPr>
        <w:t>Question 25: 1st and 2nd</w:t>
      </w:r>
    </w:p>
    <w:p>
      <w:pPr>
        <w:pStyle w:val="ListBullet"/>
        <w:spacing w:after="40"/>
      </w:pPr>
      <w:r>
        <w:rPr>
          <w:b/>
        </w:rPr>
        <w:t>Lower holding costs: correct.</w:t>
      </w:r>
      <w:r>
        <w:rPr/>
        <w:t xml:space="preserve"> Very little T7 is held, so storage, insurance and financing costs fall.</w:t>
      </w:r>
    </w:p>
    <w:p>
      <w:pPr>
        <w:pStyle w:val="ListBullet"/>
        <w:spacing w:after="40"/>
      </w:pPr>
      <w:r>
        <w:rPr>
          <w:b/>
        </w:rPr>
        <w:t>Bulk discount unlikely: correct.</w:t>
      </w:r>
      <w:r>
        <w:rPr/>
        <w:t xml:space="preserve"> JIT means small, frequent deliveries, so orders of 8,000 units are no longer placed and the 1% discount (worth a net $1,520 a year, Q22) is given up.</w:t>
      </w:r>
    </w:p>
    <w:p>
      <w:pPr>
        <w:pStyle w:val="ListBullet"/>
        <w:spacing w:after="40"/>
      </w:pPr>
      <w:r>
        <w:rPr>
          <w:b/>
        </w:rPr>
        <w:t>Higher buffer inventory: wrong.</w:t>
      </w:r>
      <w:r>
        <w:rPr/>
        <w:t xml:space="preserve"> JIT aims to eliminate buffer inventory.</w:t>
      </w:r>
    </w:p>
    <w:p>
      <w:pPr>
        <w:pStyle w:val="ListBullet"/>
        <w:spacing w:after="40"/>
      </w:pPr>
      <w:r>
        <w:rPr>
          <w:b/>
        </w:rPr>
        <w:t>Less dependence on the supplier: wrong.</w:t>
      </w:r>
      <w:r>
        <w:rPr/>
        <w:t xml:space="preserve"> JIT makes the company </w:t>
      </w:r>
      <w:r>
        <w:rPr>
          <w:i/>
        </w:rPr>
        <w:t>more</w:t>
      </w:r>
      <w:r>
        <w:rPr/>
        <w:t xml:space="preserve"> dependent on the supplier, because there is no buffer to fall back on.</w:t>
      </w:r>
    </w:p>
    <w:p>
      <w:pPr>
        <w:pBdr>
          <w:bottom w:val="single" w:sz="8" w:space="1" w:color="000000"/>
        </w:pBdr>
        <w:spacing w:after="16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ACCA FM Mock Exam 01, page </w:t>
    </w:r>
    <w:r>
      <w:rPr>
        <w:color w:val="000000"/>
        <w:sz w:val="16"/>
      </w:rPr>
      <w:fldChar w:fldCharType="begin"/>
      <w:instrText xml:space="preserve">PAGE</w:instrText>
      <w:fldChar w:fldCharType="end"/>
    </w:r>
    <w:r>
      <w:rPr>
        <w:color w:val="000000"/>
        <w:sz w:val="16"/>
      </w:rPr>
      <w:t xml:space="preserve"> of </w:t>
    </w:r>
    <w:r>
      <w:rPr>
        <w:color w:val="00000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s="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ACCA FM Mock Exam 01</dc:title>
  <dc:subject/>
  <dc:creator>ACCA Exam Vault</dc:creator>
  <cp:keywords/>
  <dc:description>generated by python-docx</dc:description>
  <cp:lastModifiedBy/>
  <cp:revision>1</cp:revision>
  <dcterms:created xsi:type="dcterms:W3CDTF">2013-12-23T23:15:00Z</dcterms:created>
  <dcterms:modified xsi:type="dcterms:W3CDTF">2013-12-23T23:15:00Z</dcterms:modified>
  <cp:category/>
</cp:coreProperties>
</file>