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000" w:before="0"/>
      </w:pPr>
    </w:p>
    <w:p>
      <w:pPr>
        <w:keepNext w:val="0"/>
        <w:spacing w:after="40" w:before="0"/>
        <w:jc w:val="center"/>
      </w:pPr>
      <w:r>
        <w:rPr>
          <w:sz w:val="28"/>
        </w:rPr>
        <w:t>ACCA</w:t>
      </w:r>
    </w:p>
    <w:p>
      <w:pPr>
        <w:keepNext w:val="0"/>
        <w:spacing w:after="120" w:before="0"/>
        <w:jc w:val="center"/>
      </w:pPr>
      <w:r>
        <w:rPr>
          <w:b/>
          <w:sz w:val="44"/>
        </w:rPr>
        <w:t>Financial Management (FM)</w:t>
      </w:r>
    </w:p>
    <w:p>
      <w:pPr>
        <w:keepNext w:val="0"/>
        <w:spacing w:after="80" w:before="0"/>
        <w:jc w:val="center"/>
      </w:pPr>
      <w:r>
        <w:rPr>
          <w:sz w:val="30"/>
        </w:rPr>
        <w:t>Mock Examination 01: Solutions and Examiner Rationale</w:t>
      </w:r>
    </w:p>
    <w:p>
      <w:pPr>
        <w:keepNext w:val="0"/>
        <w:spacing w:after="80" w:before="0"/>
        <w:jc w:val="center"/>
      </w:pPr>
      <w:r>
        <w:rPr>
          <w:sz w:val="20"/>
        </w:rPr>
        <w:t>For use with the question paper FM_Mock_Exam_01_Questions.docx</w:t>
      </w:r>
    </w:p>
    <w:p>
      <w:pPr>
        <w:pStyle w:val="Heading1"/>
        <w:pageBreakBefore/>
      </w:pPr>
      <w:r>
        <w:rPr>
          <w:b/>
          <w:color w:val="000000"/>
        </w:rPr>
        <w:t>Answer Key and Examiner Rationale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"/>
        <w:gridCol w:w="3289"/>
        <w:gridCol w:w="822"/>
        <w:gridCol w:w="2101"/>
        <w:gridCol w:w="2741"/>
      </w:tblGrid>
      <w:tr>
        <w:trPr>
          <w:cantSplit/>
          <w:tblHeader/>
        </w:trPr>
        <w:tc>
          <w:tcPr>
            <w:tcW w:type="dxa" w:w="457"/>
          </w:tcPr>
          <w:p>
            <w:pPr>
              <w:spacing w:after="0"/>
            </w:pPr>
            <w:r>
              <w:rPr>
                <w:b/>
                <w:sz w:val="19"/>
              </w:rPr>
              <w:t>Q</w:t>
            </w:r>
          </w:p>
        </w:tc>
        <w:tc>
          <w:tcPr>
            <w:tcW w:type="dxa" w:w="328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Answer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Level</w:t>
            </w:r>
          </w:p>
        </w:tc>
        <w:tc>
          <w:tcPr>
            <w:tcW w:type="dxa" w:w="2101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Format</w:t>
            </w:r>
          </w:p>
        </w:tc>
        <w:tc>
          <w:tcPr>
            <w:tcW w:type="dxa" w:w="2741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Chapter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True, False, True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Easy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T/F matrix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1 FM function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Statement combination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1 FM function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Economy, Efficiency, Effectiveness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Classification grid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1 FM function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289"/>
          </w:tcPr>
          <w:p>
            <w:pPr>
              <w:spacing w:after="0"/>
              <w:jc w:val="center"/>
            </w:pPr>
            <w:r>
              <w:rPr>
                <w:sz w:val="19"/>
              </w:rPr>
              <w:t>12.1%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Numeric entry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1 FM function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2 Basic investment appraisal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2 Basic investment appraisal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3 DCF techniques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Easy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3 DCF techniques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3 DCF techniques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2nd and 4th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Which TWO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3 DCF techniques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3289"/>
          </w:tcPr>
          <w:p>
            <w:pPr>
              <w:spacing w:after="0"/>
              <w:jc w:val="center"/>
            </w:pPr>
            <w:r>
              <w:rPr>
                <w:sz w:val="19"/>
              </w:rPr>
              <w:t>10.1%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Numeric entry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3 DCF techniques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8 Inventory control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Statement combination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8 Inventory control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7 Working capital management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1st and 3rd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Easy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Which TWO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7 Working capital management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3 DCF techniques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17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2nd and 4th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Easy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Which TWO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3 DCF techniques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18</w:t>
            </w:r>
          </w:p>
        </w:tc>
        <w:tc>
          <w:tcPr>
            <w:tcW w:type="dxa" w:w="3289"/>
          </w:tcPr>
          <w:p>
            <w:pPr>
              <w:spacing w:after="0"/>
              <w:jc w:val="center"/>
            </w:pPr>
            <w:r>
              <w:rPr>
                <w:sz w:val="19"/>
              </w:rPr>
              <w:t>$39,150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Numeric entry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3 DCF techniques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19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3 DCF techniques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True, True, False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T/F matrix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3 DCF techniques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21</w:t>
            </w:r>
          </w:p>
        </w:tc>
        <w:tc>
          <w:tcPr>
            <w:tcW w:type="dxa" w:w="3289"/>
          </w:tcPr>
          <w:p>
            <w:pPr>
              <w:spacing w:after="0"/>
              <w:jc w:val="center"/>
            </w:pPr>
            <w:r>
              <w:rPr>
                <w:sz w:val="19"/>
              </w:rPr>
              <w:t>50 days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Numeric entry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7 Working capital management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8 Inventory control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23</w:t>
            </w:r>
          </w:p>
        </w:tc>
        <w:tc>
          <w:tcPr>
            <w:tcW w:type="dxa" w:w="3289"/>
          </w:tcPr>
          <w:p>
            <w:pPr>
              <w:spacing w:after="0"/>
              <w:jc w:val="center"/>
            </w:pPr>
            <w:r>
              <w:rPr>
                <w:sz w:val="19"/>
              </w:rPr>
              <w:t>1,408 units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Hard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Numeric entry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8 Inventory control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24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Grid MCQ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7 Working capital management</w:t>
            </w:r>
          </w:p>
        </w:tc>
      </w:tr>
      <w:tr>
        <w:trPr>
          <w:cantSplit/>
        </w:trPr>
        <w:tc>
          <w:tcPr>
            <w:tcW w:type="dxa" w:w="457"/>
          </w:tcPr>
          <w:p>
            <w:pPr>
              <w:spacing w:after="0"/>
            </w:pPr>
            <w:r>
              <w:rPr>
                <w:sz w:val="19"/>
              </w:rPr>
              <w:t>25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1st and 2nd</w:t>
            </w:r>
          </w:p>
        </w:tc>
        <w:tc>
          <w:tcPr>
            <w:tcW w:type="dxa" w:w="822"/>
          </w:tcPr>
          <w:p>
            <w:pPr>
              <w:spacing w:after="0"/>
            </w:pPr>
            <w:r>
              <w:rPr>
                <w:sz w:val="19"/>
              </w:rPr>
              <w:t>Easy</w:t>
            </w:r>
          </w:p>
        </w:tc>
        <w:tc>
          <w:tcPr>
            <w:tcW w:type="dxa" w:w="2101"/>
          </w:tcPr>
          <w:p>
            <w:pPr>
              <w:spacing w:after="0"/>
            </w:pPr>
            <w:r>
              <w:rPr>
                <w:sz w:val="19"/>
              </w:rPr>
              <w:t>Which TWO</w:t>
            </w:r>
          </w:p>
        </w:tc>
        <w:tc>
          <w:tcPr>
            <w:tcW w:type="dxa" w:w="2741"/>
          </w:tcPr>
          <w:p>
            <w:pPr>
              <w:spacing w:after="0"/>
            </w:pPr>
            <w:r>
              <w:rPr>
                <w:sz w:val="19"/>
              </w:rPr>
              <w:t>8 Inventory control</w:t>
            </w:r>
          </w:p>
        </w:tc>
      </w:tr>
    </w:tbl>
    <w:p>
      <w:pPr>
        <w:spacing w:after="120"/>
      </w:pPr>
    </w:p>
    <w:p>
      <w:pPr>
        <w:pStyle w:val="Heading3"/>
        <w:pageBreakBefore w:val="0"/>
      </w:pPr>
      <w:r>
        <w:rPr>
          <w:b/>
          <w:color w:val="000000"/>
        </w:rPr>
        <w:t>Question 1: True, False, True</w:t>
      </w:r>
    </w:p>
    <w:p>
      <w:pPr>
        <w:pStyle w:val="ListBullet"/>
        <w:spacing w:after="40"/>
      </w:pPr>
      <w:r>
        <w:rPr>
          <w:b/>
        </w:rPr>
        <w:t>True.</w:t>
      </w:r>
      <w:r>
        <w:rPr/>
        <w:t xml:space="preserve"> Investment, financing and dividend decisions affect each other. For example, cash paid as dividends cannot be retained to finance investment.</w:t>
      </w:r>
    </w:p>
    <w:p>
      <w:pPr>
        <w:pStyle w:val="ListBullet"/>
        <w:spacing w:after="40"/>
      </w:pPr>
      <w:r>
        <w:rPr>
          <w:b/>
        </w:rPr>
        <w:t>False.</w:t>
      </w:r>
      <w:r>
        <w:rPr/>
        <w:t xml:space="preserve"> This is the trap. Profit is an accounting measure: it ignores risk, the timing of cash flows and the cost of capital, and it can be raised by cutting R&amp;D at the expense of future value. Shareholder wealth depends on the present value of future cash flows.</w:t>
      </w:r>
    </w:p>
    <w:p>
      <w:pPr>
        <w:pStyle w:val="ListBullet"/>
        <w:spacing w:after="40"/>
      </w:pPr>
      <w:r>
        <w:rPr>
          <w:b/>
        </w:rPr>
        <w:t>True.</w:t>
      </w:r>
      <w:r>
        <w:rPr/>
        <w:t xml:space="preserve"> Working capital management is part of the FM syllabus.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2: A (1 and 3 only)</w:t>
      </w:r>
    </w:p>
    <w:p>
      <w:pPr>
        <w:pStyle w:val="ListBullet"/>
        <w:spacing w:after="40"/>
      </w:pPr>
      <w:r>
        <w:rPr>
          <w:b/>
        </w:rPr>
        <w:t>(1) Correct.</w:t>
      </w:r>
      <w:r>
        <w:rPr/>
        <w:t xml:space="preserve"> Long-term share awards linked to relative TSR reward directors for creating shareholder wealth over a long horizon.</w:t>
      </w:r>
    </w:p>
    <w:p>
      <w:pPr>
        <w:pStyle w:val="ListBullet"/>
        <w:spacing w:after="40"/>
      </w:pPr>
      <w:r>
        <w:rPr>
          <w:b/>
        </w:rPr>
        <w:t>(2) Incorrect.</w:t>
      </w:r>
      <w:r>
        <w:rPr/>
        <w:t xml:space="preserve"> This is the trap: it </w:t>
      </w:r>
      <w:r>
        <w:rPr>
          <w:i/>
        </w:rPr>
        <w:t>sounds</w:t>
      </w:r>
      <w:r>
        <w:rPr/>
        <w:t xml:space="preserve"> like performance pay, but an annual bonus on reported profit encourages short-termism and creative accounting.</w:t>
      </w:r>
    </w:p>
    <w:p>
      <w:pPr>
        <w:pStyle w:val="ListBullet"/>
        <w:spacing w:after="40"/>
      </w:pPr>
      <w:r>
        <w:rPr>
          <w:b/>
        </w:rPr>
        <w:t>(3) Correct.</w:t>
      </w:r>
      <w:r>
        <w:rPr/>
        <w:t xml:space="preserve"> Independent NEDs on the remuneration committee are a corporate governance safeguard.</w:t>
      </w:r>
    </w:p>
    <w:p>
      <w:pPr>
        <w:pStyle w:val="ListBullet"/>
        <w:spacing w:after="40"/>
      </w:pPr>
      <w:r>
        <w:rPr>
          <w:b/>
        </w:rPr>
        <w:t>(4) Incorrect.</w:t>
      </w:r>
      <w:r>
        <w:rPr/>
        <w:t xml:space="preserve"> Long notice periods entrench directors and make failure expensive for shareholders to remove, which makes the agency problem worse.</w:t>
      </w:r>
    </w:p>
    <w:p>
      <w:pPr>
        <w:pStyle w:val="ListBullet"/>
        <w:spacing w:after="40"/>
      </w:pPr>
      <w:r>
        <w:rPr/>
        <w:t>Options B, C and D each include either (2) or (4).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3: Economy, Efficiency, Effectiveness</w:t>
      </w:r>
    </w:p>
    <w:p>
      <w:pPr>
        <w:pStyle w:val="ListBullet"/>
        <w:spacing w:after="40"/>
      </w:pPr>
      <w:r>
        <w:rPr>
          <w:b/>
        </w:rPr>
        <w:t>Fuel price vs benchmark = Economy:</w:t>
      </w:r>
      <w:r>
        <w:rPr/>
        <w:t xml:space="preserve"> obtaining inputs of the right quality at the lowest cost.</w:t>
      </w:r>
    </w:p>
    <w:p>
      <w:pPr>
        <w:pStyle w:val="ListBullet"/>
        <w:spacing w:after="40"/>
      </w:pPr>
      <w:r>
        <w:rPr>
          <w:b/>
        </w:rPr>
        <w:t>Journeys per vehicle per day = Efficiency:</w:t>
      </w:r>
      <w:r>
        <w:rPr/>
        <w:t xml:space="preserve"> the ratio of output to input.</w:t>
      </w:r>
    </w:p>
    <w:p>
      <w:pPr>
        <w:pStyle w:val="ListBullet"/>
        <w:spacing w:after="40"/>
      </w:pPr>
      <w:r>
        <w:rPr>
          <w:b/>
        </w:rPr>
        <w:t>On-time arrival against target = Effectiveness:</w:t>
      </w:r>
      <w:r>
        <w:rPr/>
        <w:t xml:space="preserve"> how far the service meets its objectives.</w:t>
      </w:r>
    </w:p>
    <w:p>
      <w:pPr>
        <w:pStyle w:val="ListBullet"/>
        <w:spacing w:after="40"/>
      </w:pPr>
      <w:r>
        <w:rPr>
          <w:b/>
        </w:rPr>
        <w:t>Trap:</w:t>
      </w:r>
      <w:r>
        <w:rPr/>
        <w:t xml:space="preserve"> candidates often call the journeys measure "effectiveness" because it sounds like an outcome. It measures </w:t>
      </w:r>
      <w:r>
        <w:rPr>
          <w:i/>
        </w:rPr>
        <w:t>productivity of a resource</w:t>
      </w:r>
      <w:r>
        <w:rPr/>
        <w:t>, not whether the objective was met.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4: 12.1%</w:t>
      </w:r>
    </w:p>
    <w:p>
      <w:pPr>
        <w:keepNext w:val="0"/>
        <w:spacing w:after="100" w:before="0"/>
      </w:pPr>
      <w:r>
        <w:rPr/>
        <w:t xml:space="preserve">TSR = (P₁ − P₀ + D) / P₀ = (5.16 − 4.80 + 0.22) / 4.80 = 0.58 / 4.80 = </w:t>
      </w:r>
      <w:r>
        <w:rPr>
          <w:b/>
        </w:rPr>
        <w:t>12.08%, rounded to 12.1%</w:t>
      </w:r>
    </w:p>
    <w:p>
      <w:pPr>
        <w:keepNext w:val="0"/>
        <w:spacing w:after="100" w:before="0"/>
      </w:pPr>
      <w:r>
        <w:rPr/>
        <w:t>Common wrong answers:</w:t>
      </w:r>
    </w:p>
    <w:p>
      <w:pPr>
        <w:pStyle w:val="ListBullet"/>
        <w:spacing w:after="40"/>
      </w:pPr>
      <w:r>
        <w:rPr/>
        <w:t>Capital gain only: 0.36 / 4.80 = 7.5%</w:t>
      </w:r>
    </w:p>
    <w:p>
      <w:pPr>
        <w:pStyle w:val="ListBullet"/>
        <w:spacing w:after="40"/>
      </w:pPr>
      <w:r>
        <w:rPr/>
        <w:t>Dividend yield only: 0.22 / 4.80 = 4.6%</w:t>
      </w:r>
    </w:p>
    <w:p>
      <w:pPr>
        <w:pStyle w:val="ListBullet"/>
        <w:spacing w:after="40"/>
      </w:pPr>
      <w:r>
        <w:rPr/>
        <w:t>Closing price as the denominator: 0.58 / 5.16 = 11.2%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5: B (29.6%)</w:t>
      </w:r>
    </w:p>
    <w:p>
      <w:pPr>
        <w:pStyle w:val="ListBullet"/>
        <w:spacing w:after="40"/>
      </w:pPr>
      <w:r>
        <w:rPr/>
        <w:t>Total depreciation = 480,000 − 60,000 = $420,000</w:t>
      </w:r>
    </w:p>
    <w:p>
      <w:pPr>
        <w:pStyle w:val="ListBullet"/>
        <w:spacing w:after="40"/>
      </w:pPr>
      <w:r>
        <w:rPr/>
        <w:t>Total profit = 900,000 − 420,000 = $480,000, so average annual profit = $80,000</w:t>
      </w:r>
    </w:p>
    <w:p>
      <w:pPr>
        <w:pStyle w:val="ListBullet"/>
        <w:spacing w:after="40"/>
      </w:pPr>
      <w:r>
        <w:rPr/>
        <w:t>Average investment = (initial investment + scrap) / 2 = (480,000 + 60,000) / 2 = $270,000</w:t>
      </w:r>
    </w:p>
    <w:p>
      <w:pPr>
        <w:pStyle w:val="ListBullet"/>
        <w:spacing w:after="40"/>
      </w:pPr>
      <w:r>
        <w:rPr/>
        <w:t xml:space="preserve">ROCE = 80,000 / 270,000 = </w:t>
      </w:r>
      <w:r>
        <w:rPr>
          <w:b/>
        </w:rPr>
        <w:t>29.6%</w:t>
      </w: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A (16.7%):</w:t>
      </w:r>
      <w:r>
        <w:rPr/>
        <w:t xml:space="preserve"> uses the initial investment, 80,000 / 480,000.</w:t>
      </w:r>
    </w:p>
    <w:p>
      <w:pPr>
        <w:pStyle w:val="ListBullet"/>
        <w:spacing w:after="40"/>
      </w:pPr>
      <w:r>
        <w:rPr>
          <w:b/>
        </w:rPr>
        <w:t>C (38.1%):</w:t>
      </w:r>
      <w:r>
        <w:rPr/>
        <w:t xml:space="preserve"> the main trap. It deducts the scrap value, (480,000 − 60,000) / 2 = 210,000. Scrap is </w:t>
      </w:r>
      <w:r>
        <w:rPr>
          <w:b/>
        </w:rPr>
        <w:t>added</w:t>
      </w:r>
      <w:r>
        <w:rPr/>
        <w:t xml:space="preserve"> because the asset is never depreciated below its scrap value.</w:t>
      </w:r>
    </w:p>
    <w:p>
      <w:pPr>
        <w:pStyle w:val="ListBullet"/>
        <w:spacing w:after="40"/>
      </w:pPr>
      <w:r>
        <w:rPr>
          <w:b/>
        </w:rPr>
        <w:t>D (55.6%):</w:t>
      </w:r>
      <w:r>
        <w:rPr/>
        <w:t xml:space="preserve"> uses cash flow instead of profit (150,000 / 270,000). ROCE is based on accounting profit after depreciation.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6: C (3 years 1 month)</w:t>
      </w:r>
    </w:p>
    <w:p>
      <w:pPr>
        <w:pStyle w:val="ListBullet"/>
        <w:spacing w:after="40"/>
      </w:pPr>
      <w:r>
        <w:rPr/>
        <w:t xml:space="preserve">Relevant outlay = 250,000 + 30,000 = $280,000. The $40,000 market research is a </w:t>
      </w:r>
      <w:r>
        <w:rPr>
          <w:b/>
        </w:rPr>
        <w:t>sunk cost</w:t>
      </w:r>
      <w:r>
        <w:rPr/>
        <w:t xml:space="preserve"> and is excluded. Working capital is a real cash outflow and is </w:t>
      </w:r>
      <w:r>
        <w:rPr>
          <w:b/>
        </w:rPr>
        <w:t>included</w:t>
      </w:r>
      <w:r>
        <w:rPr/>
        <w:t>.</w:t>
      </w:r>
    </w:p>
    <w:p>
      <w:pPr>
        <w:pStyle w:val="ListBullet"/>
        <w:spacing w:after="40"/>
      </w:pPr>
      <w:r>
        <w:rPr/>
        <w:t xml:space="preserve">Cumulative cash flows: Year 1 70,000, Year 2 160,000, Year 3 270,000. A further $10,000 is needed in Year 4: 10,000 / 120,000 × 12 = 1 month, so the answer is </w:t>
      </w:r>
      <w:r>
        <w:rPr>
          <w:b/>
        </w:rPr>
        <w:t>3 years 1 month</w:t>
      </w:r>
      <w:r>
        <w:rPr/>
        <w:t>.</w:t>
      </w: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A:</w:t>
      </w:r>
      <w:r>
        <w:rPr/>
        <w:t xml:space="preserve"> omits working capital (outlay $250,000): 2 years + 90/110 × 12 = 2 years 10 months.</w:t>
      </w:r>
    </w:p>
    <w:p>
      <w:pPr>
        <w:pStyle w:val="ListBullet"/>
        <w:spacing w:after="40"/>
      </w:pPr>
      <w:r>
        <w:rPr>
          <w:b/>
        </w:rPr>
        <w:t>B:</w:t>
      </w:r>
      <w:r>
        <w:rPr/>
        <w:t xml:space="preserve"> uses the average annual inflow: 280,000 / 97,500 = 2.87 years. That method is only valid when cash flows are constant.</w:t>
      </w:r>
    </w:p>
    <w:p>
      <w:pPr>
        <w:pStyle w:val="ListBullet"/>
        <w:spacing w:after="40"/>
      </w:pPr>
      <w:r>
        <w:rPr>
          <w:b/>
        </w:rPr>
        <w:t>D:</w:t>
      </w:r>
      <w:r>
        <w:rPr/>
        <w:t xml:space="preserve"> includes the sunk cost (outlay $320,000): 3 years + 50/120 × 12 = 3 years 5 months.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7: C ($102,690)</w:t>
      </w:r>
    </w:p>
    <w:p>
      <w:pPr>
        <w:keepNext w:val="0"/>
        <w:spacing w:after="100" w:before="0"/>
      </w:pPr>
      <w:r>
        <w:rPr/>
        <w:t>The receipts run from Year 3 to Year 7, so use the annuity factor for Years 1 to 7 less the factor for Years 1 to 2:</w:t>
      </w:r>
    </w:p>
    <w:p>
      <w:pPr>
        <w:pStyle w:val="ListBullet"/>
        <w:spacing w:after="40"/>
      </w:pPr>
      <w:r>
        <w:rPr/>
        <w:t>Annuity factor = 5.206 − 1.783 = 3.423</w:t>
      </w:r>
    </w:p>
    <w:p>
      <w:pPr>
        <w:pStyle w:val="ListBullet"/>
        <w:spacing w:after="40"/>
      </w:pPr>
      <w:r>
        <w:rPr/>
        <w:t xml:space="preserve">PV = 30,000 × 3.423 = </w:t>
      </w:r>
      <w:r>
        <w:rPr>
          <w:b/>
        </w:rPr>
        <w:t>$102,690</w:t>
      </w:r>
    </w:p>
    <w:p>
      <w:pPr>
        <w:keepNext w:val="0"/>
        <w:spacing w:after="100" w:before="0"/>
      </w:pPr>
      <w:r>
        <w:rPr/>
        <w:t>An alternative method gives the same answer to rounding: value the five receipts as an annuity one year before the first receipt (Year 2), then discount for two years: 30,000 × 3.993 × 0.857 = $102,660.</w:t>
      </w: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A ($78,870):</w:t>
      </w:r>
      <w:r>
        <w:rPr/>
        <w:t xml:space="preserve"> subtracts the factor for Years 1 to 3 (5.206 − 2.577 = 2.629), which values only four receipts (Years 4 to 7).</w:t>
      </w:r>
    </w:p>
    <w:p>
      <w:pPr>
        <w:pStyle w:val="ListBullet"/>
        <w:spacing w:after="40"/>
      </w:pPr>
      <w:r>
        <w:rPr>
          <w:b/>
        </w:rPr>
        <w:t>B ($95,113):</w:t>
      </w:r>
      <w:r>
        <w:rPr/>
        <w:t xml:space="preserve"> discounts the five-year annuity back with the Year 3 factor. This is the classic off-by-one trap: an annuity formula gives a value one year </w:t>
      </w:r>
      <w:r>
        <w:rPr>
          <w:b/>
        </w:rPr>
        <w:t>before</w:t>
      </w:r>
      <w:r>
        <w:rPr/>
        <w:t xml:space="preserve"> the first cash flow.</w:t>
      </w:r>
    </w:p>
    <w:p>
      <w:pPr>
        <w:pStyle w:val="ListBullet"/>
        <w:spacing w:after="40"/>
      </w:pPr>
      <w:r>
        <w:rPr>
          <w:b/>
        </w:rPr>
        <w:t>D ($119,790):</w:t>
      </w:r>
      <w:r>
        <w:rPr/>
        <w:t xml:space="preserve"> ignores the deferral and treats the receipts as Years 1 to 5.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8: C ($46,230)</w:t>
      </w:r>
    </w:p>
    <w:p>
      <w:pPr>
        <w:keepNext w:val="0"/>
        <w:spacing w:after="100" w:before="0"/>
      </w:pPr>
      <w:r>
        <w:rPr/>
        <w:t xml:space="preserve">PV = 10,000 × annuity factor (8%, 6 years) = 10,000 × 4.623 = </w:t>
      </w:r>
      <w:r>
        <w:rPr>
          <w:b/>
        </w:rPr>
        <w:t>$46,230</w:t>
      </w: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A ($37,800):</w:t>
      </w:r>
      <w:r>
        <w:rPr/>
        <w:t xml:space="preserve"> discounts every saving with the Year 6 factor (10,000 × 0.630 × 6).</w:t>
      </w:r>
    </w:p>
    <w:p>
      <w:pPr>
        <w:pStyle w:val="ListBullet"/>
        <w:spacing w:after="40"/>
      </w:pPr>
      <w:r>
        <w:rPr>
          <w:b/>
        </w:rPr>
        <w:t>B ($39,930):</w:t>
      </w:r>
      <w:r>
        <w:rPr/>
        <w:t xml:space="preserve"> uses the five-year annuity factor (3.993).</w:t>
      </w:r>
    </w:p>
    <w:p>
      <w:pPr>
        <w:pStyle w:val="ListBullet"/>
        <w:spacing w:after="40"/>
      </w:pPr>
      <w:r>
        <w:rPr>
          <w:b/>
        </w:rPr>
        <w:t>D ($60,000):</w:t>
      </w:r>
      <w:r>
        <w:rPr/>
        <w:t xml:space="preserve"> no discounting.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9: B ($76,320)</w:t>
      </w:r>
    </w:p>
    <w:p>
      <w:pPr>
        <w:keepNext w:val="0"/>
        <w:spacing w:after="100" w:before="0"/>
      </w:pPr>
      <w:r>
        <w:rPr/>
        <w:t>A payment made today is not discounted. The other four payments form an annuity for Years 1 to 4:</w:t>
      </w:r>
    </w:p>
    <w:p>
      <w:pPr>
        <w:pStyle w:val="ListBullet"/>
        <w:spacing w:after="40"/>
      </w:pPr>
      <w:r>
        <w:rPr/>
        <w:t xml:space="preserve">PV = 18,000 × (1 + 3.240) = 18,000 × 4.240 = </w:t>
      </w:r>
      <w:r>
        <w:rPr>
          <w:b/>
        </w:rPr>
        <w:t>$76,320</w:t>
      </w: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A ($70,020):</w:t>
      </w:r>
      <w:r>
        <w:rPr/>
        <w:t xml:space="preserve"> treats all five payments as arriving at the end of Years 1 to 5 (18,000 × 3.890). Payments in advance are worth more in PV terms.</w:t>
      </w:r>
    </w:p>
    <w:p>
      <w:pPr>
        <w:pStyle w:val="ListBullet"/>
        <w:spacing w:after="40"/>
      </w:pPr>
      <w:r>
        <w:rPr>
          <w:b/>
        </w:rPr>
        <w:t>C ($88,020):</w:t>
      </w:r>
      <w:r>
        <w:rPr/>
        <w:t xml:space="preserve"> adds 1 to the </w:t>
      </w:r>
      <w:r>
        <w:rPr>
          <w:b/>
        </w:rPr>
        <w:t>five</w:t>
      </w:r>
      <w:r>
        <w:rPr/>
        <w:t>-year factor, which counts six payments.</w:t>
      </w:r>
    </w:p>
    <w:p>
      <w:pPr>
        <w:pStyle w:val="ListBullet"/>
        <w:spacing w:after="40"/>
      </w:pPr>
      <w:r>
        <w:rPr>
          <w:b/>
        </w:rPr>
        <w:t>D ($90,000):</w:t>
      </w:r>
      <w:r>
        <w:rPr/>
        <w:t xml:space="preserve"> no discounting.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10: 2nd and 4th</w:t>
      </w:r>
    </w:p>
    <w:p>
      <w:pPr>
        <w:keepNext w:val="0"/>
        <w:spacing w:after="100" w:before="0"/>
      </w:pPr>
      <w:r>
        <w:rPr/>
        <w:t>Relevant cash flows are future, incremental cash flows that arise as a direct result of the decision.</w:t>
      </w:r>
    </w:p>
    <w:p>
      <w:pPr>
        <w:pStyle w:val="ListBullet"/>
        <w:spacing w:after="40"/>
      </w:pPr>
      <w:r>
        <w:rPr>
          <w:b/>
        </w:rPr>
        <w:t>Rent forgone: relevant.</w:t>
      </w:r>
      <w:r>
        <w:rPr/>
        <w:t xml:space="preserve"> It is an opportunity cost: the company loses this cash inflow if the project goes ahead.</w:t>
      </w:r>
    </w:p>
    <w:p>
      <w:pPr>
        <w:pStyle w:val="ListBullet"/>
        <w:spacing w:after="40"/>
      </w:pPr>
      <w:r>
        <w:rPr>
          <w:b/>
        </w:rPr>
        <w:t>Additional supervisor's salary: relevant.</w:t>
      </w:r>
      <w:r>
        <w:rPr/>
        <w:t xml:space="preserve"> It is an incremental cash cost.</w:t>
      </w:r>
    </w:p>
    <w:p>
      <w:pPr>
        <w:pStyle w:val="ListBullet"/>
        <w:spacing w:after="40"/>
      </w:pPr>
      <w:r>
        <w:rPr>
          <w:b/>
        </w:rPr>
        <w:t>Depreciation: not relevant.</w:t>
      </w:r>
      <w:r>
        <w:rPr/>
        <w:t xml:space="preserve"> It is not a cash flow. The cash cost of the equipment is included when it is paid.</w:t>
      </w:r>
    </w:p>
    <w:p>
      <w:pPr>
        <w:pStyle w:val="ListBullet"/>
        <w:spacing w:after="40"/>
      </w:pPr>
      <w:r>
        <w:rPr>
          <w:b/>
        </w:rPr>
        <w:t>Loan interest: not relevant.</w:t>
      </w:r>
      <w:r>
        <w:rPr/>
        <w:t xml:space="preserve"> Financing costs are allowed for in the discount rate. Including interest as a cash flow would count the cost of finance twice.</w:t>
      </w:r>
    </w:p>
    <w:p>
      <w:pPr>
        <w:pStyle w:val="ListBullet"/>
        <w:spacing w:after="40"/>
      </w:pPr>
      <w:r>
        <w:rPr>
          <w:b/>
        </w:rPr>
        <w:t>Apportioned head office costs: not relevant.</w:t>
      </w:r>
      <w:r>
        <w:rPr/>
        <w:t xml:space="preserve"> Total head office costs do not change because of the project.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11: 10.1%</w:t>
      </w:r>
    </w:p>
    <w:p>
      <w:pPr>
        <w:keepNext w:val="0"/>
        <w:spacing w:after="100" w:before="0"/>
      </w:pPr>
      <w:r>
        <w:rPr/>
        <w:t>For an annuity, the IRR is the rate at which the annuity factor equals investment ÷ annual inflow:</w:t>
      </w:r>
    </w:p>
    <w:p>
      <w:pPr>
        <w:pStyle w:val="ListBullet"/>
        <w:spacing w:after="40"/>
      </w:pPr>
      <w:r>
        <w:rPr/>
        <w:t>Target factor = 100,000 / 23,000 = 4.348</w:t>
      </w:r>
    </w:p>
    <w:p>
      <w:pPr>
        <w:pStyle w:val="ListBullet"/>
        <w:spacing w:after="40"/>
      </w:pPr>
      <w:r>
        <w:rPr/>
        <w:t>Six-year annuity factors: 10% = 4.355, 11% = 4.231</w:t>
      </w:r>
    </w:p>
    <w:p>
      <w:pPr>
        <w:pStyle w:val="ListBullet"/>
        <w:spacing w:after="40"/>
      </w:pPr>
      <w:r>
        <w:rPr/>
        <w:t xml:space="preserve">IRR = 10% + [(4.355 − 4.348) / (4.355 − 4.231)] × 1% = 10% + 0.06% = </w:t>
      </w:r>
      <w:r>
        <w:rPr>
          <w:b/>
        </w:rPr>
        <w:t>10.1%</w:t>
      </w:r>
    </w:p>
    <w:p>
      <w:pPr>
        <w:keepNext w:val="0"/>
        <w:spacing w:after="100" w:before="0"/>
      </w:pPr>
      <w:r>
        <w:rPr/>
        <w:t>Traps:</w:t>
      </w:r>
    </w:p>
    <w:p>
      <w:pPr>
        <w:pStyle w:val="ListBullet"/>
        <w:spacing w:after="40"/>
      </w:pPr>
      <w:r>
        <w:rPr/>
        <w:t>Reading the factor from the five-year row: the target factor 4.348 is close to the 5-year factor at 5% (4.329), which gives about 5%.</w:t>
      </w:r>
    </w:p>
    <w:p>
      <w:pPr>
        <w:pStyle w:val="ListBullet"/>
        <w:spacing w:after="40"/>
      </w:pPr>
      <w:r>
        <w:rPr/>
        <w:t>Taking the reciprocal of the payback period (23,000 / 100,000 = 23.0%). That is only an approximation for very long-lived projects.</w:t>
      </w:r>
    </w:p>
    <w:p>
      <w:pPr>
        <w:pStyle w:val="ListBullet"/>
        <w:spacing w:after="40"/>
      </w:pPr>
      <w:r>
        <w:rPr/>
        <w:t>Stopping at 10% without interpolating, when the question asks for one decimal place.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12: B ($8,750)</w:t>
      </w:r>
    </w:p>
    <w:p>
      <w:pPr>
        <w:pStyle w:val="ListBullet"/>
        <w:spacing w:after="40"/>
      </w:pPr>
      <w:r>
        <w:rPr/>
        <w:t>Average inventory = buffer inventory + order quantity / 2 = 1,500 + 4,000 / 2 = 3,500 units</w:t>
      </w:r>
    </w:p>
    <w:p>
      <w:pPr>
        <w:pStyle w:val="ListBullet"/>
        <w:spacing w:after="40"/>
      </w:pPr>
      <w:r>
        <w:rPr/>
        <w:t xml:space="preserve">Holding cost = 3,500 × $2.50 = </w:t>
      </w:r>
      <w:r>
        <w:rPr>
          <w:b/>
        </w:rPr>
        <w:t>$8,750</w:t>
      </w: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A ($5,000):</w:t>
      </w:r>
      <w:r>
        <w:rPr/>
        <w:t xml:space="preserve"> ignores the buffer inventory (2,000 × 2.50). Buffer inventory is held all the time, so it adds to average inventory in full.</w:t>
      </w:r>
    </w:p>
    <w:p>
      <w:pPr>
        <w:pStyle w:val="ListBullet"/>
        <w:spacing w:after="40"/>
      </w:pPr>
      <w:r>
        <w:rPr>
          <w:b/>
        </w:rPr>
        <w:t>C ($11,250):</w:t>
      </w:r>
      <w:r>
        <w:rPr/>
        <w:t xml:space="preserve"> values the reorder level instead of average inventory. The reorder level is 1,500 + (1,000 × 3) = 4,500 units.</w:t>
      </w:r>
    </w:p>
    <w:p>
      <w:pPr>
        <w:pStyle w:val="ListBullet"/>
        <w:spacing w:after="40"/>
      </w:pPr>
      <w:r>
        <w:rPr>
          <w:b/>
        </w:rPr>
        <w:t>D ($13,750):</w:t>
      </w:r>
      <w:r>
        <w:rPr/>
        <w:t xml:space="preserve"> uses buffer inventory plus the </w:t>
      </w:r>
      <w:r>
        <w:rPr>
          <w:b/>
        </w:rPr>
        <w:t>whole</w:t>
      </w:r>
      <w:r>
        <w:rPr/>
        <w:t xml:space="preserve"> order quantity (5,500 units), which is the maximum inventory, not the average.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13: A (1 and 3 only)</w:t>
      </w:r>
    </w:p>
    <w:p>
      <w:pPr>
        <w:pStyle w:val="ListBullet"/>
        <w:spacing w:after="40"/>
      </w:pPr>
      <w:r>
        <w:rPr>
          <w:b/>
        </w:rPr>
        <w:t>(1) True.</w:t>
      </w:r>
      <w:r>
        <w:rPr/>
        <w:t xml:space="preserve"> JIT depends on suppliers who deliver small quantities on time, which needs close long-term relationships.</w:t>
      </w:r>
    </w:p>
    <w:p>
      <w:pPr>
        <w:pStyle w:val="ListBullet"/>
        <w:spacing w:after="40"/>
      </w:pPr>
      <w:r>
        <w:rPr>
          <w:b/>
        </w:rPr>
        <w:t>(2) False.</w:t>
      </w:r>
      <w:r>
        <w:rPr/>
        <w:t xml:space="preserve"> JIT aims to </w:t>
      </w:r>
      <w:r>
        <w:rPr>
          <w:b/>
        </w:rPr>
        <w:t>eliminate</w:t>
      </w:r>
      <w:r>
        <w:rPr/>
        <w:t xml:space="preserve"> buffer inventory, not increase it.</w:t>
      </w:r>
    </w:p>
    <w:p>
      <w:pPr>
        <w:pStyle w:val="ListBullet"/>
        <w:spacing w:after="40"/>
      </w:pPr>
      <w:r>
        <w:rPr>
          <w:b/>
        </w:rPr>
        <w:t>(3) True.</w:t>
      </w:r>
      <w:r>
        <w:rPr/>
        <w:t xml:space="preserve"> Lower inventory cuts holding costs, but there is no buffer to protect production if a delivery fails.</w:t>
      </w:r>
    </w:p>
    <w:p>
      <w:pPr>
        <w:pStyle w:val="ListBullet"/>
        <w:spacing w:after="40"/>
      </w:pPr>
      <w:r>
        <w:rPr>
          <w:b/>
        </w:rPr>
        <w:t>(4) False.</w:t>
      </w:r>
      <w:r>
        <w:rPr/>
        <w:t xml:space="preserve"> JIT means frequent small deliveries, so large orders that earn bulk discounts are usually given up.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14: B ($2.3 million)</w:t>
      </w:r>
    </w:p>
    <w:p>
      <w:pPr>
        <w:keepNext w:val="0"/>
        <w:spacing w:after="100" w:before="0"/>
      </w:pPr>
      <w:r>
        <w:rPr/>
        <w:t>Each period must be applied to the right base: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96"/>
        <w:gridCol w:w="3683"/>
        <w:gridCol w:w="1432"/>
      </w:tblGrid>
      <w:tr>
        <w:trPr>
          <w:cantSplit/>
          <w:tblHeader/>
        </w:trPr>
        <w:tc>
          <w:tcPr>
            <w:tcW w:type="dxa" w:w="4296"/>
          </w:tcPr>
          <w:p>
            <w:pPr>
              <w:spacing w:after="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3683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Workings</w:t>
            </w:r>
          </w:p>
        </w:tc>
        <w:tc>
          <w:tcPr>
            <w:tcW w:type="dxa" w:w="143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$m</w:t>
            </w:r>
          </w:p>
        </w:tc>
      </w:tr>
      <w:tr>
        <w:trPr>
          <w:cantSplit/>
        </w:trPr>
        <w:tc>
          <w:tcPr>
            <w:tcW w:type="dxa" w:w="4296"/>
          </w:tcPr>
          <w:p>
            <w:pPr>
              <w:spacing w:after="0"/>
            </w:pPr>
            <w:r>
              <w:rPr>
                <w:sz w:val="19"/>
              </w:rPr>
              <w:t>Inventory</w:t>
            </w:r>
          </w:p>
        </w:tc>
        <w:tc>
          <w:tcPr>
            <w:tcW w:type="dxa" w:w="3683"/>
          </w:tcPr>
          <w:p>
            <w:pPr>
              <w:spacing w:after="0"/>
            </w:pPr>
            <w:r>
              <w:rPr>
                <w:sz w:val="19"/>
              </w:rPr>
              <w:t>10.95 × 40 / 365</w:t>
            </w:r>
          </w:p>
        </w:tc>
        <w:tc>
          <w:tcPr>
            <w:tcW w:type="dxa" w:w="1432"/>
          </w:tcPr>
          <w:p>
            <w:pPr>
              <w:spacing w:after="0"/>
              <w:jc w:val="center"/>
            </w:pPr>
            <w:r>
              <w:rPr>
                <w:sz w:val="19"/>
              </w:rPr>
              <w:t>1.2</w:t>
            </w:r>
          </w:p>
        </w:tc>
      </w:tr>
      <w:tr>
        <w:trPr>
          <w:cantSplit/>
        </w:trPr>
        <w:tc>
          <w:tcPr>
            <w:tcW w:type="dxa" w:w="4296"/>
          </w:tcPr>
          <w:p>
            <w:pPr>
              <w:spacing w:after="0"/>
            </w:pPr>
            <w:r>
              <w:rPr>
                <w:sz w:val="19"/>
              </w:rPr>
              <w:t>Trade receivables</w:t>
            </w:r>
          </w:p>
        </w:tc>
        <w:tc>
          <w:tcPr>
            <w:tcW w:type="dxa" w:w="3683"/>
          </w:tcPr>
          <w:p>
            <w:pPr>
              <w:spacing w:after="0"/>
            </w:pPr>
            <w:r>
              <w:rPr>
                <w:sz w:val="19"/>
              </w:rPr>
              <w:t>14.60 × 50 / 365</w:t>
            </w:r>
          </w:p>
        </w:tc>
        <w:tc>
          <w:tcPr>
            <w:tcW w:type="dxa" w:w="1432"/>
          </w:tcPr>
          <w:p>
            <w:pPr>
              <w:spacing w:after="0"/>
              <w:jc w:val="center"/>
            </w:pPr>
            <w:r>
              <w:rPr>
                <w:sz w:val="19"/>
              </w:rPr>
              <w:t>2.0</w:t>
            </w:r>
          </w:p>
        </w:tc>
      </w:tr>
      <w:tr>
        <w:trPr>
          <w:cantSplit/>
        </w:trPr>
        <w:tc>
          <w:tcPr>
            <w:tcW w:type="dxa" w:w="4296"/>
          </w:tcPr>
          <w:p>
            <w:pPr>
              <w:spacing w:after="0"/>
            </w:pPr>
            <w:r>
              <w:rPr>
                <w:sz w:val="19"/>
              </w:rPr>
              <w:t>Trade payables</w:t>
            </w:r>
          </w:p>
        </w:tc>
        <w:tc>
          <w:tcPr>
            <w:tcW w:type="dxa" w:w="3683"/>
          </w:tcPr>
          <w:p>
            <w:pPr>
              <w:spacing w:after="0"/>
            </w:pPr>
            <w:r>
              <w:rPr>
                <w:sz w:val="19"/>
              </w:rPr>
              <w:t>10.95 × 30 / 365</w:t>
            </w:r>
          </w:p>
        </w:tc>
        <w:tc>
          <w:tcPr>
            <w:tcW w:type="dxa" w:w="1432"/>
          </w:tcPr>
          <w:p>
            <w:pPr>
              <w:spacing w:after="0"/>
              <w:jc w:val="center"/>
            </w:pPr>
            <w:r>
              <w:rPr>
                <w:sz w:val="19"/>
              </w:rPr>
              <w:t>(0.9)</w:t>
            </w:r>
          </w:p>
        </w:tc>
      </w:tr>
      <w:tr>
        <w:trPr>
          <w:cantSplit/>
        </w:trPr>
        <w:tc>
          <w:tcPr>
            <w:tcW w:type="dxa" w:w="4296"/>
          </w:tcPr>
          <w:p>
            <w:pPr>
              <w:spacing w:after="0"/>
            </w:pPr>
            <w:r>
              <w:rPr>
                <w:b/>
                <w:sz w:val="19"/>
              </w:rPr>
              <w:t>Net working capital</w:t>
            </w:r>
          </w:p>
        </w:tc>
        <w:tc>
          <w:tcPr>
            <w:tcW w:type="dxa" w:w="3683"/>
          </w:tcPr>
          <w:p>
            <w:pPr>
              <w:spacing w:after="0"/>
            </w:pPr>
          </w:p>
        </w:tc>
        <w:tc>
          <w:tcPr>
            <w:tcW w:type="dxa" w:w="143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2.3</w:t>
            </w:r>
          </w:p>
        </w:tc>
      </w:tr>
    </w:tbl>
    <w:p>
      <w:pPr>
        <w:spacing w:after="120"/>
      </w:pP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A ($1.8m):</w:t>
      </w:r>
      <w:r>
        <w:rPr/>
        <w:t xml:space="preserve"> multiplies the cash operating cycle (40 + 50 − 30 = 60 days) by cost of sales. The cycle is a number of days; it cannot be applied to a single base because each component uses a different one.</w:t>
      </w:r>
    </w:p>
    <w:p>
      <w:pPr>
        <w:pStyle w:val="ListBullet"/>
        <w:spacing w:after="40"/>
      </w:pPr>
      <w:r>
        <w:rPr>
          <w:b/>
        </w:rPr>
        <w:t>C ($2.4m):</w:t>
      </w:r>
      <w:r>
        <w:rPr/>
        <w:t xml:space="preserve"> multiplies the 60-day cycle by revenue, with the same error.</w:t>
      </w:r>
    </w:p>
    <w:p>
      <w:pPr>
        <w:pStyle w:val="ListBullet"/>
        <w:spacing w:after="40"/>
      </w:pPr>
      <w:r>
        <w:rPr>
          <w:b/>
        </w:rPr>
        <w:t>D ($3.2m):</w:t>
      </w:r>
      <w:r>
        <w:rPr/>
        <w:t xml:space="preserve"> forgets to deduct trade payables.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15: "A rapid increase in sales revenue" and "A lengthening of trade payables days"</w:t>
      </w:r>
    </w:p>
    <w:p>
      <w:pPr>
        <w:keepNext w:val="0"/>
        <w:spacing w:after="100" w:before="0"/>
      </w:pPr>
      <w:r>
        <w:rPr/>
        <w:t>Overtrading means trading beyond the working capital base. Sales grow faster than the long-term finance supporting them, so the company relies on suppliers and the overdraft.</w:t>
      </w:r>
    </w:p>
    <w:p>
      <w:pPr>
        <w:keepNext w:val="0"/>
        <w:spacing w:after="100" w:before="0"/>
      </w:pPr>
      <w:r>
        <w:rPr/>
        <w:t>Why the others are wrong:</w:t>
      </w:r>
    </w:p>
    <w:p>
      <w:pPr>
        <w:pStyle w:val="ListBullet"/>
        <w:spacing w:after="40"/>
      </w:pPr>
      <w:r>
        <w:rPr>
          <w:b/>
        </w:rPr>
        <w:t>Rising liquidity ratios:</w:t>
      </w:r>
      <w:r>
        <w:rPr/>
        <w:t xml:space="preserve"> the current and quick ratios usually </w:t>
      </w:r>
      <w:r>
        <w:rPr>
          <w:i/>
        </w:rPr>
        <w:t>fall</w:t>
      </w:r>
      <w:r>
        <w:rPr/>
        <w:t>.</w:t>
      </w:r>
    </w:p>
    <w:p>
      <w:pPr>
        <w:pStyle w:val="ListBullet"/>
        <w:spacing w:after="40"/>
      </w:pPr>
      <w:r>
        <w:rPr>
          <w:b/>
        </w:rPr>
        <w:t>Falling overdraft:</w:t>
      </w:r>
      <w:r>
        <w:rPr/>
        <w:t xml:space="preserve"> the overdraft usually </w:t>
      </w:r>
      <w:r>
        <w:rPr>
          <w:i/>
        </w:rPr>
        <w:t>rises</w:t>
      </w:r>
      <w:r>
        <w:rPr/>
        <w:t>.</w:t>
      </w:r>
    </w:p>
    <w:p>
      <w:pPr>
        <w:pStyle w:val="ListBullet"/>
        <w:spacing w:after="40"/>
      </w:pPr>
      <w:r>
        <w:rPr>
          <w:b/>
        </w:rPr>
        <w:t>More long-term finance:</w:t>
      </w:r>
      <w:r>
        <w:rPr/>
        <w:t xml:space="preserve"> the cure for overtrading, not a symptom.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16: B ($15,000)</w:t>
      </w:r>
    </w:p>
    <w:p>
      <w:pPr>
        <w:keepNext w:val="0"/>
        <w:spacing w:after="100" w:before="0"/>
      </w:pPr>
      <w:r>
        <w:rPr/>
        <w:t xml:space="preserve">The relevant cost of materials that are already held and not otherwise needed is their </w:t>
      </w:r>
      <w:r>
        <w:rPr>
          <w:b/>
        </w:rPr>
        <w:t>opportunity cost</w:t>
      </w:r>
      <w:r>
        <w:rPr/>
        <w:t>: the best alternative given up. The two alternatives are mutually exclusive, so the higher one applies:</w:t>
      </w:r>
    </w:p>
    <w:p>
      <w:pPr>
        <w:pStyle w:val="ListBullet"/>
        <w:spacing w:after="40"/>
      </w:pPr>
      <w:r>
        <w:rPr/>
        <w:t>Sell now: $12,000</w:t>
      </w:r>
    </w:p>
    <w:p>
      <w:pPr>
        <w:pStyle w:val="ListBullet"/>
        <w:spacing w:after="40"/>
      </w:pPr>
      <w:r>
        <w:rPr/>
        <w:t>Use as a substitute: saves $15,000</w:t>
      </w:r>
    </w:p>
    <w:p>
      <w:pPr>
        <w:pStyle w:val="ListBullet"/>
        <w:spacing w:after="40"/>
      </w:pPr>
      <w:r>
        <w:rPr/>
        <w:t xml:space="preserve">Relevant cost = </w:t>
      </w:r>
      <w:r>
        <w:rPr>
          <w:b/>
        </w:rPr>
        <w:t>$15,000</w:t>
      </w: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A ($12,000):</w:t>
      </w:r>
      <w:r>
        <w:rPr/>
        <w:t xml:space="preserve"> uses the resale value, which is not the best alternative.</w:t>
      </w:r>
    </w:p>
    <w:p>
      <w:pPr>
        <w:pStyle w:val="ListBullet"/>
        <w:spacing w:after="40"/>
      </w:pPr>
      <w:r>
        <w:rPr>
          <w:b/>
        </w:rPr>
        <w:t>C ($27,000):</w:t>
      </w:r>
      <w:r>
        <w:rPr/>
        <w:t xml:space="preserve"> adds both alternatives, but the materials can only be used once.</w:t>
      </w:r>
    </w:p>
    <w:p>
      <w:pPr>
        <w:pStyle w:val="ListBullet"/>
        <w:spacing w:after="40"/>
      </w:pPr>
      <w:r>
        <w:rPr>
          <w:b/>
        </w:rPr>
        <w:t>D ($30,000):</w:t>
      </w:r>
      <w:r>
        <w:rPr/>
        <w:t xml:space="preserve"> uses the original cost, which is a sunk cost.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17: 2nd and 4th</w:t>
      </w:r>
    </w:p>
    <w:p>
      <w:pPr>
        <w:pStyle w:val="ListBullet"/>
        <w:spacing w:after="40"/>
      </w:pPr>
      <w:r>
        <w:rPr>
          <w:b/>
        </w:rPr>
        <w:t>Feasibility study: exclude.</w:t>
      </w:r>
      <w:r>
        <w:rPr/>
        <w:t xml:space="preserve"> It has already been paid, so it is a sunk cost.</w:t>
      </w:r>
    </w:p>
    <w:p>
      <w:pPr>
        <w:pStyle w:val="ListBullet"/>
        <w:spacing w:after="40"/>
      </w:pPr>
      <w:r>
        <w:rPr>
          <w:b/>
        </w:rPr>
        <w:t>Apportioned head office overheads: exclude.</w:t>
      </w:r>
      <w:r>
        <w:rPr/>
        <w:t xml:space="preserve"> Total overheads do not change, so they are not incremental.</w:t>
      </w:r>
    </w:p>
    <w:p>
      <w:pPr>
        <w:pStyle w:val="ListBullet"/>
        <w:spacing w:after="40"/>
      </w:pPr>
      <w:r>
        <w:rPr>
          <w:b/>
        </w:rPr>
        <w:t>Rent forgone: include.</w:t>
      </w:r>
      <w:r>
        <w:rPr/>
        <w:t xml:space="preserve"> It is an opportunity cost.</w:t>
      </w:r>
    </w:p>
    <w:p>
      <w:pPr>
        <w:pStyle w:val="ListBullet"/>
        <w:spacing w:after="40"/>
      </w:pPr>
      <w:r>
        <w:rPr>
          <w:b/>
        </w:rPr>
        <w:t>Working capital: include.</w:t>
      </w:r>
      <w:r>
        <w:rPr/>
        <w:t xml:space="preserve"> It is a cash outflow at the start, recovered at the end.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18: $39,150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6"/>
        <w:gridCol w:w="1278"/>
        <w:gridCol w:w="1162"/>
        <w:gridCol w:w="1162"/>
        <w:gridCol w:w="1162"/>
        <w:gridCol w:w="1162"/>
      </w:tblGrid>
      <w:tr>
        <w:trPr>
          <w:cantSplit/>
          <w:tblHeader/>
        </w:trPr>
        <w:tc>
          <w:tcPr>
            <w:tcW w:type="dxa" w:w="3486"/>
          </w:tcPr>
          <w:p>
            <w:pPr>
              <w:spacing w:after="0"/>
            </w:pPr>
            <w:r>
              <w:rPr>
                <w:b/>
                <w:sz w:val="19"/>
              </w:rPr>
              <w:t>Year</w:t>
            </w:r>
          </w:p>
        </w:tc>
        <w:tc>
          <w:tcPr>
            <w:tcW w:type="dxa" w:w="127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3486"/>
          </w:tcPr>
          <w:p>
            <w:pPr>
              <w:spacing w:after="0"/>
            </w:pPr>
            <w:r>
              <w:rPr>
                <w:sz w:val="19"/>
              </w:rPr>
              <w:t>Machine</w:t>
            </w:r>
          </w:p>
        </w:tc>
        <w:tc>
          <w:tcPr>
            <w:tcW w:type="dxa" w:w="1278"/>
          </w:tcPr>
          <w:p>
            <w:pPr>
              <w:spacing w:after="0"/>
              <w:jc w:val="center"/>
            </w:pPr>
            <w:r>
              <w:rPr>
                <w:sz w:val="19"/>
              </w:rPr>
              <w:t>(400,000)</w:t>
            </w:r>
          </w:p>
        </w:tc>
        <w:tc>
          <w:tcPr>
            <w:tcW w:type="dxa" w:w="1162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40,000</w:t>
            </w:r>
          </w:p>
        </w:tc>
      </w:tr>
      <w:tr>
        <w:trPr>
          <w:cantSplit/>
        </w:trPr>
        <w:tc>
          <w:tcPr>
            <w:tcW w:type="dxa" w:w="3486"/>
          </w:tcPr>
          <w:p>
            <w:pPr>
              <w:spacing w:after="0"/>
            </w:pPr>
            <w:r>
              <w:rPr>
                <w:sz w:val="19"/>
              </w:rPr>
              <w:t>Materials (opportunity cost)</w:t>
            </w:r>
          </w:p>
        </w:tc>
        <w:tc>
          <w:tcPr>
            <w:tcW w:type="dxa" w:w="1278"/>
          </w:tcPr>
          <w:p>
            <w:pPr>
              <w:spacing w:after="0"/>
              <w:jc w:val="center"/>
            </w:pPr>
            <w:r>
              <w:rPr>
                <w:sz w:val="19"/>
              </w:rPr>
              <w:t>(15,000)</w:t>
            </w:r>
          </w:p>
        </w:tc>
        <w:tc>
          <w:tcPr>
            <w:tcW w:type="dxa" w:w="1162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486"/>
          </w:tcPr>
          <w:p>
            <w:pPr>
              <w:spacing w:after="0"/>
            </w:pPr>
            <w:r>
              <w:rPr>
                <w:sz w:val="19"/>
              </w:rPr>
              <w:t>Working capital</w:t>
            </w:r>
          </w:p>
        </w:tc>
        <w:tc>
          <w:tcPr>
            <w:tcW w:type="dxa" w:w="1278"/>
          </w:tcPr>
          <w:p>
            <w:pPr>
              <w:spacing w:after="0"/>
              <w:jc w:val="center"/>
            </w:pPr>
            <w:r>
              <w:rPr>
                <w:sz w:val="19"/>
              </w:rPr>
              <w:t>(50,000)</w:t>
            </w:r>
          </w:p>
        </w:tc>
        <w:tc>
          <w:tcPr>
            <w:tcW w:type="dxa" w:w="1162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50,000</w:t>
            </w:r>
          </w:p>
        </w:tc>
      </w:tr>
      <w:tr>
        <w:trPr>
          <w:cantSplit/>
        </w:trPr>
        <w:tc>
          <w:tcPr>
            <w:tcW w:type="dxa" w:w="3486"/>
          </w:tcPr>
          <w:p>
            <w:pPr>
              <w:spacing w:after="0"/>
            </w:pPr>
            <w:r>
              <w:rPr>
                <w:sz w:val="19"/>
              </w:rPr>
              <w:t>Net operating inflows</w:t>
            </w:r>
          </w:p>
        </w:tc>
        <w:tc>
          <w:tcPr>
            <w:tcW w:type="dxa" w:w="1278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140,000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180,000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170,000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150,000</w:t>
            </w:r>
          </w:p>
        </w:tc>
      </w:tr>
      <w:tr>
        <w:trPr>
          <w:cantSplit/>
        </w:trPr>
        <w:tc>
          <w:tcPr>
            <w:tcW w:type="dxa" w:w="3486"/>
          </w:tcPr>
          <w:p>
            <w:pPr>
              <w:spacing w:after="0"/>
            </w:pPr>
            <w:r>
              <w:rPr>
                <w:sz w:val="19"/>
              </w:rPr>
              <w:t>Rent forgone</w:t>
            </w:r>
          </w:p>
        </w:tc>
        <w:tc>
          <w:tcPr>
            <w:tcW w:type="dxa" w:w="1278"/>
          </w:tcPr>
          <w:p>
            <w:pPr>
              <w:spacing w:after="0"/>
            </w:pP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(20,000)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(20,000)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(20,000)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(20,000)</w:t>
            </w:r>
          </w:p>
        </w:tc>
      </w:tr>
      <w:tr>
        <w:trPr>
          <w:cantSplit/>
        </w:trPr>
        <w:tc>
          <w:tcPr>
            <w:tcW w:type="dxa" w:w="3486"/>
          </w:tcPr>
          <w:p>
            <w:pPr>
              <w:spacing w:after="0"/>
            </w:pPr>
            <w:r>
              <w:rPr>
                <w:b/>
                <w:sz w:val="19"/>
              </w:rPr>
              <w:t>Net cash flow</w:t>
            </w:r>
          </w:p>
        </w:tc>
        <w:tc>
          <w:tcPr>
            <w:tcW w:type="dxa" w:w="127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(465,000)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120,000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160,000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150,000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220,000</w:t>
            </w:r>
          </w:p>
        </w:tc>
      </w:tr>
      <w:tr>
        <w:trPr>
          <w:cantSplit/>
        </w:trPr>
        <w:tc>
          <w:tcPr>
            <w:tcW w:type="dxa" w:w="3486"/>
          </w:tcPr>
          <w:p>
            <w:pPr>
              <w:spacing w:after="0"/>
            </w:pPr>
            <w:r>
              <w:rPr>
                <w:sz w:val="19"/>
              </w:rPr>
              <w:t>Discount factor at 10%</w:t>
            </w:r>
          </w:p>
        </w:tc>
        <w:tc>
          <w:tcPr>
            <w:tcW w:type="dxa" w:w="1278"/>
          </w:tcPr>
          <w:p>
            <w:pPr>
              <w:spacing w:after="0"/>
              <w:jc w:val="center"/>
            </w:pPr>
            <w:r>
              <w:rPr>
                <w:sz w:val="19"/>
              </w:rPr>
              <w:t>1.000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0.909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0.826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0.751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0.683</w:t>
            </w:r>
          </w:p>
        </w:tc>
      </w:tr>
      <w:tr>
        <w:trPr>
          <w:cantSplit/>
        </w:trPr>
        <w:tc>
          <w:tcPr>
            <w:tcW w:type="dxa" w:w="3486"/>
          </w:tcPr>
          <w:p>
            <w:pPr>
              <w:spacing w:after="0"/>
            </w:pPr>
            <w:r>
              <w:rPr>
                <w:sz w:val="19"/>
              </w:rPr>
              <w:t>Present value</w:t>
            </w:r>
          </w:p>
        </w:tc>
        <w:tc>
          <w:tcPr>
            <w:tcW w:type="dxa" w:w="1278"/>
          </w:tcPr>
          <w:p>
            <w:pPr>
              <w:spacing w:after="0"/>
              <w:jc w:val="center"/>
            </w:pPr>
            <w:r>
              <w:rPr>
                <w:sz w:val="19"/>
              </w:rPr>
              <w:t>(465,000)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109,080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132,160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112,650</w:t>
            </w:r>
          </w:p>
        </w:tc>
        <w:tc>
          <w:tcPr>
            <w:tcW w:type="dxa" w:w="1162"/>
          </w:tcPr>
          <w:p>
            <w:pPr>
              <w:spacing w:after="0"/>
              <w:jc w:val="center"/>
            </w:pPr>
            <w:r>
              <w:rPr>
                <w:sz w:val="19"/>
              </w:rPr>
              <w:t>150,260</w:t>
            </w:r>
          </w:p>
        </w:tc>
      </w:tr>
    </w:tbl>
    <w:p>
      <w:pPr>
        <w:spacing w:after="120"/>
      </w:pPr>
    </w:p>
    <w:p>
      <w:pPr>
        <w:keepNext w:val="0"/>
        <w:spacing w:after="100" w:before="0"/>
      </w:pPr>
      <w:r>
        <w:rPr/>
        <w:t xml:space="preserve">NPV = </w:t>
      </w:r>
      <w:r>
        <w:rPr>
          <w:b/>
        </w:rPr>
        <w:t>$39,150</w:t>
      </w:r>
      <w:r>
        <w:rPr/>
        <w:t>, positive, so the project is acceptable.</w:t>
      </w:r>
    </w:p>
    <w:p>
      <w:pPr>
        <w:keepNext w:val="0"/>
        <w:spacing w:after="100" w:before="0"/>
      </w:pPr>
      <w:r>
        <w:rPr/>
        <w:t>Traps:</w:t>
      </w:r>
    </w:p>
    <w:p>
      <w:pPr>
        <w:pStyle w:val="ListBullet"/>
        <w:spacing w:after="40"/>
      </w:pPr>
      <w:r>
        <w:rPr/>
        <w:t>Including the sunk feasibility study and the apportioned overheads gives an NPV of $(33,385), which wrongly rejects the project.</w:t>
      </w:r>
    </w:p>
    <w:p>
      <w:pPr>
        <w:pStyle w:val="ListBullet"/>
        <w:spacing w:after="40"/>
      </w:pPr>
      <w:r>
        <w:rPr/>
        <w:t>Ignoring the rent forgone gives $102,530.</w:t>
      </w:r>
    </w:p>
    <w:p>
      <w:pPr>
        <w:pStyle w:val="ListBullet"/>
        <w:spacing w:after="40"/>
      </w:pPr>
      <w:r>
        <w:rPr/>
        <w:t>Charging the materials at their original cost of $30,000 gives $24,150.</w:t>
      </w:r>
    </w:p>
    <w:p>
      <w:pPr>
        <w:pStyle w:val="ListBullet"/>
        <w:spacing w:after="40"/>
      </w:pPr>
      <w:r>
        <w:rPr/>
        <w:t>Forgetting to release the working capital in Year 4 gives $5,000.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19: A (13.9%)</w:t>
      </w:r>
    </w:p>
    <w:p>
      <w:pPr>
        <w:pStyle w:val="ListBullet"/>
        <w:spacing w:after="40"/>
      </w:pPr>
      <w:r>
        <w:rPr/>
        <w:t>NPV at 10% = $39,150 (Q18); NPV at 20% = $(61,110), as given.</w:t>
      </w:r>
    </w:p>
    <w:p>
      <w:pPr>
        <w:pStyle w:val="ListBullet"/>
        <w:spacing w:after="40"/>
      </w:pPr>
      <w:r>
        <w:rPr/>
        <w:t xml:space="preserve">IRR = 10% + [39,150 / (39,150 + 61,110)] × (20% − 10%) = 10% + 3.9% = </w:t>
      </w:r>
      <w:r>
        <w:rPr>
          <w:b/>
        </w:rPr>
        <w:t>13.9%</w:t>
      </w: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B (16.1%):</w:t>
      </w:r>
      <w:r>
        <w:rPr/>
        <w:t xml:space="preserve"> puts the negative NPV in the numerator.</w:t>
      </w:r>
    </w:p>
    <w:p>
      <w:pPr>
        <w:pStyle w:val="ListBullet"/>
        <w:spacing w:after="40"/>
      </w:pPr>
      <w:r>
        <w:rPr>
          <w:b/>
        </w:rPr>
        <w:t>C (20.0%):</w:t>
      </w:r>
      <w:r>
        <w:rPr/>
        <w:t xml:space="preserve"> picks the trial rate instead of interpolating.</w:t>
      </w:r>
    </w:p>
    <w:p>
      <w:pPr>
        <w:pStyle w:val="ListBullet"/>
        <w:spacing w:after="40"/>
      </w:pPr>
      <w:r>
        <w:rPr>
          <w:b/>
        </w:rPr>
        <w:t>D (27.8%):</w:t>
      </w:r>
      <w:r>
        <w:rPr/>
        <w:t xml:space="preserve"> subtracts the NPVs in the denominator (61,110 − 39,150). The gap between a positive and a negative NPV is their </w:t>
      </w:r>
      <w:r>
        <w:rPr>
          <w:i/>
        </w:rPr>
        <w:t>sum</w:t>
      </w:r>
      <w:r>
        <w:rPr/>
        <w:t xml:space="preserve"> in absolute terms.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20: True, True, False</w:t>
      </w:r>
    </w:p>
    <w:p>
      <w:pPr>
        <w:pStyle w:val="ListBullet"/>
        <w:spacing w:after="40"/>
      </w:pPr>
      <w:r>
        <w:rPr>
          <w:b/>
        </w:rPr>
        <w:t>True.</w:t>
      </w:r>
      <w:r>
        <w:rPr/>
        <w:t xml:space="preserve"> NPV measures the absolute increase in shareholder wealth, so it is the better guide when mutually exclusive projects rank differently.</w:t>
      </w:r>
    </w:p>
    <w:p>
      <w:pPr>
        <w:pStyle w:val="ListBullet"/>
        <w:spacing w:after="40"/>
      </w:pPr>
      <w:r>
        <w:rPr>
          <w:b/>
        </w:rPr>
        <w:t>True.</w:t>
      </w:r>
      <w:r>
        <w:rPr/>
        <w:t xml:space="preserve"> This is a recognised weakness of IRR. NPV assumes reinvestment at the cost of capital, which is more realistic.</w:t>
      </w:r>
    </w:p>
    <w:p>
      <w:pPr>
        <w:pStyle w:val="ListBullet"/>
        <w:spacing w:after="40"/>
      </w:pPr>
      <w:r>
        <w:rPr>
          <w:b/>
        </w:rPr>
        <w:t>False.</w:t>
      </w:r>
      <w:r>
        <w:rPr/>
        <w:t xml:space="preserve"> Non-conventional cash flows that change sign more than once can produce </w:t>
      </w:r>
      <w:r>
        <w:rPr>
          <w:b/>
        </w:rPr>
        <w:t>multiple</w:t>
      </w:r>
      <w:r>
        <w:rPr/>
        <w:t xml:space="preserve"> IRRs, or none at all.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21: 50 days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5938"/>
        <w:gridCol w:w="1008"/>
      </w:tblGrid>
      <w:tr>
        <w:trPr>
          <w:cantSplit/>
          <w:tblHeader/>
        </w:trPr>
        <w:tc>
          <w:tcPr>
            <w:tcW w:type="dxa" w:w="2465"/>
          </w:tcPr>
          <w:p>
            <w:pPr>
              <w:spacing w:after="0"/>
            </w:pPr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593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Workings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Days</w:t>
            </w:r>
          </w:p>
        </w:tc>
      </w:tr>
      <w:tr>
        <w:trPr>
          <w:cantSplit/>
        </w:trPr>
        <w:tc>
          <w:tcPr>
            <w:tcW w:type="dxa" w:w="2465"/>
          </w:tcPr>
          <w:p>
            <w:pPr>
              <w:spacing w:after="0"/>
            </w:pPr>
            <w:r>
              <w:rPr>
                <w:sz w:val="19"/>
              </w:rPr>
              <w:t>Inventory days</w:t>
            </w:r>
          </w:p>
        </w:tc>
        <w:tc>
          <w:tcPr>
            <w:tcW w:type="dxa" w:w="5938"/>
          </w:tcPr>
          <w:p>
            <w:pPr>
              <w:spacing w:after="0"/>
            </w:pPr>
            <w:r>
              <w:rPr>
                <w:sz w:val="19"/>
              </w:rPr>
              <w:t>1.400 / 12.775 × 365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>
              <w:rPr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2465"/>
          </w:tcPr>
          <w:p>
            <w:pPr>
              <w:spacing w:after="0"/>
            </w:pPr>
            <w:r>
              <w:rPr>
                <w:sz w:val="19"/>
              </w:rPr>
              <w:t>Receivables days</w:t>
            </w:r>
          </w:p>
        </w:tc>
        <w:tc>
          <w:tcPr>
            <w:tcW w:type="dxa" w:w="5938"/>
          </w:tcPr>
          <w:p>
            <w:pPr>
              <w:spacing w:after="0"/>
            </w:pPr>
            <w:r>
              <w:rPr>
                <w:sz w:val="19"/>
              </w:rPr>
              <w:t>2.000 / (18.250 × 80%) × 365 = 2.000 / 14.600 × 365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>
              <w:rPr>
                <w:sz w:val="19"/>
              </w:rPr>
              <w:t>50</w:t>
            </w:r>
          </w:p>
        </w:tc>
      </w:tr>
      <w:tr>
        <w:trPr>
          <w:cantSplit/>
        </w:trPr>
        <w:tc>
          <w:tcPr>
            <w:tcW w:type="dxa" w:w="2465"/>
          </w:tcPr>
          <w:p>
            <w:pPr>
              <w:spacing w:after="0"/>
            </w:pPr>
            <w:r>
              <w:rPr>
                <w:sz w:val="19"/>
              </w:rPr>
              <w:t>Payables days</w:t>
            </w:r>
          </w:p>
        </w:tc>
        <w:tc>
          <w:tcPr>
            <w:tcW w:type="dxa" w:w="5938"/>
          </w:tcPr>
          <w:p>
            <w:pPr>
              <w:spacing w:after="0"/>
            </w:pPr>
            <w:r>
              <w:rPr>
                <w:sz w:val="19"/>
              </w:rPr>
              <w:t>1.120 / (12.775 × 80%) × 365 = 1.120 / 10.220 × 365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>
              <w:rPr>
                <w:sz w:val="19"/>
              </w:rPr>
              <w:t>(40)</w:t>
            </w:r>
          </w:p>
        </w:tc>
      </w:tr>
      <w:tr>
        <w:trPr>
          <w:cantSplit/>
        </w:trPr>
        <w:tc>
          <w:tcPr>
            <w:tcW w:type="dxa" w:w="2465"/>
          </w:tcPr>
          <w:p>
            <w:pPr>
              <w:spacing w:after="0"/>
            </w:pPr>
            <w:r>
              <w:rPr>
                <w:b/>
                <w:sz w:val="19"/>
              </w:rPr>
              <w:t>Cash operating cycle</w:t>
            </w:r>
          </w:p>
        </w:tc>
        <w:tc>
          <w:tcPr>
            <w:tcW w:type="dxa" w:w="5938"/>
          </w:tcPr>
          <w:p>
            <w:pPr>
              <w:spacing w:after="0"/>
            </w:pP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50 days</w:t>
            </w:r>
          </w:p>
        </w:tc>
      </w:tr>
    </w:tbl>
    <w:p>
      <w:pPr>
        <w:spacing w:after="120"/>
      </w:pPr>
    </w:p>
    <w:p>
      <w:pPr>
        <w:keepNext w:val="0"/>
        <w:spacing w:after="100" w:before="0"/>
      </w:pPr>
      <w:r>
        <w:rPr/>
        <w:t>Traps:</w:t>
      </w:r>
    </w:p>
    <w:p>
      <w:pPr>
        <w:pStyle w:val="ListBullet"/>
        <w:spacing w:after="40"/>
      </w:pPr>
      <w:r>
        <w:rPr/>
        <w:t xml:space="preserve">Receivables days on </w:t>
      </w:r>
      <w:r>
        <w:rPr>
          <w:b/>
        </w:rPr>
        <w:t>total revenue</w:t>
      </w:r>
      <w:r>
        <w:rPr/>
        <w:t>: 40 days, giving a cycle of 40 days. Cash sales never create receivables.</w:t>
      </w:r>
    </w:p>
    <w:p>
      <w:pPr>
        <w:pStyle w:val="ListBullet"/>
        <w:spacing w:after="40"/>
      </w:pPr>
      <w:r>
        <w:rPr/>
        <w:t xml:space="preserve">Payables days on </w:t>
      </w:r>
      <w:r>
        <w:rPr>
          <w:b/>
        </w:rPr>
        <w:t>cost of sales</w:t>
      </w:r>
      <w:r>
        <w:rPr/>
        <w:t xml:space="preserve"> instead of credit purchases: 32 days, giving a cycle of 58 days.</w:t>
      </w:r>
    </w:p>
    <w:p>
      <w:pPr>
        <w:pStyle w:val="ListBullet"/>
        <w:spacing w:after="40"/>
      </w:pPr>
      <w:r>
        <w:rPr/>
        <w:t>Both errors together give 48 days.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22: A (Benefit of $1,520 per year)</w:t>
      </w:r>
    </w:p>
    <w:p>
      <w:pPr>
        <w:keepNext w:val="0"/>
        <w:spacing w:after="100" w:before="0"/>
      </w:pPr>
      <w:r>
        <w:rPr/>
        <w:t>EOQ = √(2 × 50 × 64,000 / 1.60) = √4,000,000 = 2,000 units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1"/>
        <w:gridCol w:w="3064"/>
        <w:gridCol w:w="3064"/>
        <w:gridCol w:w="1641"/>
      </w:tblGrid>
      <w:tr>
        <w:trPr>
          <w:cantSplit/>
          <w:tblHeader/>
        </w:trPr>
        <w:tc>
          <w:tcPr>
            <w:tcW w:type="dxa" w:w="1641"/>
          </w:tcPr>
          <w:p>
            <w:pPr>
              <w:spacing w:after="0"/>
            </w:pPr>
          </w:p>
        </w:tc>
        <w:tc>
          <w:tcPr>
            <w:tcW w:type="dxa" w:w="3064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At EOQ (2,000 units)</w:t>
            </w:r>
          </w:p>
        </w:tc>
        <w:tc>
          <w:tcPr>
            <w:tcW w:type="dxa" w:w="3064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At 8,000 units</w:t>
            </w:r>
          </w:p>
        </w:tc>
        <w:tc>
          <w:tcPr>
            <w:tcW w:type="dxa" w:w="1641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Change</w:t>
            </w:r>
          </w:p>
        </w:tc>
      </w:tr>
      <w:tr>
        <w:trPr>
          <w:cantSplit/>
        </w:trPr>
        <w:tc>
          <w:tcPr>
            <w:tcW w:type="dxa" w:w="1641"/>
          </w:tcPr>
          <w:p>
            <w:pPr>
              <w:spacing w:after="0"/>
            </w:pPr>
            <w:r>
              <w:rPr>
                <w:sz w:val="19"/>
              </w:rPr>
              <w:t>Purchase cost</w:t>
            </w:r>
          </w:p>
        </w:tc>
        <w:tc>
          <w:tcPr>
            <w:tcW w:type="dxa" w:w="3064"/>
          </w:tcPr>
          <w:p>
            <w:pPr>
              <w:spacing w:after="0"/>
            </w:pPr>
            <w:r>
              <w:rPr>
                <w:sz w:val="19"/>
              </w:rPr>
              <w:t>64,000 × $8.00 = 512,000</w:t>
            </w:r>
          </w:p>
        </w:tc>
        <w:tc>
          <w:tcPr>
            <w:tcW w:type="dxa" w:w="3064"/>
          </w:tcPr>
          <w:p>
            <w:pPr>
              <w:spacing w:after="0"/>
            </w:pPr>
            <w:r>
              <w:rPr>
                <w:sz w:val="19"/>
              </w:rPr>
              <w:t>64,000 × $7.92 = 506,880</w:t>
            </w:r>
          </w:p>
        </w:tc>
        <w:tc>
          <w:tcPr>
            <w:tcW w:type="dxa" w:w="1641"/>
          </w:tcPr>
          <w:p>
            <w:pPr>
              <w:spacing w:after="0"/>
            </w:pPr>
            <w:r>
              <w:rPr>
                <w:sz w:val="19"/>
              </w:rPr>
              <w:t>Saving 5,120</w:t>
            </w:r>
          </w:p>
        </w:tc>
      </w:tr>
      <w:tr>
        <w:trPr>
          <w:cantSplit/>
        </w:trPr>
        <w:tc>
          <w:tcPr>
            <w:tcW w:type="dxa" w:w="1641"/>
          </w:tcPr>
          <w:p>
            <w:pPr>
              <w:spacing w:after="0"/>
            </w:pPr>
            <w:r>
              <w:rPr>
                <w:sz w:val="19"/>
              </w:rPr>
              <w:t>Ordering cost</w:t>
            </w:r>
          </w:p>
        </w:tc>
        <w:tc>
          <w:tcPr>
            <w:tcW w:type="dxa" w:w="3064"/>
          </w:tcPr>
          <w:p>
            <w:pPr>
              <w:spacing w:after="0"/>
            </w:pPr>
            <w:r>
              <w:rPr>
                <w:sz w:val="19"/>
              </w:rPr>
              <w:t>32 orders × $50 = 1,600</w:t>
            </w:r>
          </w:p>
        </w:tc>
        <w:tc>
          <w:tcPr>
            <w:tcW w:type="dxa" w:w="3064"/>
          </w:tcPr>
          <w:p>
            <w:pPr>
              <w:spacing w:after="0"/>
            </w:pPr>
            <w:r>
              <w:rPr>
                <w:sz w:val="19"/>
              </w:rPr>
              <w:t>8 orders × $50 = 400</w:t>
            </w:r>
          </w:p>
        </w:tc>
        <w:tc>
          <w:tcPr>
            <w:tcW w:type="dxa" w:w="1641"/>
          </w:tcPr>
          <w:p>
            <w:pPr>
              <w:spacing w:after="0"/>
            </w:pPr>
            <w:r>
              <w:rPr>
                <w:sz w:val="19"/>
              </w:rPr>
              <w:t>Saving 1,200</w:t>
            </w:r>
          </w:p>
        </w:tc>
      </w:tr>
      <w:tr>
        <w:trPr>
          <w:cantSplit/>
        </w:trPr>
        <w:tc>
          <w:tcPr>
            <w:tcW w:type="dxa" w:w="1641"/>
          </w:tcPr>
          <w:p>
            <w:pPr>
              <w:spacing w:after="0"/>
            </w:pPr>
            <w:r>
              <w:rPr>
                <w:sz w:val="19"/>
              </w:rPr>
              <w:t>Holding cost</w:t>
            </w:r>
          </w:p>
        </w:tc>
        <w:tc>
          <w:tcPr>
            <w:tcW w:type="dxa" w:w="3064"/>
          </w:tcPr>
          <w:p>
            <w:pPr>
              <w:spacing w:after="0"/>
            </w:pPr>
            <w:r>
              <w:rPr>
                <w:sz w:val="19"/>
              </w:rPr>
              <w:t>(2,000 / 2) × 1.60 = 1,600</w:t>
            </w:r>
          </w:p>
        </w:tc>
        <w:tc>
          <w:tcPr>
            <w:tcW w:type="dxa" w:w="3064"/>
          </w:tcPr>
          <w:p>
            <w:pPr>
              <w:spacing w:after="0"/>
            </w:pPr>
            <w:r>
              <w:rPr>
                <w:sz w:val="19"/>
              </w:rPr>
              <w:t>(8,000 / 2) × 1.60 = 6,400</w:t>
            </w:r>
          </w:p>
        </w:tc>
        <w:tc>
          <w:tcPr>
            <w:tcW w:type="dxa" w:w="1641"/>
          </w:tcPr>
          <w:p>
            <w:pPr>
              <w:spacing w:after="0"/>
            </w:pPr>
            <w:r>
              <w:rPr>
                <w:sz w:val="19"/>
              </w:rPr>
              <w:t>Cost (4,800)</w:t>
            </w:r>
          </w:p>
        </w:tc>
      </w:tr>
      <w:tr>
        <w:trPr>
          <w:cantSplit/>
        </w:trPr>
        <w:tc>
          <w:tcPr>
            <w:tcW w:type="dxa" w:w="1641"/>
          </w:tcPr>
          <w:p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3064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515,200</w:t>
            </w:r>
          </w:p>
        </w:tc>
        <w:tc>
          <w:tcPr>
            <w:tcW w:type="dxa" w:w="3064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513,680</w:t>
            </w:r>
          </w:p>
        </w:tc>
        <w:tc>
          <w:tcPr>
            <w:tcW w:type="dxa" w:w="1641"/>
          </w:tcPr>
          <w:p>
            <w:pPr>
              <w:spacing w:after="0"/>
            </w:pPr>
            <w:r>
              <w:rPr>
                <w:b/>
                <w:sz w:val="19"/>
              </w:rPr>
              <w:t>Benefit 1,520</w:t>
            </w:r>
          </w:p>
        </w:tc>
      </w:tr>
    </w:tbl>
    <w:p>
      <w:pPr>
        <w:spacing w:after="120"/>
      </w:pP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B (cost of $880):</w:t>
      </w:r>
      <w:r>
        <w:rPr/>
        <w:t xml:space="preserve"> treats the ordering cost </w:t>
      </w:r>
      <w:r>
        <w:rPr>
          <w:i/>
        </w:rPr>
        <w:t>saving</w:t>
      </w:r>
      <w:r>
        <w:rPr/>
        <w:t xml:space="preserve"> as an extra cost: 5,120 − 4,800 − 1,200.</w:t>
      </w:r>
    </w:p>
    <w:p>
      <w:pPr>
        <w:pStyle w:val="ListBullet"/>
        <w:spacing w:after="40"/>
      </w:pPr>
      <w:r>
        <w:rPr>
          <w:b/>
        </w:rPr>
        <w:t>C (cost of $3,280):</w:t>
      </w:r>
      <w:r>
        <w:rPr/>
        <w:t xml:space="preserve"> uses the full order quantity as the average inventory instead of Q/2.</w:t>
      </w:r>
    </w:p>
    <w:p>
      <w:pPr>
        <w:pStyle w:val="ListBullet"/>
        <w:spacing w:after="40"/>
      </w:pPr>
      <w:r>
        <w:rPr>
          <w:b/>
        </w:rPr>
        <w:t>D (benefit of $5,120):</w:t>
      </w:r>
      <w:r>
        <w:rPr/>
        <w:t xml:space="preserve"> counts only the price discount and ignores the change in ordering and holding costs.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23: 1,408 units</w:t>
      </w:r>
    </w:p>
    <w:p>
      <w:pPr>
        <w:pStyle w:val="ListBullet"/>
        <w:spacing w:after="40"/>
      </w:pPr>
      <w:r>
        <w:rPr/>
        <w:t>Reorder level (no stock-outs) = maximum usage × maximum lead time = 320 × 10 = 3,200 units</w:t>
      </w:r>
    </w:p>
    <w:p>
      <w:pPr>
        <w:pStyle w:val="ListBullet"/>
        <w:spacing w:after="40"/>
      </w:pPr>
      <w:r>
        <w:rPr/>
        <w:t>Average usage during the average lead time = 256 × 7 = 1,792 units</w:t>
      </w:r>
    </w:p>
    <w:p>
      <w:pPr>
        <w:pStyle w:val="ListBullet"/>
        <w:spacing w:after="40"/>
      </w:pPr>
      <w:r>
        <w:rPr/>
        <w:t xml:space="preserve">Buffer inventory = reorder level − average usage in the average lead time = 3,200 − 1,792 = </w:t>
      </w:r>
      <w:r>
        <w:rPr>
          <w:b/>
        </w:rPr>
        <w:t>1,408 units</w:t>
      </w:r>
    </w:p>
    <w:p>
      <w:pPr>
        <w:keepNext w:val="0"/>
        <w:spacing w:after="100" w:before="0"/>
      </w:pPr>
      <w:r>
        <w:rPr/>
        <w:t>Traps:</w:t>
      </w:r>
    </w:p>
    <w:p>
      <w:pPr>
        <w:pStyle w:val="ListBullet"/>
        <w:spacing w:after="40"/>
      </w:pPr>
      <w:r>
        <w:rPr/>
        <w:t>3,200 units: the reorder level itself, not the buffer.</w:t>
      </w:r>
    </w:p>
    <w:p>
      <w:pPr>
        <w:pStyle w:val="ListBullet"/>
        <w:spacing w:after="40"/>
      </w:pPr>
      <w:r>
        <w:rPr/>
        <w:t>1,792 units: the expected usage during the lead time, not the buffer.</w:t>
      </w:r>
    </w:p>
    <w:p>
      <w:pPr>
        <w:pStyle w:val="ListBullet"/>
        <w:spacing w:after="40"/>
      </w:pPr>
      <w:r>
        <w:rPr/>
        <w:t>2,240 units: maximum usage × average lead time (320 × 7), which mixes the measures.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24: A</w:t>
      </w:r>
    </w:p>
    <w:p>
      <w:pPr>
        <w:pStyle w:val="ListBullet"/>
        <w:spacing w:after="40"/>
      </w:pPr>
      <w:r>
        <w:rPr/>
        <w:t xml:space="preserve">Current ratio = (inventory + receivables) / (payables + overdraft) = (1.400 + 2.000) / (1.120 + 0.900) = 3.400 / 2.020 = </w:t>
      </w:r>
      <w:r>
        <w:rPr>
          <w:b/>
        </w:rPr>
        <w:t>1.68 times</w:t>
      </w:r>
    </w:p>
    <w:p>
      <w:pPr>
        <w:pStyle w:val="ListBullet"/>
        <w:spacing w:after="40"/>
      </w:pPr>
      <w:r>
        <w:rPr/>
        <w:t xml:space="preserve">Quick ratio = receivables / current liabilities = 2.000 / 2.020 = </w:t>
      </w:r>
      <w:r>
        <w:rPr>
          <w:b/>
        </w:rPr>
        <w:t>0.99 times</w:t>
      </w:r>
    </w:p>
    <w:p>
      <w:pPr>
        <w:keepNext w:val="0"/>
        <w:spacing w:after="100" w:before="0"/>
      </w:pPr>
      <w:r>
        <w:rPr/>
        <w:t>Distractors:</w:t>
      </w:r>
    </w:p>
    <w:p>
      <w:pPr>
        <w:pStyle w:val="ListBullet"/>
        <w:spacing w:after="40"/>
      </w:pPr>
      <w:r>
        <w:rPr>
          <w:b/>
        </w:rPr>
        <w:t>B:</w:t>
      </w:r>
      <w:r>
        <w:rPr/>
        <w:t xml:space="preserve"> leaves the bank overdraft out of current liabilities (3.400 / 1.120 and 2.000 / 1.120). An overdraft is repayable on demand and is a current liability.</w:t>
      </w:r>
    </w:p>
    <w:p>
      <w:pPr>
        <w:pStyle w:val="ListBullet"/>
        <w:spacing w:after="40"/>
      </w:pPr>
      <w:r>
        <w:rPr>
          <w:b/>
        </w:rPr>
        <w:t>C:</w:t>
      </w:r>
      <w:r>
        <w:rPr/>
        <w:t xml:space="preserve"> correct current ratio, but the quick ratio leaves out the overdraft.</w:t>
      </w:r>
    </w:p>
    <w:p>
      <w:pPr>
        <w:pStyle w:val="ListBullet"/>
        <w:spacing w:after="40"/>
      </w:pPr>
      <w:r>
        <w:rPr>
          <w:b/>
        </w:rPr>
        <w:t>D:</w:t>
      </w:r>
      <w:r>
        <w:rPr/>
        <w:t xml:space="preserve"> the two ratios swapped. The quick ratio excludes inventory, so it can never be higher than the current ratio.</w:t>
      </w:r>
    </w:p>
    <w:p>
      <w:pPr>
        <w:pBdr>
          <w:bottom w:val="single" w:sz="8" w:space="1" w:color="000000"/>
        </w:pBdr>
        <w:spacing w:after="160"/>
      </w:pPr>
    </w:p>
    <w:p>
      <w:pPr>
        <w:pStyle w:val="Heading3"/>
        <w:pageBreakBefore w:val="0"/>
      </w:pPr>
      <w:r>
        <w:rPr>
          <w:b/>
          <w:color w:val="000000"/>
        </w:rPr>
        <w:t>Question 25: 1st and 2nd</w:t>
      </w:r>
    </w:p>
    <w:p>
      <w:pPr>
        <w:pStyle w:val="ListBullet"/>
        <w:spacing w:after="40"/>
      </w:pPr>
      <w:r>
        <w:rPr>
          <w:b/>
        </w:rPr>
        <w:t>Lower holding costs: correct.</w:t>
      </w:r>
      <w:r>
        <w:rPr/>
        <w:t xml:space="preserve"> Very little T7 is held, so storage, insurance and financing costs fall.</w:t>
      </w:r>
    </w:p>
    <w:p>
      <w:pPr>
        <w:pStyle w:val="ListBullet"/>
        <w:spacing w:after="40"/>
      </w:pPr>
      <w:r>
        <w:rPr>
          <w:b/>
        </w:rPr>
        <w:t>Bulk discount unlikely: correct.</w:t>
      </w:r>
      <w:r>
        <w:rPr/>
        <w:t xml:space="preserve"> JIT means small, frequent deliveries, so orders of 8,000 units are no longer placed and the 1% discount (worth a net $1,520 a year, Q22) is given up.</w:t>
      </w:r>
    </w:p>
    <w:p>
      <w:pPr>
        <w:pStyle w:val="ListBullet"/>
        <w:spacing w:after="40"/>
      </w:pPr>
      <w:r>
        <w:rPr>
          <w:b/>
        </w:rPr>
        <w:t>Higher buffer inventory: wrong.</w:t>
      </w:r>
      <w:r>
        <w:rPr/>
        <w:t xml:space="preserve"> JIT aims to eliminate buffer inventory.</w:t>
      </w:r>
    </w:p>
    <w:p>
      <w:pPr>
        <w:pStyle w:val="ListBullet"/>
        <w:spacing w:after="40"/>
      </w:pPr>
      <w:r>
        <w:rPr>
          <w:b/>
        </w:rPr>
        <w:t>Less dependence on the supplier: wrong.</w:t>
      </w:r>
      <w:r>
        <w:rPr/>
        <w:t xml:space="preserve"> JIT makes the company </w:t>
      </w:r>
      <w:r>
        <w:rPr>
          <w:i/>
        </w:rPr>
        <w:t>more</w:t>
      </w:r>
      <w:r>
        <w:rPr/>
        <w:t xml:space="preserve"> dependent on the supplier, because there is no buffer to fall back on.</w:t>
      </w:r>
    </w:p>
    <w:p>
      <w:pPr>
        <w:pBdr>
          <w:bottom w:val="single" w:sz="8" w:space="1" w:color="000000"/>
        </w:pBdr>
        <w:spacing w:after="16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ACCA FM Mock Exam 01: Solutions, page </w:t>
    </w:r>
    <w:r>
      <w:rPr>
        <w:color w:val="000000"/>
        <w:sz w:val="16"/>
      </w:rPr>
      <w:fldChar w:fldCharType="begin"/>
      <w:instrText xml:space="preserve">PAGE</w:instrText>
      <w:fldChar w:fldCharType="end"/>
    </w:r>
    <w:r>
      <w:rPr>
        <w:color w:val="000000"/>
        <w:sz w:val="16"/>
      </w:rPr>
      <w:t xml:space="preserve"> of </w:t>
    </w:r>
    <w:r>
      <w:rPr>
        <w:color w:val="00000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cs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cs="Arial" w:eastAsia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cs="Arial" w:eastAsia="Arial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cs="Arial" w:eastAsia="Arial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ACCA FM Mock Exam 01: Solutions</dc:title>
  <dc:subject/>
  <dc:creator>ACCA Exam Vault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