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3A9" w:rsidRDefault="00BA63A9">
      <w:bookmarkStart w:id="0" w:name="_GoBack"/>
    </w:p>
    <w:p w:rsidR="00BA63A9" w:rsidRDefault="00BA63A9"/>
    <w:p w:rsidR="00BA63A9" w:rsidRDefault="00BA63A9"/>
    <w:p w:rsidR="00BA63A9" w:rsidRDefault="00BA63A9"/>
    <w:p w:rsidR="00BA63A9" w:rsidRDefault="00773FD8">
      <w:pPr>
        <w:spacing w:after="280"/>
        <w:jc w:val="center"/>
      </w:pPr>
      <w:r>
        <w:rPr>
          <w:rFonts w:eastAsia="Times New Roman"/>
          <w:b/>
          <w:sz w:val="32"/>
        </w:rPr>
        <w:t>MODERN DATA ENGINEERING - FINAL GROUP ASSIGNMENT</w:t>
      </w:r>
    </w:p>
    <w:p w:rsidR="00BA63A9" w:rsidRDefault="00773FD8">
      <w:pPr>
        <w:spacing w:after="400"/>
        <w:jc w:val="center"/>
      </w:pPr>
      <w:r>
        <w:rPr>
          <w:rFonts w:eastAsia="Times New Roman"/>
          <w:b/>
          <w:sz w:val="32"/>
        </w:rPr>
        <w:t>Suzlon Energy</w:t>
      </w:r>
    </w:p>
    <w:p w:rsidR="00BA63A9" w:rsidRDefault="00773FD8">
      <w:pPr>
        <w:spacing w:after="640"/>
        <w:jc w:val="center"/>
      </w:pPr>
      <w:r>
        <w:rPr>
          <w:rFonts w:eastAsia="Times New Roman"/>
          <w:b/>
          <w:sz w:val="28"/>
        </w:rPr>
        <w:t>End-to-End Data Engineering Implementation on Databricks</w:t>
      </w:r>
    </w:p>
    <w:p w:rsidR="00BA63A9" w:rsidRDefault="00773FD8">
      <w:pPr>
        <w:jc w:val="center"/>
      </w:pPr>
      <w:r>
        <w:rPr>
          <w:rFonts w:eastAsia="Times New Roman"/>
          <w:b/>
          <w:sz w:val="28"/>
        </w:rPr>
        <w:t>Group Members</w:t>
      </w:r>
    </w:p>
    <w:p w:rsidR="00BA63A9" w:rsidRDefault="00773FD8">
      <w:pPr>
        <w:jc w:val="center"/>
      </w:pPr>
      <w:r>
        <w:rPr>
          <w:rFonts w:eastAsia="Times New Roman"/>
        </w:rPr>
        <w:t>Aditya Bakhale (27PGAI0125)</w:t>
      </w:r>
    </w:p>
    <w:p w:rsidR="00BA63A9" w:rsidRDefault="00773FD8">
      <w:pPr>
        <w:jc w:val="center"/>
      </w:pPr>
      <w:r>
        <w:rPr>
          <w:rFonts w:eastAsia="Times New Roman"/>
        </w:rPr>
        <w:t>Gundeep Singh (27PGAI0054)</w:t>
      </w:r>
    </w:p>
    <w:p w:rsidR="00BA63A9" w:rsidRDefault="00773FD8">
      <w:pPr>
        <w:jc w:val="center"/>
      </w:pPr>
      <w:r>
        <w:rPr>
          <w:rFonts w:eastAsia="Times New Roman"/>
        </w:rPr>
        <w:t>Raghavendra Prasad Shetti (27PGAI0052)</w:t>
      </w:r>
    </w:p>
    <w:p w:rsidR="00BA63A9" w:rsidRDefault="00773FD8">
      <w:pPr>
        <w:spacing w:before="500"/>
        <w:jc w:val="center"/>
      </w:pPr>
      <w:r>
        <w:rPr>
          <w:rFonts w:eastAsia="Times New Roman"/>
          <w:b/>
        </w:rPr>
        <w:t>Jio Institute | 2026</w:t>
      </w:r>
    </w:p>
    <w:p w:rsidR="00BA63A9" w:rsidRDefault="00773FD8">
      <w:r>
        <w:rPr>
          <w:rFonts w:eastAsia="Times New Roman"/>
        </w:rPr>
        <w:br w:type="page"/>
      </w:r>
    </w:p>
    <w:p w:rsidR="00BA63A9" w:rsidRDefault="00773FD8">
      <w:pPr>
        <w:spacing w:before="160" w:after="140"/>
        <w:jc w:val="left"/>
      </w:pPr>
      <w:r>
        <w:rPr>
          <w:rFonts w:eastAsia="Times New Roman"/>
          <w:b/>
          <w:sz w:val="32"/>
        </w:rPr>
        <w:lastRenderedPageBreak/>
        <w:t>1. Objective and Business Context</w:t>
      </w:r>
    </w:p>
    <w:p w:rsidR="00BA63A9" w:rsidRDefault="00773FD8">
      <w:r>
        <w:rPr>
          <w:rFonts w:eastAsia="Times New Roman"/>
        </w:rPr>
        <w:t>The objective of this project is to implement the analytical design prepared in Assignment 1 for Suzlon Energy on the Databricks platform. The solution generates realistic synthetic business data, builds a Bronze-Silver-Go</w:t>
      </w:r>
      <w:r>
        <w:rPr>
          <w:rFonts w:eastAsia="Times New Roman"/>
        </w:rPr>
        <w:t>ld medallion architecture, creates curated KPI tables and dashboard visualizations, and registers an ML-ready feature table for turbine failure-risk analysis.</w:t>
      </w:r>
    </w:p>
    <w:p w:rsidR="00BA63A9" w:rsidRDefault="00773FD8">
      <w:r>
        <w:rPr>
          <w:rFonts w:eastAsia="Times New Roman"/>
        </w:rPr>
        <w:t>The project focuses on four business areas: order booking, O&amp;M contract renewal, turbine generati</w:t>
      </w:r>
      <w:r>
        <w:rPr>
          <w:rFonts w:eastAsia="Times New Roman"/>
        </w:rPr>
        <w:t>on and availability, and service downtime. All data used in this implementation are synthetic and are not intended to represent Suzlon Energy's actual confidential operational or financial data.</w:t>
      </w:r>
    </w:p>
    <w:p w:rsidR="00BA63A9" w:rsidRDefault="00773FD8">
      <w:pPr>
        <w:spacing w:before="160" w:after="140"/>
        <w:jc w:val="left"/>
      </w:pPr>
      <w:r>
        <w:rPr>
          <w:rFonts w:eastAsia="Times New Roman"/>
          <w:b/>
          <w:sz w:val="32"/>
        </w:rPr>
        <w:t>2. Synthetic Data Generation</w:t>
      </w:r>
    </w:p>
    <w:p w:rsidR="00BA63A9" w:rsidRDefault="00773FD8">
      <w:r>
        <w:rPr>
          <w:rFonts w:eastAsia="Times New Roman"/>
        </w:rPr>
        <w:t>A scenario-driven Python generat</w:t>
      </w:r>
      <w:r>
        <w:rPr>
          <w:rFonts w:eastAsia="Times New Roman"/>
        </w:rPr>
        <w:t>or was used instead of directly generating CSV rows through an AI tool. The generator creates related customers, sites, turbines, orders, contracts, daily generation records and service events while maintaining business relationships across tables. A fixed</w:t>
      </w:r>
      <w:r>
        <w:rPr>
          <w:rFonts w:eastAsia="Times New Roman"/>
        </w:rPr>
        <w:t xml:space="preserve"> random seed supports reproducibility, and the date range and major data volumes are controlled through a configuration file.</w:t>
      </w:r>
    </w:p>
    <w:p w:rsidR="00BA63A9" w:rsidRDefault="00773FD8">
      <w:pPr>
        <w:spacing w:before="120" w:after="100"/>
        <w:jc w:val="left"/>
      </w:pPr>
      <w:r>
        <w:rPr>
          <w:rFonts w:eastAsia="Times New Roman"/>
          <w:b/>
          <w:sz w:val="28"/>
        </w:rPr>
        <w:t>2.1 Main business assumptions</w:t>
      </w:r>
    </w:p>
    <w:p w:rsidR="00BA63A9" w:rsidRDefault="00773FD8">
      <w:pPr>
        <w:pStyle w:val="ListBullet"/>
        <w:spacing w:after="60" w:line="252" w:lineRule="auto"/>
      </w:pPr>
      <w:r>
        <w:rPr>
          <w:rFonts w:eastAsia="Times New Roman"/>
        </w:rPr>
        <w:t>Customer segments include C&amp;I, IPP, PSU and Retail, with different synthetic renewal probabilities.</w:t>
      </w:r>
    </w:p>
    <w:p w:rsidR="00BA63A9" w:rsidRDefault="00773FD8">
      <w:pPr>
        <w:pStyle w:val="ListBullet"/>
        <w:spacing w:after="60" w:line="252" w:lineRule="auto"/>
      </w:pPr>
      <w:r>
        <w:rPr>
          <w:rFonts w:eastAsia="Times New Roman"/>
        </w:rPr>
        <w:t>Wind-zone quality, turbine capacity, availability, turbine age and seasonality influence daily generation.</w:t>
      </w:r>
    </w:p>
    <w:p w:rsidR="00BA63A9" w:rsidRDefault="00773FD8">
      <w:pPr>
        <w:pStyle w:val="ListBullet"/>
        <w:spacing w:after="60" w:line="252" w:lineRule="auto"/>
      </w:pPr>
      <w:r>
        <w:rPr>
          <w:rFonts w:eastAsia="Times New Roman"/>
        </w:rPr>
        <w:t>Order value depends on turbine capacity, quantity and customer segment.</w:t>
      </w:r>
    </w:p>
    <w:p w:rsidR="00BA63A9" w:rsidRDefault="00773FD8">
      <w:pPr>
        <w:pStyle w:val="ListBullet"/>
        <w:spacing w:after="60" w:line="252" w:lineRule="auto"/>
      </w:pPr>
      <w:r>
        <w:rPr>
          <w:rFonts w:eastAsia="Times New Roman"/>
        </w:rPr>
        <w:t xml:space="preserve">Corrective and emergency service events carry higher synthetic downtime and </w:t>
      </w:r>
      <w:r>
        <w:rPr>
          <w:rFonts w:eastAsia="Times New Roman"/>
        </w:rPr>
        <w:t>severity than routine events.</w:t>
      </w:r>
    </w:p>
    <w:p w:rsidR="00BA63A9" w:rsidRDefault="00773FD8">
      <w:pPr>
        <w:pStyle w:val="ListBullet"/>
        <w:spacing w:after="60" w:line="252" w:lineRule="auto"/>
      </w:pPr>
      <w:r>
        <w:rPr>
          <w:rFonts w:eastAsia="Times New Roman"/>
        </w:rPr>
        <w:t>Generation is created at one row per turbine per day, preserving consistent relationships with turbine, site and date dimensions.</w:t>
      </w:r>
    </w:p>
    <w:p w:rsidR="00BA63A9" w:rsidRDefault="00773FD8">
      <w:pPr>
        <w:spacing w:before="120" w:after="100"/>
        <w:jc w:val="left"/>
      </w:pPr>
      <w:r>
        <w:rPr>
          <w:rFonts w:eastAsia="Times New Roman"/>
          <w:b/>
          <w:sz w:val="28"/>
        </w:rPr>
        <w:t>2.2 Generated data volume</w:t>
      </w:r>
    </w:p>
    <w:tbl>
      <w:tblPr>
        <w:tblW w:w="0" w:type="auto"/>
        <w:jc w:val="center"/>
        <w:tblLayout w:type="fixed"/>
        <w:tblLook w:val="04A0" w:firstRow="1" w:lastRow="0" w:firstColumn="1" w:lastColumn="0" w:noHBand="0" w:noVBand="1"/>
      </w:tblPr>
      <w:tblGrid>
        <w:gridCol w:w="6480"/>
        <w:gridCol w:w="2160"/>
      </w:tblGrid>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Table</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Rows</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dim_model</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15</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dim_customer</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5,000</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dim_site</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300</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dim_date</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3</w:t>
            </w:r>
            <w:r>
              <w:rPr>
                <w:rFonts w:eastAsia="Times New Roman"/>
              </w:rPr>
              <w:t>65</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dim_turbine</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1,000</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dim_technician</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250</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fact_order</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20,000</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fact_contract</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6,000</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fact_generation</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365,000</w:t>
            </w:r>
          </w:p>
        </w:tc>
      </w:tr>
      <w:tr w:rsidR="00BA63A9">
        <w:trPr>
          <w:jc w:val="center"/>
        </w:trPr>
        <w:tc>
          <w:tcPr>
            <w:tcW w:w="648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lastRenderedPageBreak/>
              <w:t>fact_service</w:t>
            </w:r>
          </w:p>
        </w:tc>
        <w:tc>
          <w:tcPr>
            <w:tcW w:w="216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30,000</w:t>
            </w:r>
          </w:p>
        </w:tc>
      </w:tr>
    </w:tbl>
    <w:p w:rsidR="00BA63A9" w:rsidRDefault="00773FD8">
      <w:pPr>
        <w:spacing w:after="60"/>
      </w:pPr>
      <w:r>
        <w:rPr>
          <w:rFonts w:eastAsia="Times New Roman"/>
        </w:rPr>
        <w:t xml:space="preserve">The largest fact table contains 365,000 daily turbine-generation rows covering 1 January 2025 to 31 December 2025. This </w:t>
      </w:r>
      <w:r>
        <w:rPr>
          <w:rFonts w:eastAsia="Times New Roman"/>
        </w:rPr>
        <w:t>provides sufficient scale for trend, ranking, aggregation and window-function analysis.</w:t>
      </w:r>
    </w:p>
    <w:p w:rsidR="00BA63A9" w:rsidRDefault="00773FD8">
      <w:pPr>
        <w:spacing w:before="160" w:after="140"/>
        <w:jc w:val="left"/>
      </w:pPr>
      <w:r>
        <w:rPr>
          <w:rFonts w:eastAsia="Times New Roman"/>
          <w:b/>
          <w:sz w:val="32"/>
        </w:rPr>
        <w:t>3. Databricks Medallion Architecture</w:t>
      </w:r>
    </w:p>
    <w:p w:rsidR="00BA63A9" w:rsidRDefault="00773FD8">
      <w:r>
        <w:rPr>
          <w:rFonts w:eastAsia="Times New Roman"/>
        </w:rPr>
        <w:t xml:space="preserve">The generated CSV files were uploaded to a Databricks managed volume and processed through logical Bronze, Silver and Gold layers. </w:t>
      </w:r>
      <w:r>
        <w:rPr>
          <w:rFonts w:eastAsia="Times New Roman"/>
        </w:rPr>
        <w:t>Delta tables were used for the engineered layers to provide a reliable tabular storage format and efficient SQL access.</w:t>
      </w:r>
    </w:p>
    <w:tbl>
      <w:tblPr>
        <w:tblW w:w="0" w:type="auto"/>
        <w:jc w:val="center"/>
        <w:tblLayout w:type="fixed"/>
        <w:tblLook w:val="04A0" w:firstRow="1" w:lastRow="0" w:firstColumn="1" w:lastColumn="0" w:noHBand="0" w:noVBand="1"/>
      </w:tblPr>
      <w:tblGrid>
        <w:gridCol w:w="1728"/>
        <w:gridCol w:w="3600"/>
        <w:gridCol w:w="4320"/>
      </w:tblGrid>
      <w:tr w:rsidR="00BA63A9">
        <w:trPr>
          <w:jc w:val="center"/>
        </w:trPr>
        <w:tc>
          <w:tcPr>
            <w:tcW w:w="1728"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Stage</w:t>
            </w:r>
          </w:p>
        </w:tc>
        <w:tc>
          <w:tcPr>
            <w:tcW w:w="360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Implementation</w:t>
            </w:r>
          </w:p>
        </w:tc>
        <w:tc>
          <w:tcPr>
            <w:tcW w:w="432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Purpose</w:t>
            </w:r>
          </w:p>
        </w:tc>
      </w:tr>
      <w:tr w:rsidR="00BA63A9">
        <w:trPr>
          <w:jc w:val="center"/>
        </w:trPr>
        <w:tc>
          <w:tcPr>
            <w:tcW w:w="1728"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Landing</w:t>
            </w:r>
          </w:p>
        </w:tc>
        <w:tc>
          <w:tcPr>
            <w:tcW w:w="360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/Volumes/workspace/default/suzlon_landing</w:t>
            </w:r>
          </w:p>
        </w:tc>
        <w:tc>
          <w:tcPr>
            <w:tcW w:w="432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Stores generated CSV files before ingestion.</w:t>
            </w:r>
          </w:p>
        </w:tc>
      </w:tr>
      <w:tr w:rsidR="00BA63A9">
        <w:trPr>
          <w:jc w:val="center"/>
        </w:trPr>
        <w:tc>
          <w:tcPr>
            <w:tcW w:w="1728"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Bronze</w:t>
            </w:r>
          </w:p>
        </w:tc>
        <w:tc>
          <w:tcPr>
            <w:tcW w:w="360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bro</w:t>
            </w:r>
            <w:r>
              <w:rPr>
                <w:rFonts w:eastAsia="Times New Roman"/>
              </w:rPr>
              <w:t>nze_* Delta tables</w:t>
            </w:r>
          </w:p>
        </w:tc>
        <w:tc>
          <w:tcPr>
            <w:tcW w:w="432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Preserves the incoming data as received; fields are initially read as strings.</w:t>
            </w:r>
          </w:p>
        </w:tc>
      </w:tr>
      <w:tr w:rsidR="00BA63A9">
        <w:trPr>
          <w:jc w:val="center"/>
        </w:trPr>
        <w:tc>
          <w:tcPr>
            <w:tcW w:w="1728"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Silver</w:t>
            </w:r>
          </w:p>
        </w:tc>
        <w:tc>
          <w:tcPr>
            <w:tcW w:w="360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silver_* Delta tables</w:t>
            </w:r>
          </w:p>
        </w:tc>
        <w:tc>
          <w:tcPr>
            <w:tcW w:w="432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Applies explicit schemas, correct data types, cleaning, validation and business-range checks.</w:t>
            </w:r>
          </w:p>
        </w:tc>
      </w:tr>
      <w:tr w:rsidR="00BA63A9">
        <w:trPr>
          <w:jc w:val="center"/>
        </w:trPr>
        <w:tc>
          <w:tcPr>
            <w:tcW w:w="1728"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Gold</w:t>
            </w:r>
          </w:p>
        </w:tc>
        <w:tc>
          <w:tcPr>
            <w:tcW w:w="360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gold_* curated tables</w:t>
            </w:r>
          </w:p>
        </w:tc>
        <w:tc>
          <w:tcPr>
            <w:tcW w:w="432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Stores</w:t>
            </w:r>
            <w:r>
              <w:rPr>
                <w:rFonts w:eastAsia="Times New Roman"/>
              </w:rPr>
              <w:t xml:space="preserve"> monthly aggregates, rollups and KPI-ready datasets for dashboards and analysis.</w:t>
            </w:r>
          </w:p>
        </w:tc>
      </w:tr>
      <w:tr w:rsidR="00BA63A9">
        <w:trPr>
          <w:jc w:val="center"/>
        </w:trPr>
        <w:tc>
          <w:tcPr>
            <w:tcW w:w="1728"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Feature Store</w:t>
            </w:r>
          </w:p>
        </w:tc>
        <w:tc>
          <w:tcPr>
            <w:tcW w:w="360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feature_turbine_failure</w:t>
            </w:r>
          </w:p>
        </w:tc>
        <w:tc>
          <w:tcPr>
            <w:tcW w:w="4320"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Stores ML-ready turbine-level features registered in Unity Catalog.</w:t>
            </w:r>
          </w:p>
        </w:tc>
      </w:tr>
    </w:tbl>
    <w:p w:rsidR="00BA63A9" w:rsidRDefault="00773FD8">
      <w:pPr>
        <w:spacing w:before="120" w:after="100"/>
        <w:jc w:val="left"/>
      </w:pPr>
      <w:r>
        <w:rPr>
          <w:rFonts w:eastAsia="Times New Roman"/>
          <w:b/>
          <w:sz w:val="28"/>
        </w:rPr>
        <w:t>3.1 Data-quality and storage decisions</w:t>
      </w:r>
    </w:p>
    <w:p w:rsidR="00BA63A9" w:rsidRDefault="00773FD8">
      <w:pPr>
        <w:pStyle w:val="ListBullet"/>
        <w:spacing w:after="60" w:line="252" w:lineRule="auto"/>
      </w:pPr>
      <w:r>
        <w:rPr>
          <w:rFonts w:eastAsia="Times New Roman"/>
        </w:rPr>
        <w:t xml:space="preserve">Bronze preserves raw values </w:t>
      </w:r>
      <w:r>
        <w:rPr>
          <w:rFonts w:eastAsia="Times New Roman"/>
        </w:rPr>
        <w:t>and avoids silent type conversion during ingestion.</w:t>
      </w:r>
    </w:p>
    <w:p w:rsidR="00BA63A9" w:rsidRDefault="00773FD8">
      <w:pPr>
        <w:pStyle w:val="ListBullet"/>
        <w:spacing w:after="60" w:line="252" w:lineRule="auto"/>
      </w:pPr>
      <w:r>
        <w:rPr>
          <w:rFonts w:eastAsia="Times New Roman"/>
        </w:rPr>
        <w:t>Silver converts identifiers to integers, dates to DATE, monetary fields to DECIMAL and operational measures to appropriate numeric types.</w:t>
      </w:r>
    </w:p>
    <w:p w:rsidR="00BA63A9" w:rsidRDefault="00773FD8">
      <w:pPr>
        <w:pStyle w:val="ListBullet"/>
        <w:spacing w:after="60" w:line="252" w:lineRule="auto"/>
      </w:pPr>
      <w:r>
        <w:rPr>
          <w:rFonts w:eastAsia="Times New Roman"/>
        </w:rPr>
        <w:t>Primary-key and core business-range checks are performed before Go</w:t>
      </w:r>
      <w:r>
        <w:rPr>
          <w:rFonts w:eastAsia="Times New Roman"/>
        </w:rPr>
        <w:t>ld processing.</w:t>
      </w:r>
    </w:p>
    <w:p w:rsidR="00BA63A9" w:rsidRDefault="00773FD8">
      <w:pPr>
        <w:pStyle w:val="ListBullet"/>
        <w:spacing w:after="60" w:line="252" w:lineRule="auto"/>
      </w:pPr>
      <w:r>
        <w:rPr>
          <w:rFonts w:eastAsia="Times New Roman"/>
        </w:rPr>
        <w:t>The generation fact is the largest table. Because the project uses a moderate synthetic dataset, the Silver layer is kept physically simple; date-based analysis is handled through the date dimension and smaller Gold monthly aggregates rather</w:t>
      </w:r>
      <w:r>
        <w:rPr>
          <w:rFonts w:eastAsia="Times New Roman"/>
        </w:rPr>
        <w:t xml:space="preserve"> than creating many small partitions.</w:t>
      </w:r>
    </w:p>
    <w:p w:rsidR="00BA63A9" w:rsidRDefault="00773FD8">
      <w:r>
        <w:rPr>
          <w:rFonts w:eastAsia="Times New Roman"/>
        </w:rPr>
        <w:br w:type="page"/>
      </w:r>
    </w:p>
    <w:p w:rsidR="00BA63A9" w:rsidRDefault="00773FD8">
      <w:pPr>
        <w:spacing w:before="160" w:after="140"/>
        <w:jc w:val="left"/>
      </w:pPr>
      <w:r>
        <w:rPr>
          <w:rFonts w:eastAsia="Times New Roman"/>
          <w:b/>
          <w:sz w:val="32"/>
        </w:rPr>
        <w:lastRenderedPageBreak/>
        <w:t>4. Gold Layer and Analytical Processing</w:t>
      </w:r>
    </w:p>
    <w:p w:rsidR="00BA63A9" w:rsidRDefault="00773FD8">
      <w:r>
        <w:rPr>
          <w:rFonts w:eastAsia="Times New Roman"/>
        </w:rPr>
        <w:t>The Gold layer contains business-facing aggregates at the correct analytical grain. It supports the dashboard and demonstrates the aggregation and window operations required by</w:t>
      </w:r>
      <w:r>
        <w:rPr>
          <w:rFonts w:eastAsia="Times New Roman"/>
        </w:rPr>
        <w:t xml:space="preserve"> the assignment.</w:t>
      </w:r>
    </w:p>
    <w:tbl>
      <w:tblPr>
        <w:tblW w:w="0" w:type="auto"/>
        <w:jc w:val="center"/>
        <w:tblLayout w:type="fixed"/>
        <w:tblLook w:val="04A0" w:firstRow="1" w:lastRow="0" w:firstColumn="1" w:lastColumn="0" w:noHBand="0" w:noVBand="1"/>
      </w:tblPr>
      <w:tblGrid>
        <w:gridCol w:w="3744"/>
        <w:gridCol w:w="5904"/>
      </w:tblGrid>
      <w:tr w:rsidR="00BA63A9">
        <w:trPr>
          <w:jc w:val="center"/>
        </w:trPr>
        <w:tc>
          <w:tcPr>
            <w:tcW w:w="374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Technique / Gold table</w:t>
            </w:r>
          </w:p>
        </w:tc>
        <w:tc>
          <w:tcPr>
            <w:tcW w:w="590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Business use</w:t>
            </w:r>
          </w:p>
        </w:tc>
      </w:tr>
      <w:tr w:rsidR="00BA63A9">
        <w:trPr>
          <w:jc w:val="center"/>
        </w:trPr>
        <w:tc>
          <w:tcPr>
            <w:tcW w:w="374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Monthly generation mart</w:t>
            </w:r>
          </w:p>
        </w:tc>
        <w:tc>
          <w:tcPr>
            <w:tcW w:w="590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Site-by-month generation and availability.</w:t>
            </w:r>
          </w:p>
        </w:tc>
      </w:tr>
      <w:tr w:rsidR="00BA63A9">
        <w:trPr>
          <w:jc w:val="center"/>
        </w:trPr>
        <w:tc>
          <w:tcPr>
            <w:tcW w:w="374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ROLLUP</w:t>
            </w:r>
          </w:p>
        </w:tc>
        <w:tc>
          <w:tcPr>
            <w:tcW w:w="590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Monthly, site/state and overall hierarchical totals.</w:t>
            </w:r>
          </w:p>
        </w:tc>
      </w:tr>
      <w:tr w:rsidR="00BA63A9">
        <w:trPr>
          <w:jc w:val="center"/>
        </w:trPr>
        <w:tc>
          <w:tcPr>
            <w:tcW w:w="374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GROUPING SETS</w:t>
            </w:r>
          </w:p>
        </w:tc>
        <w:tc>
          <w:tcPr>
            <w:tcW w:w="590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Selected customer-segment and time-period summaries.</w:t>
            </w:r>
          </w:p>
        </w:tc>
      </w:tr>
      <w:tr w:rsidR="00BA63A9">
        <w:trPr>
          <w:jc w:val="center"/>
        </w:trPr>
        <w:tc>
          <w:tcPr>
            <w:tcW w:w="374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RANK() with PARTITION BY</w:t>
            </w:r>
          </w:p>
        </w:tc>
        <w:tc>
          <w:tcPr>
            <w:tcW w:w="590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Ranks turbines within each site by total generation.</w:t>
            </w:r>
          </w:p>
        </w:tc>
      </w:tr>
      <w:tr w:rsidR="00BA63A9">
        <w:trPr>
          <w:jc w:val="center"/>
        </w:trPr>
        <w:tc>
          <w:tcPr>
            <w:tcW w:w="374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3-month moving average</w:t>
            </w:r>
          </w:p>
        </w:tc>
        <w:tc>
          <w:tcPr>
            <w:tcW w:w="590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Smooths short-term variation to show the underlying trend.</w:t>
            </w:r>
          </w:p>
        </w:tc>
      </w:tr>
      <w:tr w:rsidR="00BA63A9">
        <w:trPr>
          <w:jc w:val="center"/>
        </w:trPr>
        <w:tc>
          <w:tcPr>
            <w:tcW w:w="374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LAG()</w:t>
            </w:r>
          </w:p>
        </w:tc>
        <w:tc>
          <w:tcPr>
            <w:tcW w:w="590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Compares each month with the previous month.</w:t>
            </w:r>
          </w:p>
        </w:tc>
      </w:tr>
    </w:tbl>
    <w:p w:rsidR="00BA63A9" w:rsidRDefault="00773FD8">
      <w:pPr>
        <w:spacing w:before="120" w:after="100"/>
        <w:jc w:val="left"/>
      </w:pPr>
      <w:r>
        <w:rPr>
          <w:rFonts w:eastAsia="Times New Roman"/>
          <w:b/>
          <w:sz w:val="28"/>
        </w:rPr>
        <w:t>4.1 Dashboard-ready Gold tables</w:t>
      </w:r>
    </w:p>
    <w:p w:rsidR="00BA63A9" w:rsidRDefault="00773FD8">
      <w:r>
        <w:rPr>
          <w:rFonts w:eastAsia="Times New Roman"/>
        </w:rPr>
        <w:t xml:space="preserve">Dedicated </w:t>
      </w:r>
      <w:r>
        <w:rPr>
          <w:rFonts w:eastAsia="Times New Roman"/>
        </w:rPr>
        <w:t>Gold tables were created for monthly orders, monthly availability, monthly generation, contract renewal by customer segment, and service downtime by ticket type. This avoids mixing fact tables at incompatible grains and keeps each KPI calculation traceable</w:t>
      </w:r>
      <w:r>
        <w:rPr>
          <w:rFonts w:eastAsia="Times New Roman"/>
        </w:rPr>
        <w:t xml:space="preserve"> to a specific curated source.</w:t>
      </w:r>
    </w:p>
    <w:p w:rsidR="00BA63A9" w:rsidRDefault="00773FD8">
      <w:r>
        <w:rPr>
          <w:rFonts w:eastAsia="Times New Roman"/>
        </w:rPr>
        <w:br w:type="page"/>
      </w:r>
    </w:p>
    <w:p w:rsidR="00BA63A9" w:rsidRDefault="00773FD8">
      <w:pPr>
        <w:spacing w:before="160" w:after="140"/>
        <w:jc w:val="left"/>
      </w:pPr>
      <w:r>
        <w:rPr>
          <w:rFonts w:eastAsia="Times New Roman"/>
          <w:b/>
          <w:sz w:val="32"/>
        </w:rPr>
        <w:lastRenderedPageBreak/>
        <w:t>5. Databricks KPI Dashboard</w:t>
      </w:r>
    </w:p>
    <w:p w:rsidR="00BA63A9" w:rsidRDefault="00773FD8">
      <w:r>
        <w:rPr>
          <w:rFonts w:eastAsia="Times New Roman"/>
        </w:rPr>
        <w:t>The dashboard was created using Databricks Dashboards only. Six visuals were selected to show trends, comparisons and rankings rather than only single-number summaries.</w:t>
      </w:r>
    </w:p>
    <w:tbl>
      <w:tblPr>
        <w:tblW w:w="0" w:type="auto"/>
        <w:jc w:val="center"/>
        <w:tblLayout w:type="fixed"/>
        <w:tblLook w:val="04A0" w:firstRow="1" w:lastRow="0" w:firstColumn="1" w:lastColumn="0" w:noHBand="0" w:noVBand="1"/>
      </w:tblPr>
      <w:tblGrid>
        <w:gridCol w:w="4176"/>
        <w:gridCol w:w="5472"/>
      </w:tblGrid>
      <w:tr w:rsidR="00BA63A9">
        <w:trPr>
          <w:jc w:val="center"/>
        </w:trPr>
        <w:tc>
          <w:tcPr>
            <w:tcW w:w="4176"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Dashboard visual</w:t>
            </w:r>
          </w:p>
        </w:tc>
        <w:tc>
          <w:tcPr>
            <w:tcW w:w="5472"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 xml:space="preserve">Business </w:t>
            </w:r>
            <w:r>
              <w:rPr>
                <w:rFonts w:eastAsia="Times New Roman"/>
                <w:b/>
              </w:rPr>
              <w:t>question</w:t>
            </w:r>
          </w:p>
        </w:tc>
      </w:tr>
      <w:tr w:rsidR="00BA63A9">
        <w:trPr>
          <w:jc w:val="center"/>
        </w:trPr>
        <w:tc>
          <w:tcPr>
            <w:tcW w:w="4176"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Monthly Order Booking Value</w:t>
            </w:r>
          </w:p>
        </w:tc>
        <w:tc>
          <w:tcPr>
            <w:tcW w:w="5472"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How does order-booking value change month by month?</w:t>
            </w:r>
          </w:p>
        </w:tc>
      </w:tr>
      <w:tr w:rsidR="00BA63A9">
        <w:trPr>
          <w:jc w:val="center"/>
        </w:trPr>
        <w:tc>
          <w:tcPr>
            <w:tcW w:w="4176"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Contract Renewal by Segment</w:t>
            </w:r>
          </w:p>
        </w:tc>
        <w:tc>
          <w:tcPr>
            <w:tcW w:w="5472"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Which customer segments show stronger O&amp;M renewal performance?</w:t>
            </w:r>
          </w:p>
        </w:tc>
      </w:tr>
      <w:tr w:rsidR="00BA63A9">
        <w:trPr>
          <w:jc w:val="center"/>
        </w:trPr>
        <w:tc>
          <w:tcPr>
            <w:tcW w:w="4176"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Monthly Fleet Availability</w:t>
            </w:r>
          </w:p>
        </w:tc>
        <w:tc>
          <w:tcPr>
            <w:tcW w:w="5472"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Is fleet availability stable, improving or det</w:t>
            </w:r>
            <w:r>
              <w:rPr>
                <w:rFonts w:eastAsia="Times New Roman"/>
              </w:rPr>
              <w:t>eriorating over time?</w:t>
            </w:r>
          </w:p>
        </w:tc>
      </w:tr>
      <w:tr w:rsidR="00BA63A9">
        <w:trPr>
          <w:jc w:val="center"/>
        </w:trPr>
        <w:tc>
          <w:tcPr>
            <w:tcW w:w="4176"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Top 10 Sites by Energy Generation</w:t>
            </w:r>
          </w:p>
        </w:tc>
        <w:tc>
          <w:tcPr>
            <w:tcW w:w="5472"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Which wind sites generate the most energy?</w:t>
            </w:r>
          </w:p>
        </w:tc>
      </w:tr>
      <w:tr w:rsidR="00BA63A9">
        <w:trPr>
          <w:jc w:val="center"/>
        </w:trPr>
        <w:tc>
          <w:tcPr>
            <w:tcW w:w="4176"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Service Downtime by Ticket Type</w:t>
            </w:r>
          </w:p>
        </w:tc>
        <w:tc>
          <w:tcPr>
            <w:tcW w:w="5472"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Which service categories contribute the most downtime?</w:t>
            </w:r>
          </w:p>
        </w:tc>
      </w:tr>
      <w:tr w:rsidR="00BA63A9">
        <w:trPr>
          <w:jc w:val="center"/>
        </w:trPr>
        <w:tc>
          <w:tcPr>
            <w:tcW w:w="4176"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Energy Generation Moving Average</w:t>
            </w:r>
          </w:p>
        </w:tc>
        <w:tc>
          <w:tcPr>
            <w:tcW w:w="5472"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 xml:space="preserve">What is the underlying generation </w:t>
            </w:r>
            <w:r>
              <w:rPr>
                <w:rFonts w:eastAsia="Times New Roman"/>
              </w:rPr>
              <w:t>trend after smoothing short-term variation?</w:t>
            </w:r>
          </w:p>
        </w:tc>
      </w:tr>
    </w:tbl>
    <w:p w:rsidR="00BA63A9" w:rsidRDefault="00773FD8">
      <w:r>
        <w:rPr>
          <w:rFonts w:eastAsia="Times New Roman"/>
        </w:rPr>
        <w:br w:type="page"/>
      </w:r>
    </w:p>
    <w:p w:rsidR="00BA63A9" w:rsidRDefault="00773FD8">
      <w:pPr>
        <w:spacing w:before="120" w:after="100"/>
        <w:jc w:val="left"/>
      </w:pPr>
      <w:r>
        <w:rPr>
          <w:rFonts w:eastAsia="Times New Roman"/>
          <w:b/>
          <w:sz w:val="28"/>
        </w:rPr>
        <w:lastRenderedPageBreak/>
        <w:t>5.1 Dashboard snapshots</w:t>
      </w:r>
    </w:p>
    <w:p w:rsidR="00BA63A9" w:rsidRDefault="00773FD8">
      <w:pPr>
        <w:spacing w:before="120" w:after="100"/>
        <w:jc w:val="left"/>
      </w:pPr>
      <w:r>
        <w:rPr>
          <w:rFonts w:eastAsia="Times New Roman"/>
          <w:b/>
          <w:sz w:val="28"/>
        </w:rPr>
        <w:t>Dashboard 1 - Monthly Order Booking Value</w:t>
      </w:r>
    </w:p>
    <w:p w:rsidR="00BA63A9" w:rsidRDefault="00773FD8">
      <w:pPr>
        <w:spacing w:after="80"/>
        <w:rPr>
          <w:rFonts w:eastAsia="Times New Roman"/>
        </w:rPr>
      </w:pPr>
      <w:r>
        <w:rPr>
          <w:rFonts w:eastAsia="Times New Roman"/>
        </w:rPr>
        <w:t xml:space="preserve">Line chart showing the monthly </w:t>
      </w:r>
      <w:r>
        <w:rPr>
          <w:rFonts w:eastAsia="Times New Roman"/>
        </w:rPr>
        <w:t>order-booking trend across 2025.</w:t>
      </w:r>
    </w:p>
    <w:p w:rsidR="006B63CA" w:rsidRDefault="006B63CA">
      <w:pPr>
        <w:spacing w:after="80"/>
      </w:pPr>
    </w:p>
    <w:tbl>
      <w:tblPr>
        <w:tblW w:w="0" w:type="auto"/>
        <w:jc w:val="center"/>
        <w:tblLayout w:type="fixed"/>
        <w:tblLook w:val="04A0" w:firstRow="1" w:lastRow="0" w:firstColumn="1" w:lastColumn="0" w:noHBand="0" w:noVBand="1"/>
      </w:tblPr>
      <w:tblGrid>
        <w:gridCol w:w="8923"/>
      </w:tblGrid>
      <w:tr w:rsidR="00BA63A9" w:rsidTr="006B63CA">
        <w:trPr>
          <w:trHeight w:hRule="exact" w:val="4979"/>
          <w:jc w:val="center"/>
        </w:trPr>
        <w:tc>
          <w:tcPr>
            <w:tcW w:w="8923" w:type="dxa"/>
            <w:tcBorders>
              <w:top w:val="single" w:sz="12" w:space="0" w:color="000000"/>
              <w:left w:val="single" w:sz="12" w:space="0" w:color="000000"/>
              <w:bottom w:val="single" w:sz="12" w:space="0" w:color="000000"/>
              <w:right w:val="single" w:sz="12" w:space="0" w:color="000000"/>
            </w:tcBorders>
            <w:tcMar>
              <w:top w:w="90" w:type="dxa"/>
              <w:left w:w="90" w:type="dxa"/>
              <w:bottom w:w="90" w:type="dxa"/>
              <w:right w:w="90" w:type="dxa"/>
            </w:tcMar>
            <w:vAlign w:val="center"/>
          </w:tcPr>
          <w:p w:rsidR="00BA63A9" w:rsidRDefault="006B63CA" w:rsidP="006B63CA">
            <w:pPr>
              <w:jc w:val="center"/>
            </w:pPr>
            <w:r>
              <w:rPr>
                <w:noProof/>
                <w:lang w:val="en-IN" w:eastAsia="en-IN" w:bidi="mr-IN"/>
              </w:rPr>
              <w:drawing>
                <wp:inline distT="0" distB="0" distL="0" distR="0">
                  <wp:extent cx="3346450" cy="29908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eg"/>
                          <pic:cNvPicPr/>
                        </pic:nvPicPr>
                        <pic:blipFill>
                          <a:blip r:embed="rId8">
                            <a:extLst>
                              <a:ext uri="{28A0092B-C50C-407E-A947-70E740481C1C}">
                                <a14:useLocalDpi xmlns:a14="http://schemas.microsoft.com/office/drawing/2010/main" val="0"/>
                              </a:ext>
                            </a:extLst>
                          </a:blip>
                          <a:stretch>
                            <a:fillRect/>
                          </a:stretch>
                        </pic:blipFill>
                        <pic:spPr>
                          <a:xfrm>
                            <a:off x="0" y="0"/>
                            <a:ext cx="3346450" cy="2990850"/>
                          </a:xfrm>
                          <a:prstGeom prst="rect">
                            <a:avLst/>
                          </a:prstGeom>
                        </pic:spPr>
                      </pic:pic>
                    </a:graphicData>
                  </a:graphic>
                </wp:inline>
              </w:drawing>
            </w:r>
          </w:p>
        </w:tc>
      </w:tr>
    </w:tbl>
    <w:p w:rsidR="00BA63A9" w:rsidRDefault="00773FD8">
      <w:pPr>
        <w:spacing w:before="120" w:after="100"/>
        <w:jc w:val="left"/>
      </w:pPr>
      <w:r>
        <w:rPr>
          <w:rFonts w:eastAsia="Times New Roman"/>
          <w:b/>
          <w:sz w:val="28"/>
        </w:rPr>
        <w:t>Dashboard 2 - Contract Renewal by Segment</w:t>
      </w:r>
    </w:p>
    <w:p w:rsidR="00BA63A9" w:rsidRDefault="00773FD8">
      <w:pPr>
        <w:spacing w:after="80"/>
      </w:pPr>
      <w:r>
        <w:rPr>
          <w:rFonts w:eastAsia="Times New Roman"/>
        </w:rPr>
        <w:t>Bar chart comparing renewal rates across C&amp;I, IPP, PSU and Retail customer segments.</w:t>
      </w:r>
    </w:p>
    <w:tbl>
      <w:tblPr>
        <w:tblW w:w="0" w:type="auto"/>
        <w:jc w:val="center"/>
        <w:tblLayout w:type="fixed"/>
        <w:tblLook w:val="04A0" w:firstRow="1" w:lastRow="0" w:firstColumn="1" w:lastColumn="0" w:noHBand="0" w:noVBand="1"/>
      </w:tblPr>
      <w:tblGrid>
        <w:gridCol w:w="9323"/>
      </w:tblGrid>
      <w:tr w:rsidR="00BA63A9" w:rsidTr="006B63CA">
        <w:trPr>
          <w:trHeight w:hRule="exact" w:val="4043"/>
          <w:jc w:val="center"/>
        </w:trPr>
        <w:tc>
          <w:tcPr>
            <w:tcW w:w="9323" w:type="dxa"/>
            <w:tcBorders>
              <w:top w:val="single" w:sz="12" w:space="0" w:color="000000"/>
              <w:left w:val="single" w:sz="12" w:space="0" w:color="000000"/>
              <w:bottom w:val="single" w:sz="12" w:space="0" w:color="000000"/>
              <w:right w:val="single" w:sz="12" w:space="0" w:color="000000"/>
            </w:tcBorders>
            <w:tcMar>
              <w:top w:w="90" w:type="dxa"/>
              <w:left w:w="90" w:type="dxa"/>
              <w:bottom w:w="90" w:type="dxa"/>
              <w:right w:w="90" w:type="dxa"/>
            </w:tcMar>
            <w:vAlign w:val="center"/>
          </w:tcPr>
          <w:p w:rsidR="00BA63A9" w:rsidRDefault="006B63CA" w:rsidP="006B63CA">
            <w:pPr>
              <w:jc w:val="center"/>
            </w:pPr>
            <w:r>
              <w:rPr>
                <w:noProof/>
                <w:lang w:val="en-IN" w:eastAsia="en-IN" w:bidi="mr-IN"/>
              </w:rPr>
              <w:drawing>
                <wp:inline distT="0" distB="0" distL="0" distR="0">
                  <wp:extent cx="3620770" cy="2527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eg"/>
                          <pic:cNvPicPr/>
                        </pic:nvPicPr>
                        <pic:blipFill>
                          <a:blip r:embed="rId9">
                            <a:extLst>
                              <a:ext uri="{28A0092B-C50C-407E-A947-70E740481C1C}">
                                <a14:useLocalDpi xmlns:a14="http://schemas.microsoft.com/office/drawing/2010/main" val="0"/>
                              </a:ext>
                            </a:extLst>
                          </a:blip>
                          <a:stretch>
                            <a:fillRect/>
                          </a:stretch>
                        </pic:blipFill>
                        <pic:spPr>
                          <a:xfrm>
                            <a:off x="0" y="0"/>
                            <a:ext cx="3620770" cy="2527300"/>
                          </a:xfrm>
                          <a:prstGeom prst="rect">
                            <a:avLst/>
                          </a:prstGeom>
                        </pic:spPr>
                      </pic:pic>
                    </a:graphicData>
                  </a:graphic>
                </wp:inline>
              </w:drawing>
            </w:r>
            <w:r w:rsidR="00413FF6">
              <w:t xml:space="preserve"> </w:t>
            </w:r>
          </w:p>
        </w:tc>
      </w:tr>
    </w:tbl>
    <w:p w:rsidR="00BA63A9" w:rsidRDefault="00773FD8">
      <w:r>
        <w:rPr>
          <w:rFonts w:eastAsia="Times New Roman"/>
        </w:rPr>
        <w:br w:type="page"/>
      </w:r>
    </w:p>
    <w:p w:rsidR="00BA63A9" w:rsidRDefault="00773FD8">
      <w:pPr>
        <w:spacing w:before="120" w:after="100"/>
        <w:jc w:val="left"/>
      </w:pPr>
      <w:r>
        <w:rPr>
          <w:rFonts w:eastAsia="Times New Roman"/>
          <w:b/>
          <w:sz w:val="28"/>
        </w:rPr>
        <w:lastRenderedPageBreak/>
        <w:t>Dashboard 3 - Monthly Fleet Availability</w:t>
      </w:r>
    </w:p>
    <w:p w:rsidR="00BA63A9" w:rsidRDefault="00773FD8">
      <w:pPr>
        <w:spacing w:after="80"/>
      </w:pPr>
      <w:r>
        <w:rPr>
          <w:rFonts w:eastAsia="Times New Roman"/>
        </w:rPr>
        <w:t>Line chart showing monthly fleet availability during 2025.</w:t>
      </w:r>
    </w:p>
    <w:tbl>
      <w:tblPr>
        <w:tblW w:w="0" w:type="auto"/>
        <w:jc w:val="center"/>
        <w:tblLayout w:type="fixed"/>
        <w:tblLook w:val="04A0" w:firstRow="1" w:lastRow="0" w:firstColumn="1" w:lastColumn="0" w:noHBand="0" w:noVBand="1"/>
      </w:tblPr>
      <w:tblGrid>
        <w:gridCol w:w="9724"/>
      </w:tblGrid>
      <w:tr w:rsidR="00BA63A9" w:rsidTr="006B63CA">
        <w:trPr>
          <w:trHeight w:hRule="exact" w:val="3861"/>
          <w:jc w:val="center"/>
        </w:trPr>
        <w:tc>
          <w:tcPr>
            <w:tcW w:w="9724" w:type="dxa"/>
            <w:tcBorders>
              <w:top w:val="single" w:sz="12" w:space="0" w:color="000000"/>
              <w:left w:val="single" w:sz="12" w:space="0" w:color="000000"/>
              <w:bottom w:val="single" w:sz="12" w:space="0" w:color="000000"/>
              <w:right w:val="single" w:sz="12" w:space="0" w:color="000000"/>
            </w:tcBorders>
            <w:tcMar>
              <w:top w:w="90" w:type="dxa"/>
              <w:left w:w="90" w:type="dxa"/>
              <w:bottom w:w="90" w:type="dxa"/>
              <w:right w:w="90" w:type="dxa"/>
            </w:tcMar>
            <w:vAlign w:val="center"/>
          </w:tcPr>
          <w:p w:rsidR="00BA63A9" w:rsidRDefault="006B63CA" w:rsidP="006B63CA">
            <w:pPr>
              <w:jc w:val="center"/>
            </w:pPr>
            <w:r>
              <w:rPr>
                <w:noProof/>
                <w:lang w:val="en-IN" w:eastAsia="en-IN" w:bidi="mr-IN"/>
              </w:rPr>
              <w:drawing>
                <wp:inline distT="0" distB="0" distL="0" distR="0">
                  <wp:extent cx="3149600" cy="241107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jpeg"/>
                          <pic:cNvPicPr/>
                        </pic:nvPicPr>
                        <pic:blipFill>
                          <a:blip r:embed="rId10">
                            <a:extLst>
                              <a:ext uri="{28A0092B-C50C-407E-A947-70E740481C1C}">
                                <a14:useLocalDpi xmlns:a14="http://schemas.microsoft.com/office/drawing/2010/main" val="0"/>
                              </a:ext>
                            </a:extLst>
                          </a:blip>
                          <a:stretch>
                            <a:fillRect/>
                          </a:stretch>
                        </pic:blipFill>
                        <pic:spPr>
                          <a:xfrm>
                            <a:off x="0" y="0"/>
                            <a:ext cx="3162716" cy="2421114"/>
                          </a:xfrm>
                          <a:prstGeom prst="rect">
                            <a:avLst/>
                          </a:prstGeom>
                        </pic:spPr>
                      </pic:pic>
                    </a:graphicData>
                  </a:graphic>
                </wp:inline>
              </w:drawing>
            </w:r>
          </w:p>
        </w:tc>
      </w:tr>
    </w:tbl>
    <w:p w:rsidR="00BA63A9" w:rsidRDefault="00773FD8">
      <w:pPr>
        <w:spacing w:before="120" w:after="100"/>
        <w:jc w:val="left"/>
      </w:pPr>
      <w:r>
        <w:rPr>
          <w:rFonts w:eastAsia="Times New Roman"/>
          <w:b/>
          <w:sz w:val="28"/>
        </w:rPr>
        <w:t>Dashboard 4 - Top 10 Sites by Energy Generation</w:t>
      </w:r>
    </w:p>
    <w:p w:rsidR="00BA63A9" w:rsidRDefault="00773FD8">
      <w:pPr>
        <w:spacing w:after="80"/>
      </w:pPr>
      <w:r>
        <w:rPr>
          <w:rFonts w:eastAsia="Times New Roman"/>
        </w:rPr>
        <w:t>Bar chart ranking the ten highest-generating wind sites.</w:t>
      </w:r>
    </w:p>
    <w:tbl>
      <w:tblPr>
        <w:tblW w:w="0" w:type="auto"/>
        <w:jc w:val="center"/>
        <w:tblLayout w:type="fixed"/>
        <w:tblLook w:val="04A0" w:firstRow="1" w:lastRow="0" w:firstColumn="1" w:lastColumn="0" w:noHBand="0" w:noVBand="1"/>
      </w:tblPr>
      <w:tblGrid>
        <w:gridCol w:w="9684"/>
      </w:tblGrid>
      <w:tr w:rsidR="00BA63A9" w:rsidTr="006B63CA">
        <w:trPr>
          <w:trHeight w:hRule="exact" w:val="4139"/>
          <w:jc w:val="center"/>
        </w:trPr>
        <w:tc>
          <w:tcPr>
            <w:tcW w:w="9684" w:type="dxa"/>
            <w:tcBorders>
              <w:top w:val="single" w:sz="12" w:space="0" w:color="000000"/>
              <w:left w:val="single" w:sz="12" w:space="0" w:color="000000"/>
              <w:bottom w:val="single" w:sz="12" w:space="0" w:color="000000"/>
              <w:right w:val="single" w:sz="12" w:space="0" w:color="000000"/>
            </w:tcBorders>
            <w:tcMar>
              <w:top w:w="90" w:type="dxa"/>
              <w:left w:w="90" w:type="dxa"/>
              <w:bottom w:w="90" w:type="dxa"/>
              <w:right w:w="90" w:type="dxa"/>
            </w:tcMar>
            <w:vAlign w:val="center"/>
          </w:tcPr>
          <w:p w:rsidR="00BA63A9" w:rsidRDefault="006B63CA" w:rsidP="006B63CA">
            <w:pPr>
              <w:jc w:val="center"/>
            </w:pPr>
            <w:r>
              <w:rPr>
                <w:noProof/>
                <w:lang w:val="en-IN" w:eastAsia="en-IN" w:bidi="mr-IN"/>
              </w:rPr>
              <w:drawing>
                <wp:inline distT="0" distB="0" distL="0" distR="0">
                  <wp:extent cx="3617595" cy="25146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jpeg"/>
                          <pic:cNvPicPr/>
                        </pic:nvPicPr>
                        <pic:blipFill>
                          <a:blip r:embed="rId11">
                            <a:extLst>
                              <a:ext uri="{28A0092B-C50C-407E-A947-70E740481C1C}">
                                <a14:useLocalDpi xmlns:a14="http://schemas.microsoft.com/office/drawing/2010/main" val="0"/>
                              </a:ext>
                            </a:extLst>
                          </a:blip>
                          <a:stretch>
                            <a:fillRect/>
                          </a:stretch>
                        </pic:blipFill>
                        <pic:spPr>
                          <a:xfrm>
                            <a:off x="0" y="0"/>
                            <a:ext cx="3632079" cy="2524668"/>
                          </a:xfrm>
                          <a:prstGeom prst="rect">
                            <a:avLst/>
                          </a:prstGeom>
                        </pic:spPr>
                      </pic:pic>
                    </a:graphicData>
                  </a:graphic>
                </wp:inline>
              </w:drawing>
            </w:r>
          </w:p>
        </w:tc>
      </w:tr>
    </w:tbl>
    <w:p w:rsidR="00BA63A9" w:rsidRDefault="00773FD8">
      <w:r>
        <w:rPr>
          <w:rFonts w:eastAsia="Times New Roman"/>
        </w:rPr>
        <w:br w:type="page"/>
      </w:r>
    </w:p>
    <w:p w:rsidR="00BA63A9" w:rsidRDefault="00773FD8">
      <w:pPr>
        <w:spacing w:before="120" w:after="100"/>
        <w:jc w:val="left"/>
      </w:pPr>
      <w:r>
        <w:rPr>
          <w:rFonts w:eastAsia="Times New Roman"/>
          <w:b/>
          <w:sz w:val="28"/>
        </w:rPr>
        <w:lastRenderedPageBreak/>
        <w:t>Dashboard 5 - Service Downtime by Ticket Type</w:t>
      </w:r>
    </w:p>
    <w:p w:rsidR="00BA63A9" w:rsidRDefault="00773FD8">
      <w:pPr>
        <w:spacing w:after="80"/>
      </w:pPr>
      <w:r>
        <w:rPr>
          <w:rFonts w:eastAsia="Times New Roman"/>
        </w:rPr>
        <w:t>Bar chart comparing total downtime for Corrective, Emergency, Inspection and Preventive service events.</w:t>
      </w:r>
    </w:p>
    <w:tbl>
      <w:tblPr>
        <w:tblW w:w="0" w:type="auto"/>
        <w:jc w:val="center"/>
        <w:tblLayout w:type="fixed"/>
        <w:tblLook w:val="04A0" w:firstRow="1" w:lastRow="0" w:firstColumn="1" w:lastColumn="0" w:noHBand="0" w:noVBand="1"/>
      </w:tblPr>
      <w:tblGrid>
        <w:gridCol w:w="9624"/>
      </w:tblGrid>
      <w:tr w:rsidR="00BA63A9" w:rsidTr="00413FF6">
        <w:trPr>
          <w:trHeight w:hRule="exact" w:val="3609"/>
          <w:jc w:val="center"/>
        </w:trPr>
        <w:tc>
          <w:tcPr>
            <w:tcW w:w="9624" w:type="dxa"/>
            <w:tcBorders>
              <w:top w:val="single" w:sz="12" w:space="0" w:color="000000"/>
              <w:left w:val="single" w:sz="12" w:space="0" w:color="000000"/>
              <w:bottom w:val="single" w:sz="12" w:space="0" w:color="000000"/>
              <w:right w:val="single" w:sz="12" w:space="0" w:color="000000"/>
            </w:tcBorders>
            <w:tcMar>
              <w:top w:w="90" w:type="dxa"/>
              <w:left w:w="90" w:type="dxa"/>
              <w:bottom w:w="90" w:type="dxa"/>
              <w:right w:w="90" w:type="dxa"/>
            </w:tcMar>
            <w:vAlign w:val="center"/>
          </w:tcPr>
          <w:p w:rsidR="00BA63A9" w:rsidRDefault="006B63CA" w:rsidP="006B63CA">
            <w:pPr>
              <w:jc w:val="center"/>
            </w:pPr>
            <w:r>
              <w:rPr>
                <w:noProof/>
                <w:lang w:val="en-IN" w:eastAsia="en-IN" w:bidi="mr-IN"/>
              </w:rPr>
              <w:drawing>
                <wp:inline distT="0" distB="0" distL="0" distR="0">
                  <wp:extent cx="3653586" cy="21971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jpeg"/>
                          <pic:cNvPicPr/>
                        </pic:nvPicPr>
                        <pic:blipFill>
                          <a:blip r:embed="rId12">
                            <a:extLst>
                              <a:ext uri="{28A0092B-C50C-407E-A947-70E740481C1C}">
                                <a14:useLocalDpi xmlns:a14="http://schemas.microsoft.com/office/drawing/2010/main" val="0"/>
                              </a:ext>
                            </a:extLst>
                          </a:blip>
                          <a:stretch>
                            <a:fillRect/>
                          </a:stretch>
                        </pic:blipFill>
                        <pic:spPr>
                          <a:xfrm>
                            <a:off x="0" y="0"/>
                            <a:ext cx="3664746" cy="2203811"/>
                          </a:xfrm>
                          <a:prstGeom prst="rect">
                            <a:avLst/>
                          </a:prstGeom>
                        </pic:spPr>
                      </pic:pic>
                    </a:graphicData>
                  </a:graphic>
                </wp:inline>
              </w:drawing>
            </w:r>
          </w:p>
        </w:tc>
      </w:tr>
    </w:tbl>
    <w:p w:rsidR="00BA63A9" w:rsidRDefault="00773FD8">
      <w:pPr>
        <w:spacing w:before="120" w:after="100"/>
        <w:jc w:val="left"/>
      </w:pPr>
      <w:r>
        <w:rPr>
          <w:rFonts w:eastAsia="Times New Roman"/>
          <w:b/>
          <w:sz w:val="28"/>
        </w:rPr>
        <w:t>Dashboard 6 - Energy Ge</w:t>
      </w:r>
      <w:r>
        <w:rPr>
          <w:rFonts w:eastAsia="Times New Roman"/>
          <w:b/>
          <w:sz w:val="28"/>
        </w:rPr>
        <w:t>neration Moving Average</w:t>
      </w:r>
    </w:p>
    <w:p w:rsidR="00BA63A9" w:rsidRDefault="00773FD8">
      <w:pPr>
        <w:spacing w:after="80"/>
      </w:pPr>
      <w:r>
        <w:rPr>
          <w:rFonts w:eastAsia="Times New Roman"/>
        </w:rPr>
        <w:t>Two-line chart comparing monthly energy generation with the 3-month moving average.</w:t>
      </w:r>
    </w:p>
    <w:tbl>
      <w:tblPr>
        <w:tblW w:w="0" w:type="auto"/>
        <w:jc w:val="center"/>
        <w:tblLayout w:type="fixed"/>
        <w:tblLook w:val="04A0" w:firstRow="1" w:lastRow="0" w:firstColumn="1" w:lastColumn="0" w:noHBand="0" w:noVBand="1"/>
      </w:tblPr>
      <w:tblGrid>
        <w:gridCol w:w="9544"/>
      </w:tblGrid>
      <w:tr w:rsidR="00BA63A9" w:rsidTr="00413FF6">
        <w:trPr>
          <w:trHeight w:hRule="exact" w:val="4149"/>
          <w:jc w:val="center"/>
        </w:trPr>
        <w:tc>
          <w:tcPr>
            <w:tcW w:w="9544" w:type="dxa"/>
            <w:tcBorders>
              <w:top w:val="single" w:sz="12" w:space="0" w:color="000000"/>
              <w:left w:val="single" w:sz="12" w:space="0" w:color="000000"/>
              <w:bottom w:val="single" w:sz="12" w:space="0" w:color="000000"/>
              <w:right w:val="single" w:sz="12" w:space="0" w:color="000000"/>
            </w:tcBorders>
            <w:tcMar>
              <w:top w:w="90" w:type="dxa"/>
              <w:left w:w="90" w:type="dxa"/>
              <w:bottom w:w="90" w:type="dxa"/>
              <w:right w:w="90" w:type="dxa"/>
            </w:tcMar>
            <w:vAlign w:val="center"/>
          </w:tcPr>
          <w:p w:rsidR="00BA63A9" w:rsidRDefault="00413FF6" w:rsidP="00413FF6">
            <w:pPr>
              <w:jc w:val="center"/>
            </w:pPr>
            <w:r>
              <w:rPr>
                <w:noProof/>
                <w:lang w:val="en-IN" w:eastAsia="en-IN" w:bidi="mr-IN"/>
              </w:rPr>
              <w:drawing>
                <wp:inline distT="0" distB="0" distL="0" distR="0">
                  <wp:extent cx="4201160" cy="25400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jpeg"/>
                          <pic:cNvPicPr/>
                        </pic:nvPicPr>
                        <pic:blipFill>
                          <a:blip r:embed="rId13">
                            <a:extLst>
                              <a:ext uri="{28A0092B-C50C-407E-A947-70E740481C1C}">
                                <a14:useLocalDpi xmlns:a14="http://schemas.microsoft.com/office/drawing/2010/main" val="0"/>
                              </a:ext>
                            </a:extLst>
                          </a:blip>
                          <a:stretch>
                            <a:fillRect/>
                          </a:stretch>
                        </pic:blipFill>
                        <pic:spPr>
                          <a:xfrm>
                            <a:off x="0" y="0"/>
                            <a:ext cx="4208150" cy="2544226"/>
                          </a:xfrm>
                          <a:prstGeom prst="rect">
                            <a:avLst/>
                          </a:prstGeom>
                        </pic:spPr>
                      </pic:pic>
                    </a:graphicData>
                  </a:graphic>
                </wp:inline>
              </w:drawing>
            </w:r>
          </w:p>
        </w:tc>
      </w:tr>
    </w:tbl>
    <w:p w:rsidR="00BA63A9" w:rsidRDefault="00773FD8">
      <w:r>
        <w:rPr>
          <w:rFonts w:eastAsia="Times New Roman"/>
        </w:rPr>
        <w:br w:type="page"/>
      </w:r>
    </w:p>
    <w:p w:rsidR="00BA63A9" w:rsidRDefault="00773FD8">
      <w:pPr>
        <w:spacing w:before="160" w:after="140"/>
        <w:jc w:val="left"/>
      </w:pPr>
      <w:r>
        <w:rPr>
          <w:rFonts w:eastAsia="Times New Roman"/>
          <w:b/>
          <w:sz w:val="32"/>
        </w:rPr>
        <w:lastRenderedPageBreak/>
        <w:t>6. Feature Store</w:t>
      </w:r>
    </w:p>
    <w:p w:rsidR="00BA63A9" w:rsidRDefault="00773FD8">
      <w:r>
        <w:rPr>
          <w:rFonts w:eastAsia="Times New Roman"/>
        </w:rPr>
        <w:t xml:space="preserve">The ML use case selected from Assignment 1 is turbine/component failure prediction. </w:t>
      </w:r>
      <w:r>
        <w:rPr>
          <w:rFonts w:eastAsia="Times New Roman"/>
        </w:rPr>
        <w:t>Because the approved final schema does not contain raw SCADA variables such as vibration or gearbox temperature, the implementation uses operational proxies that are available in the generated data. Features are calculated over the latest 90-day window end</w:t>
      </w:r>
      <w:r>
        <w:rPr>
          <w:rFonts w:eastAsia="Times New Roman"/>
        </w:rPr>
        <w:t>ing on 31 December 2025.</w:t>
      </w:r>
    </w:p>
    <w:tbl>
      <w:tblPr>
        <w:tblW w:w="0" w:type="auto"/>
        <w:jc w:val="center"/>
        <w:tblLayout w:type="fixed"/>
        <w:tblLook w:val="04A0" w:firstRow="1" w:lastRow="0" w:firstColumn="1" w:lastColumn="0" w:noHBand="0" w:noVBand="1"/>
      </w:tblPr>
      <w:tblGrid>
        <w:gridCol w:w="3024"/>
        <w:gridCol w:w="6624"/>
      </w:tblGrid>
      <w:tr w:rsidR="00BA63A9">
        <w:trPr>
          <w:jc w:val="center"/>
        </w:trPr>
        <w:tc>
          <w:tcPr>
            <w:tcW w:w="30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Feature</w:t>
            </w:r>
          </w:p>
        </w:tc>
        <w:tc>
          <w:tcPr>
            <w:tcW w:w="66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b/>
              </w:rPr>
              <w:t>Meaning and predictive relevance</w:t>
            </w:r>
          </w:p>
        </w:tc>
      </w:tr>
      <w:tr w:rsidR="00BA63A9">
        <w:trPr>
          <w:jc w:val="center"/>
        </w:trPr>
        <w:tc>
          <w:tcPr>
            <w:tcW w:w="30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avg_availability_pct</w:t>
            </w:r>
          </w:p>
        </w:tc>
        <w:tc>
          <w:tcPr>
            <w:tcW w:w="66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Average turbine availability over 90 days; repeated loss of availability may indicate reliability deterioration.</w:t>
            </w:r>
          </w:p>
        </w:tc>
      </w:tr>
      <w:tr w:rsidR="00BA63A9">
        <w:trPr>
          <w:jc w:val="center"/>
        </w:trPr>
        <w:tc>
          <w:tcPr>
            <w:tcW w:w="30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total_downtime_hours_90d</w:t>
            </w:r>
          </w:p>
        </w:tc>
        <w:tc>
          <w:tcPr>
            <w:tcW w:w="66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 xml:space="preserve">Total downtime over 90 days; </w:t>
            </w:r>
            <w:r>
              <w:rPr>
                <w:rFonts w:eastAsia="Times New Roman"/>
              </w:rPr>
              <w:t>higher downtime indicates operational instability.</w:t>
            </w:r>
          </w:p>
        </w:tc>
      </w:tr>
      <w:tr w:rsidR="00BA63A9">
        <w:trPr>
          <w:jc w:val="center"/>
        </w:trPr>
        <w:tc>
          <w:tcPr>
            <w:tcW w:w="30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service_ticket_count_90d</w:t>
            </w:r>
          </w:p>
        </w:tc>
        <w:tc>
          <w:tcPr>
            <w:tcW w:w="66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Number of service interventions over 90 days; repeated events may signal elevated failure risk.</w:t>
            </w:r>
          </w:p>
        </w:tc>
      </w:tr>
      <w:tr w:rsidR="00BA63A9">
        <w:trPr>
          <w:jc w:val="center"/>
        </w:trPr>
        <w:tc>
          <w:tcPr>
            <w:tcW w:w="30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avg_energy_kwh_90d</w:t>
            </w:r>
          </w:p>
        </w:tc>
        <w:tc>
          <w:tcPr>
            <w:tcW w:w="6624" w:type="dxa"/>
            <w:tcBorders>
              <w:top w:val="single" w:sz="6" w:space="0" w:color="000000"/>
              <w:left w:val="single" w:sz="6" w:space="0" w:color="000000"/>
              <w:bottom w:val="single" w:sz="6" w:space="0" w:color="000000"/>
              <w:right w:val="single" w:sz="6" w:space="0" w:color="000000"/>
            </w:tcBorders>
            <w:tcMar>
              <w:top w:w="70" w:type="dxa"/>
              <w:left w:w="80" w:type="dxa"/>
              <w:bottom w:w="70" w:type="dxa"/>
              <w:right w:w="80" w:type="dxa"/>
            </w:tcMar>
            <w:vAlign w:val="center"/>
          </w:tcPr>
          <w:p w:rsidR="00BA63A9" w:rsidRDefault="00773FD8">
            <w:pPr>
              <w:spacing w:after="0" w:line="240" w:lineRule="auto"/>
              <w:jc w:val="left"/>
            </w:pPr>
            <w:r>
              <w:rPr>
                <w:rFonts w:eastAsia="Times New Roman"/>
              </w:rPr>
              <w:t xml:space="preserve">Average daily energy over 90 days; persistent output decline </w:t>
            </w:r>
            <w:r>
              <w:rPr>
                <w:rFonts w:eastAsia="Times New Roman"/>
              </w:rPr>
              <w:t>may indicate deteriorating performance.</w:t>
            </w:r>
          </w:p>
        </w:tc>
      </w:tr>
    </w:tbl>
    <w:p w:rsidR="00BA63A9" w:rsidRDefault="00773FD8">
      <w:r>
        <w:rPr>
          <w:rFonts w:eastAsia="Times New Roman"/>
        </w:rPr>
        <w:t>The feature dataset contains one row per turbine. Quality checks confirmed unique non-null turbine identifiers, valid availability ranges and non-negative operational measures for 1,000 turbines. The table was regis</w:t>
      </w:r>
      <w:r>
        <w:rPr>
          <w:rFonts w:eastAsia="Times New Roman"/>
        </w:rPr>
        <w:t>tered in Unity Catalog as workspace.default.feature_turbine_failure, with turbine_id as the primary key and feature_date as the snapshot date.</w:t>
      </w:r>
    </w:p>
    <w:p w:rsidR="00BA63A9" w:rsidRDefault="00773FD8">
      <w:pPr>
        <w:spacing w:before="160" w:after="140"/>
        <w:jc w:val="left"/>
      </w:pPr>
      <w:r>
        <w:rPr>
          <w:rFonts w:eastAsia="Times New Roman"/>
          <w:b/>
          <w:sz w:val="32"/>
        </w:rPr>
        <w:t>7. Key Business Insights</w:t>
      </w:r>
    </w:p>
    <w:p w:rsidR="00BA63A9" w:rsidRDefault="00773FD8">
      <w:pPr>
        <w:pStyle w:val="ListBullet"/>
        <w:spacing w:after="60" w:line="252" w:lineRule="auto"/>
      </w:pPr>
      <w:r>
        <w:rPr>
          <w:rFonts w:eastAsia="Times New Roman"/>
        </w:rPr>
        <w:t>Monthly order booking remains within a relatively consistent range but shows visible pea</w:t>
      </w:r>
      <w:r>
        <w:rPr>
          <w:rFonts w:eastAsia="Times New Roman"/>
        </w:rPr>
        <w:t>ks and dips, supporting month-level demand monitoring.</w:t>
      </w:r>
    </w:p>
    <w:p w:rsidR="00BA63A9" w:rsidRDefault="00773FD8">
      <w:pPr>
        <w:pStyle w:val="ListBullet"/>
        <w:spacing w:after="60" w:line="252" w:lineRule="auto"/>
      </w:pPr>
      <w:r>
        <w:rPr>
          <w:rFonts w:eastAsia="Times New Roman"/>
        </w:rPr>
        <w:t>PSU customers show the strongest synthetic contract-renewal rate, while Retail is comparatively lower, indicating where retention attention may be most useful.</w:t>
      </w:r>
    </w:p>
    <w:p w:rsidR="00BA63A9" w:rsidRDefault="00773FD8">
      <w:pPr>
        <w:pStyle w:val="ListBullet"/>
        <w:spacing w:after="60" w:line="252" w:lineRule="auto"/>
      </w:pPr>
      <w:r>
        <w:rPr>
          <w:rFonts w:eastAsia="Times New Roman"/>
        </w:rPr>
        <w:t>Fleet availability remains consistently h</w:t>
      </w:r>
      <w:r>
        <w:rPr>
          <w:rFonts w:eastAsia="Times New Roman"/>
        </w:rPr>
        <w:t>igh and stable across the year, with only small month-to-month changes.</w:t>
      </w:r>
    </w:p>
    <w:p w:rsidR="00BA63A9" w:rsidRDefault="00773FD8">
      <w:pPr>
        <w:pStyle w:val="ListBullet"/>
        <w:spacing w:after="60" w:line="252" w:lineRule="auto"/>
      </w:pPr>
      <w:r>
        <w:rPr>
          <w:rFonts w:eastAsia="Times New Roman"/>
        </w:rPr>
        <w:t>Energy generation differs across sites, supporting direct comparison of top-performing locations.</w:t>
      </w:r>
    </w:p>
    <w:p w:rsidR="00BA63A9" w:rsidRDefault="00773FD8">
      <w:pPr>
        <w:pStyle w:val="ListBullet"/>
        <w:spacing w:after="60" w:line="252" w:lineRule="auto"/>
      </w:pPr>
      <w:r>
        <w:rPr>
          <w:rFonts w:eastAsia="Times New Roman"/>
        </w:rPr>
        <w:t>Corrective maintenance contributes the largest share of service downtime in the synthe</w:t>
      </w:r>
      <w:r>
        <w:rPr>
          <w:rFonts w:eastAsia="Times New Roman"/>
        </w:rPr>
        <w:t>tic dataset, followed by emergency events.</w:t>
      </w:r>
    </w:p>
    <w:p w:rsidR="00BA63A9" w:rsidRDefault="00773FD8">
      <w:pPr>
        <w:pStyle w:val="ListBullet"/>
        <w:spacing w:after="60" w:line="252" w:lineRule="auto"/>
      </w:pPr>
      <w:r>
        <w:rPr>
          <w:rFonts w:eastAsia="Times New Roman"/>
        </w:rPr>
        <w:t>The moving-average view shows a mid-year rise in generation followed by moderation later in the year.</w:t>
      </w:r>
    </w:p>
    <w:p w:rsidR="00BA63A9" w:rsidRDefault="00773FD8">
      <w:pPr>
        <w:spacing w:before="160" w:after="140"/>
        <w:jc w:val="left"/>
      </w:pPr>
      <w:r>
        <w:rPr>
          <w:rFonts w:eastAsia="Times New Roman"/>
          <w:b/>
          <w:sz w:val="32"/>
        </w:rPr>
        <w:t>8. Conclusion</w:t>
      </w:r>
    </w:p>
    <w:p w:rsidR="00BA63A9" w:rsidRDefault="00773FD8">
      <w:r>
        <w:rPr>
          <w:rFonts w:eastAsia="Times New Roman"/>
        </w:rPr>
        <w:t>The project implements the Assignment 1 analytical design as an end-to-end Databricks workflow. C</w:t>
      </w:r>
      <w:r>
        <w:rPr>
          <w:rFonts w:eastAsia="Times New Roman"/>
        </w:rPr>
        <w:t>onfigurable Python scripts generate the synthetic data; Bronze and Silver layers ingest and clean it; Gold tables support rollups, window functions and six dashboard KPIs; and a registered feature table supports future turbine failure-risk modelling. The i</w:t>
      </w:r>
      <w:r>
        <w:rPr>
          <w:rFonts w:eastAsia="Times New Roman"/>
        </w:rPr>
        <w:t>mplementation therefore connects business intelligence and ML feature engineering within one governed pipeline.</w:t>
      </w:r>
      <w:bookmarkEnd w:id="0"/>
    </w:p>
    <w:sectPr w:rsidR="00BA63A9" w:rsidSect="00034616">
      <w:footerReference w:type="default" r:id="rId14"/>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3FD8" w:rsidRDefault="00773FD8">
      <w:pPr>
        <w:spacing w:after="0" w:line="240" w:lineRule="auto"/>
      </w:pPr>
      <w:r>
        <w:separator/>
      </w:r>
    </w:p>
  </w:endnote>
  <w:endnote w:type="continuationSeparator" w:id="0">
    <w:p w:rsidR="00773FD8" w:rsidRDefault="00773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3A9" w:rsidRDefault="00773FD8">
    <w:pPr>
      <w:pStyle w:val="Footer"/>
      <w:jc w:val="left"/>
    </w:pPr>
    <w:r>
      <w:rPr>
        <w:rFonts w:eastAsia="Times New Roman"/>
        <w:sz w:val="20"/>
      </w:rPr>
      <w:t>Suzlon Energy - Modern Data Engineering Final Group Assignment</w:t>
    </w:r>
  </w:p>
  <w:p w:rsidR="00BA63A9" w:rsidRDefault="00413FF6">
    <w:pPr>
      <w:jc w:val="right"/>
    </w:pPr>
    <w:r>
      <w:rPr>
        <w:rFonts w:eastAsia="Times New Roman"/>
        <w:sz w:val="20"/>
      </w:rPr>
      <w:t>\</w:t>
    </w:r>
    <w:r w:rsidR="00773FD8">
      <w:rPr>
        <w:rFonts w:eastAsia="Times New Roman"/>
        <w:sz w:val="20"/>
      </w:rPr>
      <w:fldChar w:fldCharType="begin"/>
    </w:r>
    <w:r w:rsidR="00773FD8">
      <w:rPr>
        <w:rFonts w:eastAsia="Times New Roman"/>
        <w:sz w:val="20"/>
      </w:rPr>
      <w:instrText xml:space="preserve"> PAGE </w:instrText>
    </w:r>
    <w:r w:rsidR="006B63CA">
      <w:rPr>
        <w:rFonts w:eastAsia="Times New Roman"/>
        <w:sz w:val="20"/>
      </w:rPr>
      <w:fldChar w:fldCharType="separate"/>
    </w:r>
    <w:r w:rsidR="002F398E">
      <w:rPr>
        <w:rFonts w:eastAsia="Times New Roman"/>
        <w:noProof/>
        <w:sz w:val="20"/>
      </w:rPr>
      <w:t>9</w:t>
    </w:r>
    <w:r w:rsidR="00773FD8">
      <w:rPr>
        <w:rFonts w:eastAsia="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3FD8" w:rsidRDefault="00773FD8">
      <w:pPr>
        <w:spacing w:after="0" w:line="240" w:lineRule="auto"/>
      </w:pPr>
      <w:r>
        <w:separator/>
      </w:r>
    </w:p>
  </w:footnote>
  <w:footnote w:type="continuationSeparator" w:id="0">
    <w:p w:rsidR="00773FD8" w:rsidRDefault="00773F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398E"/>
    <w:rsid w:val="00326F90"/>
    <w:rsid w:val="00413FF6"/>
    <w:rsid w:val="006B63CA"/>
    <w:rsid w:val="00773FD8"/>
    <w:rsid w:val="00AA1D8D"/>
    <w:rsid w:val="00B47730"/>
    <w:rsid w:val="00BA63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9A6873D-2F64-4D3E-950E-2C149108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3B4EF-9AB9-4069-AEB1-98A4E0446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Suzlon Energy - Modern Data Engineering Final Group Assignment</vt:lpstr>
    </vt:vector>
  </TitlesOfParts>
  <Manager/>
  <Company/>
  <LinksUpToDate>false</LinksUpToDate>
  <CharactersWithSpaces>8932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Suzlon Energy - Modern Data Engineering Final Group Assignment</dc:title>
  <dc:subject>Databricks medallion architecture, KPI dashboard and feature store implementation</dc:subject>
  <dc:creator>Group 8</dc:creator>
  <cp:keywords/>
  <dc:description>generated by python-docx</dc:description>
  <cp:lastModifiedBy>aditya</cp:lastModifiedBy>
  <cp:revision>2</cp:revision>
  <dcterms:created xsi:type="dcterms:W3CDTF">2026-09-15T15:31:00Z</dcterms:created>
  <dcterms:modified xsi:type="dcterms:W3CDTF">2026-09-15T15:31:00Z</dcterms:modified>
  <cp:category/>
</cp:coreProperties>
</file>