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</w:t>
      </w:r>
    </w:p>
    <w:p>
      <w:r>
        <w:t>for Aurora Digital Banking Platform</w:t>
      </w:r>
    </w:p>
    <w:p>
      <w:r>
        <w:t>Version 1.0 approved</w:t>
      </w:r>
    </w:p>
    <w:p>
      <w:r>
        <w:t>Prepared by: Platform Engineering Team</w:t>
      </w:r>
    </w:p>
    <w:p>
      <w:r>
        <w:t>2026-10-01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Initial draft of the requirement set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Architect</w:t>
            </w:r>
          </w:p>
        </w:tc>
        <w:tc>
          <w:tcPr>
            <w:tcW w:type="dxa" w:w="2160"/>
          </w:tcPr>
          <w:p>
            <w:r>
              <w:t>Baseline approved by the change board</w:t>
            </w:r>
          </w:p>
        </w:tc>
      </w:tr>
    </w:tbl>
    <w:p>
      <w:pPr>
        <w:pStyle w:val="Heading1"/>
      </w:pPr>
      <w:r>
        <w:t>1 Introduction</w:t>
      </w:r>
    </w:p>
    <w:p>
      <w:r>
        <w:t>Each requirement below is specified in its own requirement card.</w:t>
      </w:r>
    </w:p>
    <w:p>
      <w:pPr>
        <w:pStyle w:val="Heading1"/>
      </w:pPr>
      <w:r>
        <w:t>2 Functional Requirements</w:t>
      </w:r>
    </w:p>
    <w:p>
      <w:pPr>
        <w:pStyle w:val="Heading2"/>
      </w:pPr>
      <w:r>
        <w:t>2.1 Customer Authentication and Device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</w:t>
            </w:r>
          </w:p>
        </w:tc>
        <w:tc>
          <w:tcPr>
            <w:tcW w:type="dxa" w:w="4320"/>
          </w:tcPr>
          <w:p>
            <w:r>
              <w:t>BNK-REQ-01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Customer Authentication and Device Binding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The system must authenticate retail banking customers using a customer identifier and a passcode validated against a salted hash, and must issue a signed JWT access token with a configurable expiry. Every successful authentication response must return a unique session_id and a device_binding_id that ties the session to a registered device fingerprint, enabling session revocation, device de-registration, and a complete audit trail of access events.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2.2 Account Balance and Statement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</w:t>
            </w:r>
          </w:p>
        </w:tc>
        <w:tc>
          <w:tcPr>
            <w:tcW w:type="dxa" w:w="4320"/>
          </w:tcPr>
          <w:p>
            <w:r>
              <w:t>BNK-REQ-02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Account Balance and Statement Retrieval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The system must expose authenticated endpoints to list all accounts owned by the customer and to retrieve a paginated transaction statement for a single account. Each account record must include account_id, account_type, currency, available_balance, and ledger_balance. Statement retrieval must accept from_date, to_date, page, and page_size parameters, and each transaction line must carry transaction_id, posting_date, description, amount, and running_balance.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2.3 Beneficiary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</w:t>
            </w:r>
          </w:p>
        </w:tc>
        <w:tc>
          <w:tcPr>
            <w:tcW w:type="dxa" w:w="4320"/>
          </w:tcPr>
          <w:p>
            <w:r>
              <w:t>BNK-REQ-03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Beneficiary Management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The system must allow authenticated customers to list, register, and delete payment beneficiaries. Registering a beneficiary requires beneficiary_name, account_number, and ifsc_code, and the response must return a server-assigned beneficiary_id together with an activation_status field. Newly added beneficiaries must remain in a cooling_period state and must not be usable as a transfer destination until the cooling period has elapsed.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2.4 Fund Transfer Idempotency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</w:t>
            </w:r>
          </w:p>
        </w:tc>
        <w:tc>
          <w:tcPr>
            <w:tcW w:type="dxa" w:w="4320"/>
          </w:tcPr>
          <w:p>
            <w:r>
              <w:t>BNK-REQ-04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Fund Transfer Idempotency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Every fund transfer request must carry a unique, client-provided idempotency_key in the request body so that a retried or duplicated submission is processed exactly once. The idempotency_key must be echoed back in the transfer confirmation response alongside the transfer_id, giving the client end-to-end proof that a retry did not create a second debit. A transfer request submitted without an idempotency_key must be rejected with a structured validation error.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2.5 Standing Instructions and Scheduled 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</w:t>
            </w:r>
          </w:p>
        </w:tc>
        <w:tc>
          <w:tcPr>
            <w:tcW w:type="dxa" w:w="4320"/>
          </w:tcPr>
          <w:p>
            <w:r>
              <w:t>BNK-REQ-05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Standing Instructions and Scheduled Payments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The system must allow customers to create recurring standing instructions specifying a source account, a registered beneficiary, an amount, a frequency (daily, weekly, monthly), a start_date, and an optional end_date. The response must return an instruction_id and the computed next_execution_date. Standing instructions must be cancellable by the customer at any time before the next execution.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2.6 Debit Card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</w:t>
            </w:r>
          </w:p>
        </w:tc>
        <w:tc>
          <w:tcPr>
            <w:tcW w:type="dxa" w:w="4320"/>
          </w:tcPr>
          <w:p>
            <w:r>
              <w:t>BNK-REQ-06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Debit Card Controls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Authenticated customers must be able to modify the security controls on any card they own through a dedicated endpoint. Controllable attributes must include a freeze flag to instantly block the card, per_transaction_limit, daily_limit, and boolean toggles for international_usage, online_usage, and contactless_usage. The response must confirm the resulting control state for every attribute.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2.7 Step-Up Authentication for High-Value Transfers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</w:t>
            </w:r>
          </w:p>
        </w:tc>
        <w:tc>
          <w:tcPr>
            <w:tcW w:type="dxa" w:w="4320"/>
          </w:tcPr>
          <w:p>
            <w:r>
              <w:t>BNK-REQ-07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Step-Up Authentication for High-Value Transfers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All high-value operations — defined as a transfer exceeding 50,000 in account currency, or the first payment to a newly registered beneficiary — must require step-up authentication before the operation is permitted to proceed. The system must expose a dedicated step-up challenge endpoint that issues a time-limited one-time passcode to the customer's registered channel, and a step-up verify endpoint that validates the submitted code and returns a short-lived step_up_token before the primary operation is authorised.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p>
      <w:pPr>
        <w:pStyle w:val="Heading2"/>
      </w:pPr>
      <w:r>
        <w:t>2.8 Transaction Dispute and Chargeback Filing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</w:t>
            </w:r>
          </w:p>
        </w:tc>
        <w:tc>
          <w:tcPr>
            <w:tcW w:type="dxa" w:w="4320"/>
          </w:tcPr>
          <w:p>
            <w:r>
              <w:t>BNK-REQ-08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Transaction Dispute and Chargeback Filing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The system must allow customers to raise a dispute against a settled transaction and to track its resolution. Filing a dispute requires the transaction_id, a dispute_reason drawn from a controlled vocabulary (fraudulent, duplicate_charge, service_not_received, incorrect_amount), and an optional free-text narrative. The system must return a dispute_id, a provisional_credit_status, and an expected_resolution_date, and must expose a retrieval endpoint returning the current dispute status and its full event timeline.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Aurora Digital Banking - SRS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</w:style>
  <w:style w:type="paragraph" w:customStyle="1" w:styleId="TOC2">
    <w:name w:val="TOC 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/>
  <dc:creator>SRS fixture generator</dc:creator>
  <cp:keywords/>
  <dc:description>generated by python-docx</dc:description>
  <cp:lastModifiedBy>SRS fixture generator</cp:lastModifiedBy>
  <cp:revision>1</cp:revision>
  <dcterms:created xsi:type="dcterms:W3CDTF">2026-10-01T09:00:00Z</dcterms:created>
  <dcterms:modified xsi:type="dcterms:W3CDTF">2026-10-01T09:00:00Z</dcterms:modified>
  <cp:category/>
</cp:coreProperties>
</file>