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</w:t>
      </w:r>
    </w:p>
    <w:p>
      <w:r>
        <w:t>for Nexus E-Commerce Platform</w:t>
      </w:r>
    </w:p>
    <w:p>
      <w:r>
        <w:t>Version 1.0 approved</w:t>
      </w:r>
    </w:p>
    <w:p>
      <w:r>
        <w:t>Prepared by: Platform Engineering Team</w:t>
      </w:r>
    </w:p>
    <w:p>
      <w:r>
        <w:t>2026-10-01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Initial draft of the requirement set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Architect</w:t>
            </w:r>
          </w:p>
        </w:tc>
        <w:tc>
          <w:tcPr>
            <w:tcW w:type="dxa" w:w="2160"/>
          </w:tcPr>
          <w:p>
            <w:r>
              <w:t>Baseline approved by the change board</w:t>
            </w:r>
          </w:p>
        </w:tc>
      </w:tr>
    </w:tbl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Contents</w:t>
          </w:r>
        </w:p>
        <w:p>
          <w:pPr>
            <w:pStyle w:val="TOC1"/>
          </w:pPr>
          <w:r>
            <w:t>1 Introduction</w:t>
            <w:tab/>
            <w:t>3</w:t>
          </w:r>
        </w:p>
        <w:p>
          <w:pPr>
            <w:pStyle w:val="TOC1"/>
          </w:pPr>
          <w:r>
            <w:t>1.1 Purpose</w:t>
            <w:tab/>
            <w:t>3</w:t>
          </w:r>
        </w:p>
        <w:p>
          <w:pPr>
            <w:pStyle w:val="TOC1"/>
          </w:pPr>
          <w:r>
            <w:t>2 Overall Description</w:t>
            <w:tab/>
            <w:t>4</w:t>
          </w:r>
        </w:p>
        <w:p>
          <w:pPr>
            <w:pStyle w:val="TOC1"/>
          </w:pPr>
          <w:r>
            <w:t>3 Specific Requirements</w:t>
            <w:tab/>
            <w:t>5</w:t>
          </w:r>
        </w:p>
        <w:p>
          <w:pPr>
            <w:pStyle w:val="TOC1"/>
          </w:pPr>
          <w:r>
            <w:t>Appendix A: Glossary</w:t>
            <w:tab/>
            <w:t>9</w:t>
          </w:r>
        </w:p>
      </w:sdtContent>
    </w:sdt>
    <w:p>
      <w:pPr>
        <w:pStyle w:val="Heading1"/>
      </w:pPr>
      <w:r>
        <w:t>1 Introduction</w:t>
      </w:r>
    </w:p>
    <w:p>
      <w:pPr>
        <w:pStyle w:val="Heading2"/>
      </w:pPr>
      <w:r>
        <w:t>1.1 Purpose</w:t>
      </w:r>
    </w:p>
    <w:p>
      <w:r>
        <w:t>This document specifies the functional requirements for the Nexus E-Commerce Platform API. It is intended for developers, testers and the change board.</w:t>
      </w:r>
    </w:p>
    <w:p>
      <w:pPr>
        <w:pStyle w:val="Heading2"/>
      </w:pPr>
      <w:r>
        <w:t>1.2 Document Conventions</w:t>
      </w:r>
    </w:p>
    <w:p>
      <w:r>
        <w:t>Requirement identifiers use the form REQ-NN. The word must indicates a mandatory requirement.</w:t>
      </w:r>
    </w:p>
    <w:p>
      <w:pPr>
        <w:pStyle w:val="Heading2"/>
      </w:pPr>
      <w:r>
        <w:t>1.3 Definitions, Acronyms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Token, a signed bearer credential</w:t>
            </w:r>
          </w:p>
        </w:tc>
      </w:tr>
      <w:tr>
        <w:tc>
          <w:tcPr>
            <w:tcW w:type="dxa" w:w="4320"/>
          </w:tcPr>
          <w:p>
            <w:r>
              <w:t>2FA</w:t>
            </w:r>
          </w:p>
        </w:tc>
        <w:tc>
          <w:tcPr>
            <w:tcW w:type="dxa" w:w="4320"/>
          </w:tcPr>
          <w:p>
            <w:r>
              <w:t>Two-factor authentication</w:t>
            </w:r>
          </w:p>
        </w:tc>
      </w:tr>
    </w:tbl>
    <w:p>
      <w:pPr>
        <w:pStyle w:val="Heading2"/>
      </w:pPr>
      <w:r>
        <w:t>1.4 References</w:t>
      </w:r>
    </w:p>
    <w:p>
      <w:r>
        <w:t>IEEE Std 830-1998, Recommended Practice for Software Requirements Specifications.</w:t>
      </w:r>
    </w:p>
    <w:p>
      <w:pPr>
        <w:pStyle w:val="Heading1"/>
      </w:pPr>
      <w:r>
        <w:t>2 Overall Description</w:t>
      </w:r>
    </w:p>
    <w:p>
      <w:r>
        <w:t>The platform exposes a REST API consumed by the web storefront and mobile apps.</w:t>
      </w:r>
    </w:p>
    <w:p>
      <w:r>
        <w:drawing>
          <wp:inline xmlns:a="http://schemas.openxmlformats.org/drawingml/2006/main" xmlns:pic="http://schemas.openxmlformats.org/drawingml/2006/picture">
            <wp:extent cx="4064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System context diagram</w:t>
      </w:r>
    </w:p>
    <w:p>
      <w:pPr>
        <w:pStyle w:val="Heading1"/>
      </w:pPr>
      <w:r>
        <w:t>3 Specific Requirements</w:t>
      </w:r>
    </w:p>
    <w:p>
      <w:pPr>
        <w:pStyle w:val="Heading2"/>
      </w:pPr>
      <w:r>
        <w:t>3.1 Core Functional Requirements</w:t>
      </w:r>
    </w:p>
    <w:p>
      <w:pPr>
        <w:pStyle w:val="Caption"/>
      </w:pPr>
      <w:r>
        <w:t>Table 2: Core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REQ-01</w:t>
            </w:r>
          </w:p>
        </w:tc>
        <w:tc>
          <w:tcPr>
            <w:tcW w:type="dxa" w:w="2160"/>
          </w:tcPr>
          <w:p>
            <w:r>
              <w:t>User Authentication &amp; Session Management</w:t>
            </w:r>
          </w:p>
        </w:tc>
        <w:tc>
          <w:tcPr>
            <w:tcW w:type="dxa" w:w="2160"/>
          </w:tcPr>
          <w:p>
            <w:r>
              <w:t>The system must provide a secure user authentication mechanism that validates credentials against stored hashed passwords and issues a signed JWT access token with a configurable expiry time. All authenticated sessions must be uniquely identifiable via a session_id field returned in the authentication response, enabling session revocation and audit trail generation.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REQ-02</w:t>
            </w:r>
          </w:p>
        </w:tc>
        <w:tc>
          <w:tcPr>
            <w:tcW w:type="dxa" w:w="2160"/>
          </w:tcPr>
          <w:p>
            <w:r>
              <w:t>Product Catalogue Retrieval</w:t>
            </w:r>
          </w:p>
        </w:tc>
        <w:tc>
          <w:tcPr>
            <w:tcW w:type="dxa" w:w="2160"/>
          </w:tcPr>
          <w:p>
            <w:r>
              <w:t>The system must expose a paginated endpoint to retrieve the full product catalogue, supporting filtering by keyword, category, and price range. Each product record in the response must include the product_id, name, description, category, price, stock_quantity, and at least one associated image_url. The endpoint must accept pagination parameters (page and page_size) to control result volume.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REQ-03</w:t>
            </w:r>
          </w:p>
        </w:tc>
        <w:tc>
          <w:tcPr>
            <w:tcW w:type="dxa" w:w="2160"/>
          </w:tcPr>
          <w:p>
            <w:r>
              <w:t>Shopping Cart Management</w:t>
            </w:r>
          </w:p>
        </w:tc>
        <w:tc>
          <w:tcPr>
            <w:tcW w:type="dxa" w:w="2160"/>
          </w:tcPr>
          <w:p>
            <w:r>
              <w:t>The system must allow authenticated users to add, update quantity, and remove individual items from a persistent shopping cart. Every cart state response must include the full list of cart items with their item_id, product_id, quantity, unit_price, and a server-computed subtotal reflecting the current cart total. Cart state must persist across user sessions.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REQ-04</w:t>
            </w:r>
          </w:p>
        </w:tc>
        <w:tc>
          <w:tcPr>
            <w:tcW w:type="dxa" w:w="2160"/>
          </w:tcPr>
          <w:p>
            <w:r>
              <w:t>Refund Transaction Integrity</w:t>
            </w:r>
          </w:p>
        </w:tc>
        <w:tc>
          <w:tcPr>
            <w:tcW w:type="dxa" w:w="2160"/>
          </w:tcPr>
          <w:p>
            <w:r>
              <w:t>All refund transactions must include a unique, client-provided transaction_id field in the request body to enable idempotent processing and financial audit compliance. This transaction_id must also appear in the refund receipt returned in the API response, ensuring end-to-end traceability of every refund operation initiated by the client system.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REQ-05</w:t>
            </w:r>
          </w:p>
        </w:tc>
        <w:tc>
          <w:tcPr>
            <w:tcW w:type="dxa" w:w="2160"/>
          </w:tcPr>
          <w:p>
            <w:r>
              <w:t>Checkout &amp; Order Placement</w:t>
            </w:r>
          </w:p>
        </w:tc>
        <w:tc>
          <w:tcPr>
            <w:tcW w:type="dxa" w:w="2160"/>
          </w:tcPr>
          <w:p>
            <w:r>
              <w:t>The checkout endpoint must accept a complete order payload including the user's cart contents, a validated shipping_address object, a selected delivery_method, and a payment_method_token. Upon successful order placement, the API must return a unique order_id and an estimated_delivery_date. The endpoint must reject incomplete payloads with a structured validation error response.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REQ-06</w:t>
            </w:r>
          </w:p>
        </w:tc>
        <w:tc>
          <w:tcPr>
            <w:tcW w:type="dxa" w:w="2160"/>
          </w:tcPr>
          <w:p>
            <w:r>
              <w:t>Payment Method Support</w:t>
            </w:r>
          </w:p>
        </w:tc>
        <w:tc>
          <w:tcPr>
            <w:tcW w:type="dxa" w:w="2160"/>
          </w:tcPr>
          <w:p>
            <w:r>
              <w:t>The system must support multiple payment methods including credit and debit card payments (via card_token), digital wallet payments through Apple Pay (via apple_pay_token) and Google Pay (via google_pay_token), and previously stored payment instruments (via saved_payment_id). The payment_type field must be explicitly declared in every payment processing request to identify the method being used.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pPr>
        <w:pStyle w:val="Heading2"/>
      </w:pPr>
      <w:r>
        <w:t>3.2 Order Lifecycle Requirements</w:t>
      </w:r>
    </w:p>
    <w:p>
      <w:pPr>
        <w:pStyle w:val="Heading3"/>
      </w:pPr>
      <w:r>
        <w:t>REQ-07: Order Status Tracking</w:t>
      </w:r>
    </w:p>
    <w:p>
      <w:r>
        <w:t>The system must provide an authenticated endpoint that accepts an order_id and returns the real-time fulfilment status of that order. The status response must include a status_label field and an array of timeline_events, each with a stage name (order_placed, processing, dispatched, out_for_delivery, delivered) and its corresponding ISO 8601 timestamp. Orders that do not belong to the authenticated user must return a 403 Forbidden response.</w:t>
      </w:r>
    </w:p>
    <w:p>
      <w:pPr>
        <w:pStyle w:val="Heading3"/>
      </w:pPr>
      <w:r>
        <w:t>REQ-08: User Profile Management</w:t>
      </w:r>
    </w:p>
    <w:p>
      <w:r>
        <w:t>Authenticated users must be able to retrieve and update their profile information via dedicated GET and PUT endpoints. Updatable fields must include display_name, email, shipping_addresses (an array), and notification_preferences. Any request to change the email field must set an email_verification_pending flag in the response, indicating that a re-verification workflow has been triggered.</w:t>
      </w:r>
    </w:p>
    <w:p>
      <w:pPr>
        <w:pStyle w:val="Heading3"/>
      </w:pPr>
      <w:r>
        <w:t>REQ-09: Two-Factor Authentication Enforcement</w:t>
      </w:r>
    </w:p>
    <w:p>
      <w:r>
        <w:t>All high-value operations — defined as orders with a total value exceeding $500 or first-time registration of a new payment method — must require Two-Factor Authentication (2FA) verification before the operation is permitted to proceed. The system must expose a dedicated 2fa/challenge endpoint to issue a time-limited OTP, and a 2fa/verify endpoint to validate the user's submitted code before the primary operation is authorised.</w:t>
      </w:r>
    </w:p>
    <w:p>
      <w:pPr>
        <w:pStyle w:val="Heading3"/>
      </w:pPr>
      <w:r>
        <w:t>REQ-10: Notification Subscription Management</w:t>
      </w:r>
    </w:p>
    <w:p>
      <w:r>
        <w:t>The system must allow authenticated users to retrieve and modify their notification preferences via dedicated endpoints. Subscribable notification categories must include order_updates, promotional_offers, and security_alerts. Preference changes must be persisted immediately and honoured by all downstream messaging services. The response must confirm the updated preference state for each category.</w:t>
      </w:r>
    </w:p>
    <w:p>
      <w:pPr>
        <w:pStyle w:val="Heading1"/>
      </w:pPr>
      <w:r>
        <w:t>Appendix A: Glossary</w:t>
      </w:r>
    </w:p>
    <w:p>
      <w:r>
        <w:t>REQ-99: Example requirement format</w:t>
      </w:r>
    </w:p>
    <w:p>
      <w:r>
        <w:t>Every requirement is written as an ID, a short title and a statement.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 of 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Nexus E-Commerce Platform SRS v1.0 -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</w:style>
  <w:style w:type="paragraph" w:customStyle="1" w:styleId="TOC2">
    <w:name w:val="TOC 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/>
  <dc:creator>SRS fixture generator</dc:creator>
  <cp:keywords/>
  <dc:description>generated by python-docx</dc:description>
  <cp:lastModifiedBy>SRS fixture generator</cp:lastModifiedBy>
  <cp:revision>1</cp:revision>
  <dcterms:created xsi:type="dcterms:W3CDTF">2026-10-01T09:00:00Z</dcterms:created>
  <dcterms:modified xsi:type="dcterms:W3CDTF">2026-10-01T09:00:00Z</dcterms:modified>
  <cp:category/>
</cp:coreProperties>
</file>