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AQLIYA</w:t>
      </w:r>
    </w:p>
    <w:p>
      <w:pPr>
        <w:pStyle w:val="Heading2"/>
        <w:spacing w:after="200"/>
        <w:jc w:val="center"/>
      </w:pPr>
      <w:r>
        <w:t xml:space="preserve">Website Content Rewrite — Professional Copy</w:t>
      </w:r>
    </w:p>
    <w:p>
      <w:pPr>
        <w:spacing w:after="400"/>
        <w:jc w:val="center"/>
      </w:pPr>
      <w:r>
        <w:t xml:space="preserve">إعادة صياغة محتوى الموقع الإلكتروني</w:t>
      </w:r>
    </w:p>
    <w:p>
      <w:pPr>
        <w:pStyle w:val="Heading1"/>
        <w:spacing w:after="200" w:before="400"/>
      </w:pPr>
      <w:r>
        <w:t xml:space="preserve">1. CORE POSITIONING</w:t>
      </w:r>
    </w:p>
    <w:p>
      <w:pPr>
        <w:pStyle w:val="Heading3"/>
        <w:spacing w:after="100" w:before="200"/>
      </w:pPr>
      <w:r>
        <w:t xml:space="preserve">One-Liner (English)</w:t>
      </w:r>
    </w:p>
    <w:p>
      <w:pPr>
        <w:spacing w:after="300"/>
        <w:ind w:left="720"/>
      </w:pPr>
      <w:r>
        <w:t xml:space="preserve">AQLIYA — Private Governed Institutional Intelligence.</w:t>
      </w:r>
    </w:p>
    <w:p>
      <w:pPr>
        <w:pStyle w:val="Heading3"/>
        <w:spacing w:after="100" w:before="200"/>
      </w:pPr>
      <w:r>
        <w:t xml:space="preserve">One-Liner (Arabic)</w:t>
      </w:r>
    </w:p>
    <w:p>
      <w:pPr>
        <w:spacing w:after="300"/>
        <w:ind w:left="720"/>
      </w:pPr>
      <w:r>
        <w:t xml:space="preserve">عقلية — منصة ذكاء مؤسسي خاص ومحكوم</w:t>
      </w:r>
    </w:p>
    <w:p>
      <w:pPr>
        <w:pStyle w:val="Heading3"/>
        <w:spacing w:after="100" w:before="200"/>
      </w:pPr>
      <w:r>
        <w:t xml:space="preserve">Platform Description (English)</w:t>
      </w:r>
    </w:p>
    <w:p>
      <w:pPr>
        <w:spacing w:after="300"/>
        <w:ind w:left="720"/>
      </w:pPr>
      <w:r>
        <w:t xml:space="preserve">AQLIYA is an institutional intelligence platform that builds governed systems on a shared core. Every output is evidence-linked. Every step requires human review. Every decision is auditable. Cloud is live. Private / On-Prem is a strategic future deployment path, not yet available as a production package.</w:t>
      </w:r>
    </w:p>
    <w:p>
      <w:pPr>
        <w:pStyle w:val="Heading3"/>
        <w:spacing w:after="100" w:before="200"/>
      </w:pPr>
      <w:r>
        <w:t xml:space="preserve">Platform Description (Arabic)</w:t>
      </w:r>
    </w:p>
    <w:p>
      <w:pPr>
        <w:spacing w:after="300"/>
        <w:ind w:left="720"/>
      </w:pPr>
      <w:r>
        <w:t xml:space="preserve">عقلية هي منصة تشغيل مؤسسية تبني خطوط أنظمة ذكية فوق نواة حوكمة واحدة. كل مخرج مربوط بالدليل، كل خطوة تحتاج مراجعة بشرية، وكل قرار موثق في سجل تدقيق قابل للمراجعة. السحابة متاحة الآن. الخوادم الخاصة / On-Prem مسار استراتيجي مستقبلي، وليست حزمة إنتاجية متاحة حاليًا.</w:t>
      </w:r>
    </w:p>
    <w:p>
      <w:pPr>
        <w:pStyle w:val="Heading1"/>
        <w:spacing w:after="200" w:before="400"/>
      </w:pPr>
      <w:r>
        <w:t xml:space="preserve">2. TRUST PRINCIPLE</w:t>
      </w:r>
    </w:p>
    <w:p>
      <w:pPr>
        <w:pStyle w:val="Heading3"/>
        <w:spacing w:after="100" w:before="100"/>
      </w:pPr>
      <w:r>
        <w:t xml:space="preserve">English:</w:t>
      </w:r>
    </w:p>
    <w:p>
      <w:pPr>
        <w:spacing w:after="200"/>
        <w:ind w:left="720"/>
      </w:pPr>
      <w:r>
        <w:t xml:space="preserve">AI assists. Humans decide. Evidence governs.</w:t>
      </w:r>
    </w:p>
    <w:p>
      <w:pPr>
        <w:pStyle w:val="Heading3"/>
        <w:spacing w:after="100" w:before="100"/>
      </w:pPr>
      <w:r>
        <w:t xml:space="preserve">Arabic:</w:t>
      </w:r>
    </w:p>
    <w:p>
      <w:pPr>
        <w:spacing w:after="300"/>
        <w:ind w:left="720"/>
      </w:pPr>
      <w:r>
        <w:t xml:space="preserve">الذكاء الاصطناعي يساعد. الإنسان يقرر. الدليل يحكم.</w:t>
      </w:r>
    </w:p>
    <w:p>
      <w:pPr>
        <w:pStyle w:val="Heading1"/>
        <w:spacing w:after="200" w:before="400"/>
      </w:pPr>
      <w:r>
        <w:t xml:space="preserve">3. WHAT AQLIYA IS &amp; IS NOT</w:t>
      </w:r>
    </w:p>
    <w:p>
      <w:pPr>
        <w:pStyle w:val="Heading3"/>
        <w:spacing w:after="100" w:before="200"/>
      </w:pPr>
      <w:r>
        <w:t xml:space="preserve">What AQLIYA Is</w:t>
      </w:r>
    </w:p>
    <w:p>
      <w:pPr>
        <w:pStyle w:val="ListParagraph"/>
        <w:numPr>
          <w:ilvl w:val="0"/>
          <w:numId w:val="1"/>
        </w:numPr>
        <w:spacing w:after="80"/>
        <w:ind w:left="720"/>
      </w:pPr>
      <w:r>
        <w:t xml:space="preserve">A Private Governed Institutional Intelligence Platform — institutions keep control of their data, decisions, and governance</w:t>
      </w:r>
    </w:p>
    <w:p>
      <w:pPr>
        <w:pStyle w:val="ListParagraph"/>
        <w:numPr>
          <w:ilvl w:val="0"/>
          <w:numId w:val="1"/>
        </w:numPr>
        <w:spacing w:after="80"/>
        <w:ind w:left="720"/>
      </w:pPr>
      <w:r>
        <w:t xml:space="preserve">A multi-product platform company — multiple system lines built on a shared intelligence core</w:t>
      </w:r>
    </w:p>
    <w:p>
      <w:pPr>
        <w:pStyle w:val="ListParagraph"/>
        <w:numPr>
          <w:ilvl w:val="0"/>
          <w:numId w:val="1"/>
        </w:numPr>
        <w:spacing w:after="80"/>
        <w:ind w:left="720"/>
      </w:pPr>
      <w:r>
        <w:t xml:space="preserve">A Cloud-first platform with Private/On-Prem as a strategic future deployment model</w:t>
      </w:r>
    </w:p>
    <w:p>
      <w:pPr>
        <w:pStyle w:val="ListParagraph"/>
        <w:numPr>
          <w:ilvl w:val="0"/>
          <w:numId w:val="1"/>
        </w:numPr>
        <w:spacing w:after="80"/>
        <w:ind w:left="720"/>
      </w:pPr>
      <w:r>
        <w:t xml:space="preserve">A governance-first system: every AI output is evidence-linked, human-reviewed, and auditable</w:t>
      </w:r>
    </w:p>
    <w:p>
      <w:pPr>
        <w:pStyle w:val="ListParagraph"/>
        <w:numPr>
          <w:ilvl w:val="0"/>
          <w:numId w:val="1"/>
        </w:numPr>
        <w:spacing w:after="300"/>
        <w:ind w:left="720"/>
      </w:pPr>
      <w:r>
        <w:t xml:space="preserve">A custom systems builder (via AQLIYA Studio, strategic/future) — enabling institutional systems without starting from scratch</w:t>
      </w:r>
    </w:p>
    <w:p>
      <w:pPr>
        <w:pStyle w:val="Heading3"/>
        <w:spacing w:after="100" w:before="200"/>
      </w:pPr>
      <w:r>
        <w:t xml:space="preserve">What AQLIYA Is NOT</w:t>
      </w:r>
    </w:p>
    <w:p>
      <w:pPr>
        <w:pStyle w:val="ListParagraph"/>
        <w:numPr>
          <w:ilvl w:val="0"/>
          <w:numId w:val="1"/>
        </w:numPr>
        <w:spacing w:after="80"/>
        <w:ind w:left="720"/>
      </w:pPr>
      <w:r>
        <w:t xml:space="preserve">NOT an AI chatbot</w:t>
      </w:r>
    </w:p>
    <w:p>
      <w:pPr>
        <w:pStyle w:val="ListParagraph"/>
        <w:numPr>
          <w:ilvl w:val="0"/>
          <w:numId w:val="1"/>
        </w:numPr>
        <w:spacing w:after="80"/>
        <w:ind w:left="720"/>
      </w:pPr>
      <w:r>
        <w:t xml:space="preserve">NOT SaaS only</w:t>
      </w:r>
    </w:p>
    <w:p>
      <w:pPr>
        <w:pStyle w:val="ListParagraph"/>
        <w:numPr>
          <w:ilvl w:val="0"/>
          <w:numId w:val="1"/>
        </w:numPr>
        <w:spacing w:after="80"/>
        <w:ind w:left="720"/>
      </w:pPr>
      <w:r>
        <w:t xml:space="preserve">NOT AuditOS only</w:t>
      </w:r>
    </w:p>
    <w:p>
      <w:pPr>
        <w:pStyle w:val="ListParagraph"/>
        <w:numPr>
          <w:ilvl w:val="0"/>
          <w:numId w:val="1"/>
        </w:numPr>
        <w:spacing w:after="80"/>
        <w:ind w:left="720"/>
      </w:pPr>
      <w:r>
        <w:t xml:space="preserve">NOT a CRM</w:t>
      </w:r>
    </w:p>
    <w:p>
      <w:pPr>
        <w:pStyle w:val="ListParagraph"/>
        <w:numPr>
          <w:ilvl w:val="0"/>
          <w:numId w:val="1"/>
        </w:numPr>
        <w:spacing w:after="80"/>
        <w:ind w:left="720"/>
      </w:pPr>
      <w:r>
        <w:t xml:space="preserve">NOT a generic workflow tool</w:t>
      </w:r>
    </w:p>
    <w:p>
      <w:pPr>
        <w:pStyle w:val="ListParagraph"/>
        <w:numPr>
          <w:ilvl w:val="0"/>
          <w:numId w:val="1"/>
        </w:numPr>
        <w:spacing w:after="300"/>
        <w:ind w:left="720"/>
      </w:pPr>
      <w:r>
        <w:t xml:space="preserve">NOT a replacement for professional judgment</w:t>
      </w:r>
    </w:p>
    <w:p>
      <w:pPr>
        <w:pageBreakBefore/>
      </w:pPr>
    </w:p>
    <w:p>
      <w:pPr>
        <w:pStyle w:val="Heading1"/>
        <w:spacing w:after="200" w:before="200"/>
      </w:pPr>
      <w:r>
        <w:t xml:space="preserve">4. PRODUCT STATUS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0%"/>
            <w:shd w:fill="D3D3D3" w:val="clear"/>
          </w:tcPr>
          <w:p>
            <w:r>
              <w:t xml:space="preserve">Product</w:t>
            </w:r>
          </w:p>
        </w:tc>
        <w:tc>
          <w:tcPr>
            <w:tcW w:type="pct" w:w="25%"/>
            <w:shd w:fill="D3D3D3" w:val="clear"/>
          </w:tcPr>
          <w:p>
            <w:r>
              <w:t xml:space="preserve">Arabic Status</w:t>
            </w:r>
          </w:p>
        </w:tc>
        <w:tc>
          <w:tcPr>
            <w:tcW w:type="pct" w:w="25%"/>
            <w:shd w:fill="D3D3D3" w:val="clear"/>
          </w:tcPr>
          <w:p>
            <w:r>
              <w:t xml:space="preserve">English Status</w:t>
            </w:r>
          </w:p>
        </w:tc>
        <w:tc>
          <w:tcPr>
            <w:tcW w:type="pct" w:w="30%"/>
            <w:shd w:fill="D3D3D3" w:val="clear"/>
          </w:tcPr>
          <w:p>
            <w:r>
              <w:t xml:space="preserve">Treatment</w:t>
            </w:r>
          </w:p>
        </w:tc>
      </w:tr>
      <w:tr>
        <w:tc>
          <w:tcPr>
            <w:tcW w:type="pct" w:w="20%"/>
          </w:tcPr>
          <w:p>
            <w:r>
              <w:t xml:space="preserve">AuditOS</w:t>
            </w:r>
          </w:p>
        </w:tc>
        <w:tc>
          <w:tcPr>
            <w:tcW w:type="pct" w:w="25%"/>
          </w:tcPr>
          <w:p>
            <w:r>
              <w:t xml:space="preserve">أول تطبيق مُثبت — جاهز للتجربة</w:t>
            </w:r>
          </w:p>
        </w:tc>
        <w:tc>
          <w:tcPr>
            <w:tcW w:type="pct" w:w="25%"/>
          </w:tcPr>
          <w:p>
            <w:r>
              <w:t xml:space="preserve">First proof product — pilot-ready</w:t>
            </w:r>
          </w:p>
        </w:tc>
        <w:tc>
          <w:tcPr>
            <w:tcW w:type="pct" w:w="30%"/>
          </w:tcPr>
          <w:p>
            <w:r>
              <w:t xml:space="preserve">Strongest marketed product. Full page + demo.</w:t>
            </w:r>
          </w:p>
        </w:tc>
      </w:tr>
      <w:tr>
        <w:tc>
          <w:tcPr>
            <w:tcW w:type="pct" w:w="20%"/>
          </w:tcPr>
          <w:p>
            <w:r>
              <w:t xml:space="preserve">LocalContentOS</w:t>
            </w:r>
          </w:p>
        </w:tc>
        <w:tc>
          <w:tcPr>
            <w:tcW w:type="pct" w:w="25%"/>
          </w:tcPr>
          <w:p>
            <w:r>
              <w:t xml:space="preserve">استراتيجي — المنتج الثاني — قيد التخطيط</w:t>
            </w:r>
          </w:p>
        </w:tc>
        <w:tc>
          <w:tcPr>
            <w:tcW w:type="pct" w:w="25%"/>
          </w:tcPr>
          <w:p>
            <w:r>
              <w:t xml:space="preserve">Strategic second product — in planning</w:t>
            </w:r>
          </w:p>
        </w:tc>
        <w:tc>
          <w:tcPr>
            <w:tcW w:type="pct" w:w="30%"/>
          </w:tcPr>
          <w:p>
            <w:r>
              <w:t xml:space="preserve">Marketing page, clear disclaimer</w:t>
            </w:r>
          </w:p>
        </w:tc>
      </w:tr>
      <w:tr>
        <w:tc>
          <w:tcPr>
            <w:tcW w:type="pct" w:w="20%"/>
          </w:tcPr>
          <w:p>
            <w:r>
              <w:t xml:space="preserve">DecisionOS</w:t>
            </w:r>
          </w:p>
        </w:tc>
        <w:tc>
          <w:tcPr>
            <w:tcW w:type="pct" w:w="25%"/>
          </w:tcPr>
          <w:p>
            <w:r>
              <w:t xml:space="preserve">نظام مجاور — نشط</w:t>
            </w:r>
          </w:p>
        </w:tc>
        <w:tc>
          <w:tcPr>
            <w:tcW w:type="pct" w:w="25%"/>
          </w:tcPr>
          <w:p>
            <w:r>
              <w:t xml:space="preserve">Adjacent active system</w:t>
            </w:r>
          </w:p>
        </w:tc>
        <w:tc>
          <w:tcPr>
            <w:tcW w:type="pct" w:w="30%"/>
          </w:tcPr>
          <w:p>
            <w:r>
              <w:t xml:space="preserve">Active workspace, not primary product</w:t>
            </w:r>
          </w:p>
        </w:tc>
      </w:tr>
      <w:tr>
        <w:tc>
          <w:tcPr>
            <w:tcW w:type="pct" w:w="20%"/>
          </w:tcPr>
          <w:p>
            <w:r>
              <w:t xml:space="preserve">SalesOS</w:t>
            </w:r>
          </w:p>
        </w:tc>
        <w:tc>
          <w:tcPr>
            <w:tcW w:type="pct" w:w="25%"/>
          </w:tcPr>
          <w:p>
            <w:r>
              <w:t xml:space="preserve">نموذج أولي — مستقبلي</w:t>
            </w:r>
          </w:p>
        </w:tc>
        <w:tc>
          <w:tcPr>
            <w:tcW w:type="pct" w:w="25%"/>
          </w:tcPr>
          <w:p>
            <w:r>
              <w:t xml:space="preserve">Prototype — future</w:t>
            </w:r>
          </w:p>
        </w:tc>
        <w:tc>
          <w:tcPr>
            <w:tcW w:type="pct" w:w="30%"/>
          </w:tcPr>
          <w:p>
            <w:r>
              <w:t xml:space="preserve">Static demo, clear disclaimer</w:t>
            </w:r>
          </w:p>
        </w:tc>
      </w:tr>
      <w:tr>
        <w:tc>
          <w:tcPr>
            <w:tcW w:type="pct" w:w="20%"/>
          </w:tcPr>
          <w:p>
            <w:r>
              <w:t xml:space="preserve">SimulationOS</w:t>
            </w:r>
          </w:p>
        </w:tc>
        <w:tc>
          <w:tcPr>
            <w:tcW w:type="pct" w:w="25%"/>
          </w:tcPr>
          <w:p>
            <w:r>
              <w:t xml:space="preserve">مفهوم — مستقبلي</w:t>
            </w:r>
          </w:p>
        </w:tc>
        <w:tc>
          <w:tcPr>
            <w:tcW w:type="pct" w:w="25%"/>
          </w:tcPr>
          <w:p>
            <w:r>
              <w:t xml:space="preserve">Marketing concept — future</w:t>
            </w:r>
          </w:p>
        </w:tc>
        <w:tc>
          <w:tcPr>
            <w:tcW w:type="pct" w:w="30%"/>
          </w:tcPr>
          <w:p>
            <w:r>
              <w:t xml:space="preserve">Concept page, not in dev</w:t>
            </w:r>
          </w:p>
        </w:tc>
      </w:tr>
    </w:tbl>
    <w:p>
      <w:pPr>
        <w:pStyle w:val="Heading1"/>
        <w:spacing w:after="200" w:before="400"/>
      </w:pPr>
      <w:r>
        <w:t xml:space="preserve">5. DEPLOYMENT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00" w:hRule="atLeast"/>
        </w:trPr>
        <w:tc>
          <w:tcPr>
            <w:tcW w:type="pct" w:w="25%"/>
            <w:shd w:fill="D3D3D3" w:val="clear"/>
          </w:tcPr>
          <w:p>
            <w:r>
              <w:t xml:space="preserve">Model</w:t>
            </w:r>
          </w:p>
        </w:tc>
        <w:tc>
          <w:tcPr>
            <w:tcW w:type="pct" w:w="25%"/>
            <w:shd w:fill="D3D3D3" w:val="clear"/>
          </w:tcPr>
          <w:p>
            <w:r>
              <w:t xml:space="preserve">Arabic Description</w:t>
            </w:r>
          </w:p>
        </w:tc>
        <w:tc>
          <w:tcPr>
            <w:tcW w:type="pct" w:w="25%"/>
            <w:shd w:fill="D3D3D3" w:val="clear"/>
          </w:tcPr>
          <w:p>
            <w:r>
              <w:t xml:space="preserve">English Description</w:t>
            </w:r>
          </w:p>
        </w:tc>
        <w:tc>
          <w:tcPr>
            <w:tcW w:type="pct" w:w="25%"/>
            <w:shd w:fill="D3D3D3" w:val="clear"/>
          </w:tcPr>
          <w:p>
            <w:r>
              <w:t xml:space="preserve">Status</w:t>
            </w:r>
          </w:p>
        </w:tc>
      </w:tr>
      <w:tr>
        <w:tc>
          <w:tcPr>
            <w:tcW w:type="pct" w:w="25%"/>
          </w:tcPr>
          <w:p>
            <w:r>
              <w:t xml:space="preserve">Cloud</w:t>
            </w:r>
          </w:p>
        </w:tc>
        <w:tc>
          <w:tcPr>
            <w:tcW w:type="pct" w:w="25%"/>
          </w:tcPr>
          <w:p>
            <w:r>
              <w:t xml:space="preserve">سحابة عقلية — النسخة السحابية متاحة الآن. إدارة للخصائص الحالية المتاحة، تحديثات تشغيلية، ونسخ احتياطي.</w:t>
            </w:r>
          </w:p>
        </w:tc>
        <w:tc>
          <w:tcPr>
            <w:tcW w:type="pct" w:w="25%"/>
          </w:tcPr>
          <w:p>
            <w:r>
              <w:t xml:space="preserve">AQLIYA Cloud — managed cloud deployment for currently available capabilities. Suitable for SMEs and mid-market.</w:t>
            </w:r>
          </w:p>
        </w:tc>
        <w:tc>
          <w:tcPr>
            <w:tcW w:type="pct" w:w="25%"/>
          </w:tcPr>
          <w:p>
            <w:r>
              <w:t xml:space="preserve">Available now</w:t>
            </w:r>
          </w:p>
        </w:tc>
      </w:tr>
      <w:tr>
        <w:tc>
          <w:tcPr>
            <w:tcW w:type="pct" w:w="25%"/>
          </w:tcPr>
          <w:p>
            <w:r>
              <w:t xml:space="preserve">Private/On-Prem</w:t>
            </w:r>
          </w:p>
        </w:tc>
        <w:tc>
          <w:tcPr>
            <w:tcW w:type="pct" w:w="25%"/>
          </w:tcPr>
          <w:p>
            <w:r>
              <w:t xml:space="preserve">خوادم خاصة — مسار استراتيجي مستقبلي قيد التخطيط. ليس متاحًا حاليًا كحزمة إنتاجية.</w:t>
            </w:r>
          </w:p>
        </w:tc>
        <w:tc>
          <w:tcPr>
            <w:tcW w:type="pct" w:w="25%"/>
          </w:tcPr>
          <w:p>
            <w:r>
              <w:t xml:space="preserve">Private/On-Prem — strategic future deployment path under planning. Not currently available as production.</w:t>
            </w:r>
          </w:p>
        </w:tc>
        <w:tc>
          <w:tcPr>
            <w:tcW w:type="pct" w:w="25%"/>
          </w:tcPr>
          <w:p>
            <w:r>
              <w:t xml:space="preserve">Strategic/future</w:t>
            </w:r>
          </w:p>
        </w:tc>
      </w:tr>
      <w:tr>
        <w:tc>
          <w:tcPr>
            <w:tcW w:type="pct" w:w="25%"/>
          </w:tcPr>
          <w:p>
            <w:r>
              <w:t xml:space="preserve">Air-Gapped</w:t>
            </w:r>
          </w:p>
        </w:tc>
        <w:tc>
          <w:tcPr>
            <w:tcW w:type="pct" w:w="25%"/>
          </w:tcPr>
          <w:p>
            <w:r>
              <w:t xml:space="preserve">بيئة معزولة — نموذج استراتيجي مستقبلي للمؤسسات ذات المتطلبات الأمنية العالية.</w:t>
            </w:r>
          </w:p>
        </w:tc>
        <w:tc>
          <w:tcPr>
            <w:tcW w:type="pct" w:w="25%"/>
          </w:tcPr>
          <w:p>
            <w:r>
              <w:t xml:space="preserve">Air-Gapped — strategic future model for high-security environments.</w:t>
            </w:r>
          </w:p>
        </w:tc>
        <w:tc>
          <w:tcPr>
            <w:tcW w:type="pct" w:w="25%"/>
          </w:tcPr>
          <w:p>
            <w:r>
              <w:t xml:space="preserve">Strategic/future</w:t>
            </w:r>
          </w:p>
        </w:tc>
      </w:tr>
    </w:tbl>
    <w:p>
      <w:pPr>
        <w:pageBreakBefore/>
      </w:pPr>
    </w:p>
    <w:p>
      <w:pPr>
        <w:pStyle w:val="Heading1"/>
        <w:spacing w:after="200" w:before="200"/>
      </w:pPr>
      <w:r>
        <w:t xml:space="preserve">6. KEY PAGE COPY</w:t>
      </w:r>
    </w:p>
    <w:p>
      <w:pPr>
        <w:pStyle w:val="Heading2"/>
        <w:spacing w:after="100" w:before="200"/>
      </w:pPr>
      <w:r>
        <w:t xml:space="preserve">Homepage Hero Section</w:t>
      </w:r>
    </w:p>
    <w:p>
      <w:pPr>
        <w:pStyle w:val="Heading3"/>
        <w:spacing w:after="80" w:before="100"/>
      </w:pPr>
      <w:r>
        <w:t xml:space="preserve">Headline (English):</w:t>
      </w:r>
    </w:p>
    <w:p>
      <w:pPr>
        <w:spacing w:after="200"/>
        <w:ind w:left="720"/>
      </w:pPr>
      <w:r>
        <w:t xml:space="preserve">An institutional architecture that makes intelligence useful, understandable, and governed. AQLIYA is not a chatbot layer over chaos — it is an operating platform that connects data, rules, permissions, evidence, and review in a single trustworthy chain.</w:t>
      </w:r>
    </w:p>
    <w:p>
      <w:pPr>
        <w:pStyle w:val="Heading3"/>
        <w:spacing w:after="80" w:before="100"/>
      </w:pPr>
      <w:r>
        <w:t xml:space="preserve">Headline (Arabic):</w:t>
      </w:r>
    </w:p>
    <w:p>
      <w:pPr>
        <w:spacing w:after="300"/>
        <w:ind w:left="720"/>
      </w:pPr>
      <w:r>
        <w:t xml:space="preserve">بنية مؤسسية تجعل الذكاء مفيدًا، مفهومًا، ومحكومًا. عقلية ليست طبقة محادثة فوق المؤسسة. هي منصة تشغيل تربط البيانات، القواعد، الصلاحيات، الأدلة، والمراجعة داخل مسار واحد يمكن الوثوق به.</w:t>
      </w:r>
    </w:p>
    <w:p>
      <w:pPr>
        <w:pStyle w:val="Heading3"/>
        <w:spacing w:after="100" w:before="200"/>
      </w:pPr>
      <w:r>
        <w:t xml:space="preserve">Supporting Points</w:t>
      </w:r>
    </w:p>
    <w:p>
      <w:pPr>
        <w:pStyle w:val="ListParagraph"/>
        <w:numPr>
          <w:ilvl w:val="0"/>
          <w:numId w:val="1"/>
        </w:numPr>
        <w:spacing w:after="80"/>
        <w:ind w:left="720"/>
      </w:pPr>
      <w:r>
        <w:t xml:space="preserve">Intelligence that operates within institutional bounds, not outside them</w:t>
      </w:r>
    </w:p>
    <w:p>
      <w:pPr>
        <w:pStyle w:val="ListParagraph"/>
        <w:numPr>
          <w:ilvl w:val="0"/>
          <w:numId w:val="1"/>
        </w:numPr>
        <w:spacing w:after="80"/>
        <w:ind w:left="720"/>
      </w:pPr>
      <w:r>
        <w:t xml:space="preserve">Operating pathways that bind input, review, and decision in a single structure</w:t>
      </w:r>
    </w:p>
    <w:p>
      <w:pPr>
        <w:pStyle w:val="ListParagraph"/>
        <w:numPr>
          <w:ilvl w:val="0"/>
          <w:numId w:val="1"/>
        </w:numPr>
        <w:spacing w:after="300"/>
        <w:ind w:left="720"/>
      </w:pPr>
      <w:r>
        <w:t xml:space="preserve">Outputs that are understandable and reviewable—not quick answers without context</w:t>
      </w:r>
    </w:p>
    <w:p>
      <w:pPr>
        <w:pStyle w:val="Heading3"/>
        <w:spacing w:after="100" w:before="200"/>
      </w:pPr>
      <w:r>
        <w:t xml:space="preserve">Call-to-Action Buttons</w:t>
      </w:r>
    </w:p>
    <w:p>
      <w:pPr>
        <w:spacing w:after="60"/>
        <w:ind w:left="720"/>
      </w:pPr>
      <w:r>
        <w:t xml:space="preserve">Explore AQLIYA Systems</w:t>
      </w:r>
    </w:p>
    <w:p>
      <w:pPr>
        <w:spacing w:after="60"/>
        <w:ind w:left="720"/>
      </w:pPr>
      <w:r>
        <w:t xml:space="preserve">See AuditOS — First Proof Product</w:t>
      </w:r>
    </w:p>
    <w:p>
      <w:pPr>
        <w:spacing w:after="300"/>
        <w:ind w:left="720"/>
      </w:pPr>
      <w:r>
        <w:t xml:space="preserve">Design Your Institutional System</w:t>
      </w:r>
    </w:p>
    <w:p>
      <w:pPr>
        <w:pageBreakBefore/>
      </w:pPr>
    </w:p>
    <w:p>
      <w:pPr>
        <w:pStyle w:val="Heading2"/>
        <w:spacing w:after="100" w:before="400"/>
      </w:pPr>
      <w:r>
        <w:t xml:space="preserve">Document Information</w:t>
      </w:r>
    </w:p>
    <w:p>
      <w:r>
        <w:t xml:space="preserve">Version:</w:t>
      </w:r>
    </w:p>
    <w:p>
      <w:r>
        <w:t xml:space="preserve">v2 — Final Merged Rewrite</w:t>
      </w:r>
    </w:p>
    <w:p>
      <w:pPr>
        <w:spacing w:before="100"/>
      </w:pPr>
      <w:r>
        <w:t xml:space="preserve">Status:</w:t>
      </w:r>
    </w:p>
    <w:p>
      <w:r>
        <w:t xml:space="preserve">Ready for implementation</w:t>
      </w:r>
    </w:p>
    <w:p>
      <w:pPr>
        <w:spacing w:before="100"/>
      </w:pPr>
      <w:r>
        <w:t xml:space="preserve">Language:</w:t>
      </w:r>
    </w:p>
    <w:p>
      <w:r>
        <w:t xml:space="preserve">Bilingual (Arabic-first, English-supportive)</w:t>
      </w:r>
    </w:p>
    <w:p>
      <w:pPr>
        <w:spacing w:before="100"/>
      </w:pPr>
      <w:r>
        <w:t xml:space="preserve">Key Principles:</w:t>
      </w:r>
    </w:p>
    <w:p>
      <w:r>
        <w:t xml:space="preserve">Platform-first positioning, governance-first messaging, no unsupported capability claims, evidence-governed language.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2026-05-16T09:27:34.154Z</dcterms:created>
  <dcterms:modified xsi:type="dcterms:W3CDTF">2026-05-16T09:27:34.154Z</dcterms:modified>
</cp:coreProperties>
</file>

<file path=docProps/custom.xml><?xml version="1.0" encoding="utf-8"?>
<Properties xmlns="http://schemas.openxmlformats.org/officeDocument/2006/custom-properties" xmlns:vt="http://schemas.openxmlformats.org/officeDocument/2006/docPropsVTypes"/>
</file>