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hd w:fill="1A1A1A" w:val="clear"/>
        <w:spacing w:after="0" w:before="0"/>
        <w:jc w:val="center"/>
      </w:pPr>
      <w:r>
        <w:drawing>
          <wp:inline distT="0" distB="0" distL="0" distR="0">
            <wp:extent cx="571500" cy="1143000"/>
            <wp:effectExtent t="0" r="0" b="0" l="0"/>
            <wp:docPr id="1" name="Logo" descr="شعار محايد" title="MUH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 cy="1143000"/>
                    </a:xfrm>
                    <a:prstGeom prst="rect">
                      <a:avLst/>
                    </a:prstGeom>
                  </pic:spPr>
                </pic:pic>
              </a:graphicData>
            </a:graphic>
          </wp:inline>
        </w:drawing>
      </w:r>
    </w:p>
    <w:p>
      <w:pPr>
        <w:shd w:fill="1A1A1A" w:val="clear"/>
        <w:bidi/>
        <w:spacing w:after="0" w:before="0"/>
        <w:jc w:val="right"/>
      </w:pPr>
      <w:r>
        <w:rPr>
          <w:rFonts w:ascii="Arial" w:cs="Arial" w:eastAsia="Arial" w:hAnsi="Arial"/>
          <w:b/>
          <w:bCs/>
          <w:color w:val="E8771A"/>
          <w:sz w:val="52"/>
          <w:szCs w:val="52"/>
        </w:rPr>
        <w:t xml:space="preserve">محايد  |  MUHIDE</w:t>
      </w:r>
    </w:p>
    <w:p>
      <w:pPr>
        <w:shd w:fill="1A1A1A" w:val="clear"/>
        <w:bidi/>
        <w:spacing w:after="0" w:before="0"/>
        <w:jc w:val="right"/>
      </w:pPr>
      <w:r>
        <w:rPr>
          <w:rFonts w:ascii="Arial" w:cs="Arial" w:eastAsia="Arial" w:hAnsi="Arial"/>
          <w:b/>
          <w:bCs/>
          <w:color w:val="FFFFFF"/>
          <w:sz w:val="32"/>
          <w:szCs w:val="32"/>
        </w:rPr>
        <w:t xml:space="preserve">التحليل الاستراتيجي الشامل</w:t>
      </w:r>
    </w:p>
    <w:p>
      <w:pPr>
        <w:shd w:fill="1A1A1A" w:val="clear"/>
        <w:bidi/>
        <w:spacing w:after="0" w:before="0"/>
        <w:jc w:val="right"/>
      </w:pPr>
      <w:r>
        <w:rPr>
          <w:rFonts w:ascii="Arial" w:cs="Arial" w:eastAsia="Arial" w:hAnsi="Arial"/>
          <w:b/>
          <w:bCs/>
          <w:color w:val="AAAAAA"/>
          <w:sz w:val="24"/>
          <w:szCs w:val="24"/>
        </w:rPr>
        <w:t xml:space="preserve">المورد  ·  المشتري  ·  المقارنة  ·  الـ Flywheel</w:t>
      </w:r>
    </w:p>
    <w:p>
      <w:pPr>
        <w:shd w:fill="1A1A1A" w:val="clear"/>
        <w:bidi/>
        <w:spacing w:after="0" w:before="0"/>
        <w:jc w:val="right"/>
      </w:pPr>
      <w:r>
        <w:rPr>
          <w:rFonts w:ascii="Arial" w:cs="Arial" w:eastAsia="Arial" w:hAnsi="Arial"/>
          <w:b/>
          <w:bCs/>
          <w:color w:val="888888"/>
          <w:sz w:val="20"/>
          <w:szCs w:val="20"/>
        </w:rPr>
        <w:t xml:space="preserve">ICP  ·  GTM  ·  IFRS 9  ·  أمر الأداء  ·  شراكة SGS</w:t>
      </w:r>
    </w:p>
    <w:p>
      <w:pPr>
        <w:spacing w:after="0" w:before="0"/>
      </w:pPr>
      <w:r>
        <w:t xml:space="preserve"/>
      </w:r>
    </w:p>
    <w:p>
      <w:pPr>
        <w:shd w:fill="1A1A1A" w:val="clear"/>
        <w:bidi/>
        <w:spacing w:after="0" w:before="0"/>
        <w:jc w:val="right"/>
      </w:pPr>
      <w:r>
        <w:rPr>
          <w:rFonts w:ascii="Arial" w:cs="Arial" w:eastAsia="Arial" w:hAnsi="Arial"/>
          <w:b/>
          <w:bCs/>
          <w:color w:val="444444"/>
          <w:sz w:val="20"/>
          <w:szCs w:val="20"/>
        </w:rPr>
        <w:t xml:space="preserve">─────────────────────────────────────────────</w:t>
      </w:r>
    </w:p>
    <w:p>
      <w:pPr>
        <w:shd w:fill="1A1A1A" w:val="clear"/>
        <w:bidi/>
        <w:spacing w:after="0" w:before="0"/>
        <w:jc w:val="right"/>
      </w:pPr>
      <w:r>
        <w:rPr>
          <w:rFonts w:ascii="Arial" w:cs="Arial" w:eastAsia="Arial" w:hAnsi="Arial"/>
          <w:b/>
          <w:bCs/>
          <w:color w:val="E8771A"/>
          <w:sz w:val="22"/>
          <w:szCs w:val="22"/>
        </w:rPr>
        <w:t xml:space="preserve">سري — للاستخدام التنفيذي</w:t>
      </w:r>
    </w:p>
    <w:p>
      <w:pPr>
        <w:shd w:fill="1A1A1A" w:val="clear"/>
        <w:bidi/>
        <w:spacing w:after="0" w:before="0"/>
        <w:jc w:val="right"/>
      </w:pPr>
      <w:r>
        <w:rPr>
          <w:rFonts w:ascii="Arial" w:cs="Arial" w:eastAsia="Arial" w:hAnsi="Arial"/>
          <w:b/>
          <w:bCs/>
          <w:color w:val="777777"/>
          <w:sz w:val="18"/>
          <w:szCs w:val="18"/>
        </w:rPr>
        <w:t xml:space="preserve">muhide.com  ·  info@muhide.com  ·  9200-31-651</w:t>
      </w:r>
    </w:p>
    <w:p>
      <w:pPr>
        <w:spacing w:after="0" w:before="0"/>
      </w:pPr>
      <w:r>
        <w:t xml:space="preserve"/>
      </w:r>
    </w:p>
    <w:p>
      <w:pPr>
        <w:spacing w:after="0" w:before="0"/>
      </w:pPr>
      <w:r>
        <w:t xml:space="preserve"/>
      </w:r>
    </w:p>
    <w:p>
      <w:pPr>
        <w:spacing w:after="0" w:before="0"/>
      </w:pPr>
      <w:r>
        <w:t xml:space="preserve"/>
      </w:r>
    </w:p>
    <w:p>
      <w:r>
        <w:br w:type="page"/>
      </w:r>
    </w:p>
    <w:p>
      <w:pPr>
        <w:pageBreakBefore/>
        <w:pBdr>
          <w:right w:val="thick" w:color="E8771A" w:sz="24"/>
        </w:pBdr>
        <w:shd w:fill="1A1A1A" w:val="clear"/>
        <w:bidi/>
        <w:spacing w:after="240" w:before="0"/>
        <w:ind w:right="240"/>
        <w:jc w:val="right"/>
      </w:pPr>
      <w:r>
        <w:rPr>
          <w:rFonts w:ascii="Arial" w:cs="Arial" w:eastAsia="Arial" w:hAnsi="Arial"/>
          <w:b/>
          <w:bCs/>
          <w:color w:val="FFFFFF"/>
          <w:sz w:val="36"/>
          <w:szCs w:val="36"/>
        </w:rPr>
        <w:t xml:space="preserve">الجزء الأول — المورد (Supplier)</w:t>
      </w:r>
    </w:p>
    <w:p>
      <w:pPr>
        <w:pBdr>
          <w:bottom w:val="single" w:color="E8771A" w:sz="6"/>
        </w:pBdr>
        <w:bidi/>
        <w:spacing w:after="120" w:before="360"/>
        <w:jc w:val="right"/>
      </w:pPr>
      <w:r>
        <w:rPr>
          <w:rFonts w:ascii="Arial" w:cs="Arial" w:eastAsia="Arial" w:hAnsi="Arial"/>
          <w:b/>
          <w:bCs/>
          <w:color w:val="1A1A1A"/>
          <w:sz w:val="28"/>
          <w:szCs w:val="28"/>
        </w:rPr>
        <w:t xml:space="preserve">١. تحليل الوضع الحالي</w:t>
      </w:r>
    </w:p>
    <w:p>
      <w:pPr>
        <w:bidi/>
        <w:spacing w:after="60" w:before="60"/>
        <w:jc w:val="right"/>
      </w:pPr>
      <w:r>
        <w:rPr>
          <w:rFonts w:ascii="Arial" w:cs="Arial" w:eastAsia="Arial" w:hAnsi="Arial"/>
          <w:b w:val="false"/>
          <w:bCs w:val="false"/>
          <w:color w:val="2D2D2D"/>
          <w:sz w:val="21"/>
          <w:szCs w:val="21"/>
        </w:rPr>
        <w:t xml:space="preserve">المورد السعودي في B2B يعمل داخل منظومة تجارية تعتمد على الثقة الشخصية كضمان وحيد. لا توجد وثيقة واحدة ملزمة قانونياً تربط بين عملية البيع والتسليم والسداد في منظومة واحدة متكاملة.</w:t>
      </w:r>
    </w:p>
    <w:p>
      <w:pPr>
        <w:pBdr>
          <w:right w:val="thick" w:color="E8771A" w:sz="12"/>
        </w:pBdr>
        <w:bidi/>
        <w:spacing w:after="80" w:before="280"/>
        <w:ind w:right="200"/>
        <w:jc w:val="right"/>
      </w:pPr>
      <w:r>
        <w:rPr>
          <w:rFonts w:ascii="Arial" w:cs="Arial" w:eastAsia="Arial" w:hAnsi="Arial"/>
          <w:b/>
          <w:bCs/>
          <w:color w:val="2D2D2D"/>
          <w:sz w:val="24"/>
          <w:szCs w:val="24"/>
        </w:rPr>
        <w:t xml:space="preserve">كيف يبيع بالأجل اليوم؟</w:t>
      </w:r>
    </w:p>
    <w:p>
      <w:pPr>
        <w:pStyle w:val="ListParagraph"/>
        <w:numPr>
          <w:ilvl w:val="0"/>
          <w:numId w:val="2"/>
        </w:numPr>
        <w:bidi/>
        <w:spacing w:after="40" w:before="40"/>
        <w:jc w:val="right"/>
      </w:pPr>
      <w:r>
        <w:rPr>
          <w:rFonts w:ascii="Arial" w:cs="Arial" w:eastAsia="Arial" w:hAnsi="Arial"/>
          <w:color w:val="2D2D2D"/>
          <w:sz w:val="21"/>
          <w:szCs w:val="21"/>
        </w:rPr>
        <w:t xml:space="preserve">الاتفاق يبدأ بمحادثة واتساب أو مكالمة هاتفية — لا عقد ملزم</w:t>
      </w:r>
    </w:p>
    <w:p>
      <w:pPr>
        <w:pStyle w:val="ListParagraph"/>
        <w:numPr>
          <w:ilvl w:val="0"/>
          <w:numId w:val="2"/>
        </w:numPr>
        <w:bidi/>
        <w:spacing w:after="40" w:before="40"/>
        <w:jc w:val="right"/>
      </w:pPr>
      <w:r>
        <w:rPr>
          <w:rFonts w:ascii="Arial" w:cs="Arial" w:eastAsia="Arial" w:hAnsi="Arial"/>
          <w:color w:val="2D2D2D"/>
          <w:sz w:val="21"/>
          <w:szCs w:val="21"/>
        </w:rPr>
        <w:t xml:space="preserve">الفاتورة PDF تُرسل بالإيميل — بدون توقيع ملزم</w:t>
      </w:r>
    </w:p>
    <w:p>
      <w:pPr>
        <w:pStyle w:val="ListParagraph"/>
        <w:numPr>
          <w:ilvl w:val="0"/>
          <w:numId w:val="2"/>
        </w:numPr>
        <w:bidi/>
        <w:spacing w:after="40" w:before="40"/>
        <w:jc w:val="right"/>
      </w:pPr>
      <w:r>
        <w:rPr>
          <w:rFonts w:ascii="Arial" w:cs="Arial" w:eastAsia="Arial" w:hAnsi="Arial"/>
          <w:color w:val="2D2D2D"/>
          <w:sz w:val="21"/>
          <w:szCs w:val="21"/>
        </w:rPr>
        <w:t xml:space="preserve">التسليم يتم بتوقيع ورقي يسهل إنكاره أو فقدانه</w:t>
      </w:r>
    </w:p>
    <w:p>
      <w:pPr>
        <w:pStyle w:val="ListParagraph"/>
        <w:numPr>
          <w:ilvl w:val="0"/>
          <w:numId w:val="2"/>
        </w:numPr>
        <w:bidi/>
        <w:spacing w:after="40" w:before="40"/>
        <w:jc w:val="right"/>
      </w:pPr>
      <w:r>
        <w:rPr>
          <w:rFonts w:ascii="Arial" w:cs="Arial" w:eastAsia="Arial" w:hAnsi="Arial"/>
          <w:color w:val="2D2D2D"/>
          <w:sz w:val="21"/>
          <w:szCs w:val="21"/>
        </w:rPr>
        <w:t xml:space="preserve">السداد يعتمد على 'العلاقة' لا على التزام قانوني</w:t>
      </w:r>
    </w:p>
    <w:p>
      <w:pPr>
        <w:pStyle w:val="ListParagraph"/>
        <w:numPr>
          <w:ilvl w:val="0"/>
          <w:numId w:val="2"/>
        </w:numPr>
        <w:bidi/>
        <w:spacing w:after="40" w:before="40"/>
        <w:jc w:val="right"/>
      </w:pPr>
      <w:r>
        <w:rPr>
          <w:rFonts w:ascii="Arial" w:cs="Arial" w:eastAsia="Arial" w:hAnsi="Arial"/>
          <w:color w:val="2D2D2D"/>
          <w:sz w:val="21"/>
          <w:szCs w:val="21"/>
        </w:rPr>
        <w:t xml:space="preserve">الأجل الحقيقي يمتد من ٦٠ إلى ١٨٠ يوماً — أحياناً أكثر</w:t>
      </w:r>
    </w:p>
    <w:p>
      <w:pPr>
        <w:pBdr>
          <w:right w:val="thick" w:color="E8771A" w:sz="12"/>
        </w:pBdr>
        <w:bidi/>
        <w:spacing w:after="80" w:before="280"/>
        <w:ind w:right="200"/>
        <w:jc w:val="right"/>
      </w:pPr>
      <w:r>
        <w:rPr>
          <w:rFonts w:ascii="Arial" w:cs="Arial" w:eastAsia="Arial" w:hAnsi="Arial"/>
          <w:b/>
          <w:bCs/>
          <w:color w:val="2D2D2D"/>
          <w:sz w:val="24"/>
          <w:szCs w:val="24"/>
        </w:rPr>
        <w:t xml:space="preserve">أكبر المخاطر التشغيلية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DDDDDD" w:sz="1"/>
              <w:left w:val="single" w:color="DDDDDD" w:sz="1"/>
              <w:bottom w:val="single" w:color="DDDDDD" w:sz="1"/>
              <w:right w:val="single" w:color="DDDDDD" w:sz="1"/>
            </w:tcBorders>
            <w:shd w:fill="1A1A1A" w:val="clear"/>
            <w:tcMar>
              <w:top w:type="dxa" w:w="100"/>
              <w:left w:type="dxa" w:w="160"/>
              <w:bottom w:type="dxa" w:w="100"/>
              <w:right w:type="dxa" w:w="160"/>
            </w:tcMar>
            <w:vAlign w:val="center"/>
          </w:tcPr>
          <w:p>
            <w:pPr>
              <w:bidi/>
              <w:jc w:val="right"/>
            </w:pPr>
            <w:r>
              <w:rPr>
                <w:rFonts w:ascii="Arial" w:cs="Arial" w:eastAsia="Arial" w:hAnsi="Arial"/>
                <w:b/>
                <w:bCs/>
                <w:color w:val="FFFFFF"/>
                <w:sz w:val="20"/>
                <w:szCs w:val="20"/>
              </w:rPr>
              <w:t xml:space="preserve">المخاطرة</w:t>
            </w:r>
          </w:p>
        </w:tc>
        <w:tc>
          <w:tcPr>
            <w:tcW w:type="dxa" w:w="7038"/>
            <w:tcBorders>
              <w:top w:val="single" w:color="DDDDDD" w:sz="1"/>
              <w:left w:val="single" w:color="DDDDDD" w:sz="1"/>
              <w:bottom w:val="single" w:color="DDDDDD" w:sz="1"/>
              <w:right w:val="single" w:color="DDDDDD" w:sz="1"/>
            </w:tcBorders>
            <w:shd w:fill="1A1A1A" w:val="clear"/>
            <w:tcMar>
              <w:top w:type="dxa" w:w="100"/>
              <w:left w:type="dxa" w:w="160"/>
              <w:bottom w:type="dxa" w:w="100"/>
              <w:right w:type="dxa" w:w="160"/>
            </w:tcMar>
            <w:vAlign w:val="center"/>
          </w:tcPr>
          <w:p>
            <w:pPr>
              <w:bidi/>
              <w:jc w:val="right"/>
            </w:pPr>
            <w:r>
              <w:rPr>
                <w:rFonts w:ascii="Arial" w:cs="Arial" w:eastAsia="Arial" w:hAnsi="Arial"/>
                <w:b/>
                <w:bCs/>
                <w:color w:val="FFFFFF"/>
                <w:sz w:val="20"/>
                <w:szCs w:val="20"/>
              </w:rPr>
              <w:t xml:space="preserve">التفاصيل</w:t>
            </w:r>
          </w:p>
        </w:tc>
      </w:tr>
      <w:tr>
        <w:tc>
          <w:tcPr>
            <w:tcW w:type="dxa" w:w="26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pPr>
              <w:bidi/>
              <w:jc w:val="right"/>
            </w:pPr>
            <w:r>
              <w:rPr>
                <w:rFonts w:ascii="Arial" w:cs="Arial" w:eastAsia="Arial" w:hAnsi="Arial"/>
                <w:b/>
                <w:bCs/>
                <w:color w:val="2D2D2D"/>
                <w:sz w:val="19"/>
                <w:szCs w:val="19"/>
              </w:rPr>
              <w:t xml:space="preserve">مخاطرة التحصيل</w:t>
            </w:r>
          </w:p>
        </w:tc>
        <w:tc>
          <w:tcPr>
            <w:tcW w:type="dxa" w:w="7038"/>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pPr>
              <w:bidi/>
              <w:jc w:val="right"/>
            </w:pPr>
            <w:r>
              <w:rPr>
                <w:rFonts w:ascii="Arial" w:cs="Arial" w:eastAsia="Arial" w:hAnsi="Arial"/>
                <w:b w:val="false"/>
                <w:bCs w:val="false"/>
                <w:color w:val="2D2D2D"/>
                <w:sz w:val="19"/>
                <w:szCs w:val="19"/>
              </w:rPr>
              <w:t xml:space="preserve">المشتري يؤخر بحجة النزاع على التسليم — ولا يوجد دليل قاطع. نسبة التعثر في البيع الآجل غير الموثق تتجاوز ٢٠-٣٠٪ في بعض القطاعات.</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bidi/>
              <w:jc w:val="right"/>
            </w:pPr>
            <w:r>
              <w:rPr>
                <w:rFonts w:ascii="Arial" w:cs="Arial" w:eastAsia="Arial" w:hAnsi="Arial"/>
                <w:b/>
                <w:bCs/>
                <w:color w:val="2D2D2D"/>
                <w:sz w:val="19"/>
                <w:szCs w:val="19"/>
              </w:rPr>
              <w:t xml:space="preserve">مخاطرة النزاعات</w:t>
            </w:r>
          </w:p>
        </w:tc>
        <w:tc>
          <w:tcPr>
            <w:tcW w:type="dxa" w:w="7038"/>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bidi/>
              <w:jc w:val="right"/>
            </w:pPr>
            <w:r>
              <w:rPr>
                <w:rFonts w:ascii="Arial" w:cs="Arial" w:eastAsia="Arial" w:hAnsi="Arial"/>
                <w:b w:val="false"/>
                <w:bCs w:val="false"/>
                <w:color w:val="2D2D2D"/>
                <w:sz w:val="19"/>
                <w:szCs w:val="19"/>
              </w:rPr>
              <w:t xml:space="preserve">أي خلاف على الكميات أو المواصفات يتحول لمعركة 'أنت قلت / أنا قلت' — والمورد يخسر حتى لو كان محقاً، لأنه لا يملك إثباتاً رقمياً.</w:t>
            </w:r>
          </w:p>
        </w:tc>
      </w:tr>
      <w:tr>
        <w:tc>
          <w:tcPr>
            <w:tcW w:type="dxa" w:w="26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pPr>
              <w:bidi/>
              <w:jc w:val="right"/>
            </w:pPr>
            <w:r>
              <w:rPr>
                <w:rFonts w:ascii="Arial" w:cs="Arial" w:eastAsia="Arial" w:hAnsi="Arial"/>
                <w:b/>
                <w:bCs/>
                <w:color w:val="2D2D2D"/>
                <w:sz w:val="19"/>
                <w:szCs w:val="19"/>
              </w:rPr>
              <w:t xml:space="preserve">مخاطرة المخصص IFRS 9</w:t>
            </w:r>
          </w:p>
        </w:tc>
        <w:tc>
          <w:tcPr>
            <w:tcW w:type="dxa" w:w="7038"/>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pPr>
              <w:bidi/>
              <w:jc w:val="right"/>
            </w:pPr>
            <w:r>
              <w:rPr>
                <w:rFonts w:ascii="Arial" w:cs="Arial" w:eastAsia="Arial" w:hAnsi="Arial"/>
                <w:b w:val="false"/>
                <w:bCs w:val="false"/>
                <w:color w:val="2D2D2D"/>
                <w:sz w:val="19"/>
                <w:szCs w:val="19"/>
              </w:rPr>
              <w:t xml:space="preserve">الذمم المتأخرة تنتقل من Stage 1 إلى Stage 2/3 — مما يرفع المخصص ويضغط على صافي الربح والميزانية.</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bidi/>
              <w:jc w:val="right"/>
            </w:pPr>
            <w:r>
              <w:rPr>
                <w:rFonts w:ascii="Arial" w:cs="Arial" w:eastAsia="Arial" w:hAnsi="Arial"/>
                <w:b/>
                <w:bCs/>
                <w:color w:val="2D2D2D"/>
                <w:sz w:val="19"/>
                <w:szCs w:val="19"/>
              </w:rPr>
              <w:t xml:space="preserve">ضغط السيولة</w:t>
            </w:r>
          </w:p>
        </w:tc>
        <w:tc>
          <w:tcPr>
            <w:tcW w:type="dxa" w:w="7038"/>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bidi/>
              <w:jc w:val="right"/>
            </w:pPr>
            <w:r>
              <w:rPr>
                <w:rFonts w:ascii="Arial" w:cs="Arial" w:eastAsia="Arial" w:hAnsi="Arial"/>
                <w:b w:val="false"/>
                <w:bCs w:val="false"/>
                <w:color w:val="2D2D2D"/>
                <w:sz w:val="19"/>
                <w:szCs w:val="19"/>
              </w:rPr>
              <w:t xml:space="preserve">الذمم المدينة تحبس رأس المال. البنوك لا تقبل فواتير غير موثقة كضمان فعلي.</w:t>
            </w:r>
          </w:p>
        </w:tc>
      </w:tr>
    </w:tbl>
    <w:p>
      <w:pPr>
        <w:pBdr>
          <w:bottom w:val="single" w:color="E8771A" w:sz="6"/>
        </w:pBdr>
        <w:bidi/>
        <w:spacing w:after="120" w:before="360"/>
        <w:jc w:val="right"/>
      </w:pPr>
      <w:r>
        <w:rPr>
          <w:rFonts w:ascii="Arial" w:cs="Arial" w:eastAsia="Arial" w:hAnsi="Arial"/>
          <w:b/>
          <w:bCs/>
          <w:color w:val="1A1A1A"/>
          <w:sz w:val="28"/>
          <w:szCs w:val="28"/>
        </w:rPr>
        <w:t xml:space="preserve">٢. الألم الحقيقي — أين ينزف المورد مالياً؟</w:t>
      </w:r>
    </w:p>
    <w:p>
      <w:pPr>
        <w:pBdr>
          <w:right w:val="thick" w:color="E8771A" w:sz="8"/>
        </w:pBdr>
        <w:shd w:fill="FFF8F0" w:val="clear"/>
        <w:bidi/>
        <w:spacing w:after="80" w:before="120"/>
        <w:ind w:left="200" w:right="200"/>
        <w:jc w:val="right"/>
      </w:pPr>
      <w:r>
        <w:rPr>
          <w:rFonts w:ascii="Arial" w:cs="Arial" w:eastAsia="Arial" w:hAnsi="Arial"/>
          <w:i/>
          <w:iCs/>
          <w:color w:val="2D2D2D"/>
          <w:sz w:val="20"/>
          <w:szCs w:val="20"/>
        </w:rPr>
        <w:t xml:space="preserve">معظم الموردين يعتقدون أن مشكلتهم في 'العميل السيء'. الحقيقة: مشكلتهم في غياب الهيكل القانوني الذي يجعل السداد إلزامياً من اليوم الأول.</w:t>
      </w:r>
    </w:p>
    <w:p>
      <w:pPr>
        <w:pStyle w:val="ListParagraph"/>
        <w:numPr>
          <w:ilvl w:val="0"/>
          <w:numId w:val="2"/>
        </w:numPr>
        <w:bidi/>
        <w:spacing w:after="40" w:before="40"/>
        <w:jc w:val="right"/>
      </w:pPr>
      <w:r>
        <w:rPr>
          <w:rFonts w:ascii="Arial" w:cs="Arial" w:eastAsia="Arial" w:hAnsi="Arial"/>
          <w:color w:val="2D2D2D"/>
          <w:sz w:val="21"/>
          <w:szCs w:val="21"/>
        </w:rPr>
        <w:t xml:space="preserve">خسارة مباشرة: ديون لا يستطيع إثباتها في المحكمة — تُشطب كخسارة.</w:t>
      </w:r>
    </w:p>
    <w:p>
      <w:pPr>
        <w:pStyle w:val="ListParagraph"/>
        <w:numPr>
          <w:ilvl w:val="0"/>
          <w:numId w:val="2"/>
        </w:numPr>
        <w:bidi/>
        <w:spacing w:after="40" w:before="40"/>
        <w:jc w:val="right"/>
      </w:pPr>
      <w:r>
        <w:rPr>
          <w:rFonts w:ascii="Arial" w:cs="Arial" w:eastAsia="Arial" w:hAnsi="Arial"/>
          <w:color w:val="2D2D2D"/>
          <w:sz w:val="21"/>
          <w:szCs w:val="21"/>
        </w:rPr>
        <w:t xml:space="preserve">خسارة مخفية: مصاريف محامين ووقت إداري في نزاعات كان يمكن تجنبها.</w:t>
      </w:r>
    </w:p>
    <w:p>
      <w:pPr>
        <w:pStyle w:val="ListParagraph"/>
        <w:numPr>
          <w:ilvl w:val="0"/>
          <w:numId w:val="2"/>
        </w:numPr>
        <w:bidi/>
        <w:spacing w:after="40" w:before="40"/>
        <w:jc w:val="right"/>
      </w:pPr>
      <w:r>
        <w:rPr>
          <w:rFonts w:ascii="Arial" w:cs="Arial" w:eastAsia="Arial" w:hAnsi="Arial"/>
          <w:color w:val="2D2D2D"/>
          <w:sz w:val="21"/>
          <w:szCs w:val="21"/>
        </w:rPr>
        <w:t xml:space="preserve">خسارة فرصة: رفض التوسع مع عملاء جدد خوفاً من التعثر.</w:t>
      </w:r>
    </w:p>
    <w:p>
      <w:pPr>
        <w:pStyle w:val="ListParagraph"/>
        <w:numPr>
          <w:ilvl w:val="0"/>
          <w:numId w:val="2"/>
        </w:numPr>
        <w:bidi/>
        <w:spacing w:after="40" w:before="40"/>
        <w:jc w:val="right"/>
      </w:pPr>
      <w:r>
        <w:rPr>
          <w:rFonts w:ascii="Arial" w:cs="Arial" w:eastAsia="Arial" w:hAnsi="Arial"/>
          <w:color w:val="2D2D2D"/>
          <w:sz w:val="21"/>
          <w:szCs w:val="21"/>
        </w:rPr>
        <w:t xml:space="preserve">خسارة تمويلية: لو استطاع تحويل ذممه لسيولة فورية، كان يمكنه شراء بضاعة أرخص.</w:t>
      </w:r>
    </w:p>
    <w:p>
      <w:pPr>
        <w:pBdr>
          <w:right w:val="thick" w:color="E8771A" w:sz="12"/>
        </w:pBdr>
        <w:bidi/>
        <w:spacing w:after="80" w:before="280"/>
        <w:ind w:right="200"/>
        <w:jc w:val="right"/>
      </w:pPr>
      <w:r>
        <w:rPr>
          <w:rFonts w:ascii="Arial" w:cs="Arial" w:eastAsia="Arial" w:hAnsi="Arial"/>
          <w:b/>
          <w:bCs/>
          <w:color w:val="2D2D2D"/>
          <w:sz w:val="24"/>
          <w:szCs w:val="24"/>
        </w:rPr>
        <w:t xml:space="preserve">كيف تؤثر الذمم عليه محاسبياً؟ — ربط IFRS 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3800"/>
        <w:gridCol w:w="3738"/>
      </w:tblGrid>
      <w:tr>
        <w:trPr>
          <w:tblHeader/>
        </w:trPr>
        <w:tc>
          <w:tcPr>
            <w:tcW w:type="dxa" w:w="2100"/>
            <w:tcBorders>
              <w:top w:val="single" w:color="DDDDDD" w:sz="1"/>
              <w:left w:val="single" w:color="DDDDDD" w:sz="1"/>
              <w:bottom w:val="single" w:color="DDDDDD" w:sz="1"/>
              <w:right w:val="single" w:color="DDDDDD" w:sz="1"/>
            </w:tcBorders>
            <w:shd w:fill="1A1A1A" w:val="clear"/>
            <w:tcMar>
              <w:top w:type="dxa" w:w="100"/>
              <w:left w:type="dxa" w:w="160"/>
              <w:bottom w:type="dxa" w:w="100"/>
              <w:right w:type="dxa" w:w="160"/>
            </w:tcMar>
            <w:vAlign w:val="center"/>
          </w:tcPr>
          <w:p>
            <w:pPr>
              <w:bidi/>
              <w:jc w:val="right"/>
            </w:pPr>
            <w:r>
              <w:rPr>
                <w:rFonts w:ascii="Arial" w:cs="Arial" w:eastAsia="Arial" w:hAnsi="Arial"/>
                <w:b/>
                <w:bCs/>
                <w:color w:val="FFFFFF"/>
                <w:sz w:val="20"/>
                <w:szCs w:val="20"/>
              </w:rPr>
              <w:t xml:space="preserve">مرحلة IFRS 9</w:t>
            </w:r>
          </w:p>
        </w:tc>
        <w:tc>
          <w:tcPr>
            <w:tcW w:type="dxa" w:w="3800"/>
            <w:tcBorders>
              <w:top w:val="single" w:color="DDDDDD" w:sz="1"/>
              <w:left w:val="single" w:color="DDDDDD" w:sz="1"/>
              <w:bottom w:val="single" w:color="DDDDDD" w:sz="1"/>
              <w:right w:val="single" w:color="DDDDDD" w:sz="1"/>
            </w:tcBorders>
            <w:shd w:fill="1A1A1A" w:val="clear"/>
            <w:tcMar>
              <w:top w:type="dxa" w:w="100"/>
              <w:left w:type="dxa" w:w="160"/>
              <w:bottom w:type="dxa" w:w="100"/>
              <w:right w:type="dxa" w:w="160"/>
            </w:tcMar>
            <w:vAlign w:val="center"/>
          </w:tcPr>
          <w:p>
            <w:pPr>
              <w:bidi/>
              <w:jc w:val="right"/>
            </w:pPr>
            <w:r>
              <w:rPr>
                <w:rFonts w:ascii="Arial" w:cs="Arial" w:eastAsia="Arial" w:hAnsi="Arial"/>
                <w:b/>
                <w:bCs/>
                <w:color w:val="FFFFFF"/>
                <w:sz w:val="20"/>
                <w:szCs w:val="20"/>
              </w:rPr>
              <w:t xml:space="preserve">الحالة</w:t>
            </w:r>
          </w:p>
        </w:tc>
        <w:tc>
          <w:tcPr>
            <w:tcW w:type="dxa" w:w="3738"/>
            <w:tcBorders>
              <w:top w:val="single" w:color="DDDDDD" w:sz="1"/>
              <w:left w:val="single" w:color="DDDDDD" w:sz="1"/>
              <w:bottom w:val="single" w:color="DDDDDD" w:sz="1"/>
              <w:right w:val="single" w:color="DDDDDD" w:sz="1"/>
            </w:tcBorders>
            <w:shd w:fill="1A1A1A" w:val="clear"/>
            <w:tcMar>
              <w:top w:type="dxa" w:w="100"/>
              <w:left w:type="dxa" w:w="160"/>
              <w:bottom w:type="dxa" w:w="100"/>
              <w:right w:type="dxa" w:w="160"/>
            </w:tcMar>
            <w:vAlign w:val="center"/>
          </w:tcPr>
          <w:p>
            <w:pPr>
              <w:bidi/>
              <w:jc w:val="right"/>
            </w:pPr>
            <w:r>
              <w:rPr>
                <w:rFonts w:ascii="Arial" w:cs="Arial" w:eastAsia="Arial" w:hAnsi="Arial"/>
                <w:b/>
                <w:bCs/>
                <w:color w:val="FFFFFF"/>
                <w:sz w:val="20"/>
                <w:szCs w:val="20"/>
              </w:rPr>
              <w:t xml:space="preserve">الأثر المحاسبي الفعلي</w:t>
            </w:r>
          </w:p>
        </w:tc>
      </w:tr>
      <w:tr>
        <w:tc>
          <w:tcPr>
            <w:tcW w:type="dxa" w:w="21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pPr>
              <w:bidi/>
              <w:jc w:val="right"/>
            </w:pPr>
            <w:r>
              <w:rPr>
                <w:rFonts w:ascii="Arial" w:cs="Arial" w:eastAsia="Arial" w:hAnsi="Arial"/>
                <w:b/>
                <w:bCs/>
                <w:color w:val="2D2D2D"/>
                <w:sz w:val="19"/>
                <w:szCs w:val="19"/>
              </w:rPr>
              <w:t xml:space="preserve">Stage 1</w:t>
            </w:r>
          </w:p>
        </w:tc>
        <w:tc>
          <w:tcPr>
            <w:tcW w:type="dxa" w:w="38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pPr>
              <w:bidi/>
              <w:jc w:val="right"/>
            </w:pPr>
            <w:r>
              <w:rPr>
                <w:rFonts w:ascii="Arial" w:cs="Arial" w:eastAsia="Arial" w:hAnsi="Arial"/>
                <w:b w:val="false"/>
                <w:bCs w:val="false"/>
                <w:color w:val="2D2D2D"/>
                <w:sz w:val="19"/>
                <w:szCs w:val="19"/>
              </w:rPr>
              <w:t xml:space="preserve">أقل من ٣٠ يوم تأخر</w:t>
            </w:r>
          </w:p>
        </w:tc>
        <w:tc>
          <w:tcPr>
            <w:tcW w:type="dxa" w:w="3738"/>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pPr>
              <w:bidi/>
              <w:jc w:val="right"/>
            </w:pPr>
            <w:r>
              <w:rPr>
                <w:rFonts w:ascii="Arial" w:cs="Arial" w:eastAsia="Arial" w:hAnsi="Arial"/>
                <w:b w:val="false"/>
                <w:bCs w:val="false"/>
                <w:color w:val="2D2D2D"/>
                <w:sz w:val="19"/>
                <w:szCs w:val="19"/>
              </w:rPr>
              <w:t xml:space="preserve">مخصص ١٢ شهراً فقط — ضغط محدود على الأرباح</w:t>
            </w:r>
          </w:p>
        </w:tc>
      </w:tr>
      <w:tr>
        <w:tc>
          <w:tcPr>
            <w:tcW w:type="dxa" w:w="21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bidi/>
              <w:jc w:val="right"/>
            </w:pPr>
            <w:r>
              <w:rPr>
                <w:rFonts w:ascii="Arial" w:cs="Arial" w:eastAsia="Arial" w:hAnsi="Arial"/>
                <w:b/>
                <w:bCs/>
                <w:color w:val="2D2D2D"/>
                <w:sz w:val="19"/>
                <w:szCs w:val="19"/>
              </w:rPr>
              <w:t xml:space="preserve">Stage 2</w:t>
            </w:r>
          </w:p>
        </w:tc>
        <w:tc>
          <w:tcPr>
            <w:tcW w:type="dxa" w:w="3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bidi/>
              <w:jc w:val="right"/>
            </w:pPr>
            <w:r>
              <w:rPr>
                <w:rFonts w:ascii="Arial" w:cs="Arial" w:eastAsia="Arial" w:hAnsi="Arial"/>
                <w:b w:val="false"/>
                <w:bCs w:val="false"/>
                <w:color w:val="2D2D2D"/>
                <w:sz w:val="19"/>
                <w:szCs w:val="19"/>
              </w:rPr>
              <w:t xml:space="preserve">٣٠-٩٠ يوم أو زيادة مخاطر جوهرية</w:t>
            </w:r>
          </w:p>
        </w:tc>
        <w:tc>
          <w:tcPr>
            <w:tcW w:type="dxa" w:w="3738"/>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bidi/>
              <w:jc w:val="right"/>
            </w:pPr>
            <w:r>
              <w:rPr>
                <w:rFonts w:ascii="Arial" w:cs="Arial" w:eastAsia="Arial" w:hAnsi="Arial"/>
                <w:b w:val="false"/>
                <w:bCs w:val="false"/>
                <w:color w:val="2D2D2D"/>
                <w:sz w:val="19"/>
                <w:szCs w:val="19"/>
              </w:rPr>
              <w:t xml:space="preserve">مخصص عمر كامل — ارتفاع حاد في المخصص</w:t>
            </w:r>
          </w:p>
        </w:tc>
      </w:tr>
      <w:tr>
        <w:tc>
          <w:tcPr>
            <w:tcW w:type="dxa" w:w="21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pPr>
              <w:bidi/>
              <w:jc w:val="right"/>
            </w:pPr>
            <w:r>
              <w:rPr>
                <w:rFonts w:ascii="Arial" w:cs="Arial" w:eastAsia="Arial" w:hAnsi="Arial"/>
                <w:b/>
                <w:bCs/>
                <w:color w:val="2D2D2D"/>
                <w:sz w:val="19"/>
                <w:szCs w:val="19"/>
              </w:rPr>
              <w:t xml:space="preserve">Stage 3</w:t>
            </w:r>
          </w:p>
        </w:tc>
        <w:tc>
          <w:tcPr>
            <w:tcW w:type="dxa" w:w="38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pPr>
              <w:bidi/>
              <w:jc w:val="right"/>
            </w:pPr>
            <w:r>
              <w:rPr>
                <w:rFonts w:ascii="Arial" w:cs="Arial" w:eastAsia="Arial" w:hAnsi="Arial"/>
                <w:b w:val="false"/>
                <w:bCs w:val="false"/>
                <w:color w:val="2D2D2D"/>
                <w:sz w:val="19"/>
                <w:szCs w:val="19"/>
              </w:rPr>
              <w:t xml:space="preserve">فوق ٩٠ يوم أو تعثر فعلي</w:t>
            </w:r>
          </w:p>
        </w:tc>
        <w:tc>
          <w:tcPr>
            <w:tcW w:type="dxa" w:w="3738"/>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pPr>
              <w:bidi/>
              <w:jc w:val="right"/>
            </w:pPr>
            <w:r>
              <w:rPr>
                <w:rFonts w:ascii="Arial" w:cs="Arial" w:eastAsia="Arial" w:hAnsi="Arial"/>
                <w:b w:val="false"/>
                <w:bCs w:val="false"/>
                <w:color w:val="2D2D2D"/>
                <w:sz w:val="19"/>
                <w:szCs w:val="19"/>
              </w:rPr>
              <w:t xml:space="preserve">شطب محاسبي كامل أو جزئي — خسارة مباشرة</w:t>
            </w:r>
          </w:p>
        </w:tc>
      </w:tr>
    </w:tbl>
    <w:p>
      <w:pPr>
        <w:pBdr>
          <w:right w:val="thick" w:color="E8771A" w:sz="8"/>
        </w:pBdr>
        <w:shd w:fill="FFF8F0" w:val="clear"/>
        <w:bidi/>
        <w:spacing w:after="80" w:before="120"/>
        <w:ind w:left="200" w:right="200"/>
        <w:jc w:val="right"/>
      </w:pPr>
      <w:r>
        <w:rPr>
          <w:rFonts w:ascii="Arial" w:cs="Arial" w:eastAsia="Arial" w:hAnsi="Arial"/>
          <w:i/>
          <w:iCs/>
          <w:color w:val="2D2D2D"/>
          <w:sz w:val="20"/>
          <w:szCs w:val="20"/>
        </w:rPr>
        <w:t xml:space="preserve">⚠ النقطة الحاسمة: المورد الذي لا يوثق تسليمه لا يستطيع الدفاع عن Stage 1 أمام المدقق — ويُضطر لرفع المخصص حتى لو العميل ملتزم.</w:t>
      </w:r>
    </w:p>
    <w:p>
      <w:pPr>
        <w:pBdr>
          <w:bottom w:val="single" w:color="E8771A" w:sz="6"/>
        </w:pBdr>
        <w:bidi/>
        <w:spacing w:after="120" w:before="360"/>
        <w:jc w:val="right"/>
      </w:pPr>
      <w:r>
        <w:rPr>
          <w:rFonts w:ascii="Arial" w:cs="Arial" w:eastAsia="Arial" w:hAnsi="Arial"/>
          <w:b/>
          <w:bCs/>
          <w:color w:val="1A1A1A"/>
          <w:sz w:val="28"/>
          <w:szCs w:val="28"/>
        </w:rPr>
        <w:t xml:space="preserve">٣. كيف يرى المورد محايد؟</w:t>
      </w:r>
    </w:p>
    <w:p>
      <w:pPr>
        <w:bidi/>
        <w:spacing w:after="60" w:before="60"/>
        <w:jc w:val="right"/>
      </w:pPr>
      <w:r>
        <w:rPr>
          <w:rFonts w:ascii="Arial" w:cs="Arial" w:eastAsia="Arial" w:hAnsi="Arial"/>
          <w:b/>
          <w:bCs/>
          <w:color w:val="2D2D2D"/>
          <w:sz w:val="21"/>
          <w:szCs w:val="21"/>
        </w:rPr>
        <w:t xml:space="preserve">هذا السؤال حاسم — لأن الإجابة الخاطئة هنا تقتل الصفقة.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638"/>
      </w:tblGrid>
      <w:tr>
        <w:trPr>
          <w:tblHeader/>
        </w:trPr>
        <w:tc>
          <w:tcPr>
            <w:tcW w:type="dxa" w:w="2500"/>
            <w:tcBorders>
              <w:top w:val="single" w:color="DDDDDD" w:sz="1"/>
              <w:left w:val="single" w:color="DDDDDD" w:sz="1"/>
              <w:bottom w:val="single" w:color="DDDDDD" w:sz="1"/>
              <w:right w:val="single" w:color="DDDDDD" w:sz="1"/>
            </w:tcBorders>
            <w:shd w:fill="1A1A1A" w:val="clear"/>
            <w:tcMar>
              <w:top w:type="dxa" w:w="100"/>
              <w:left w:type="dxa" w:w="160"/>
              <w:bottom w:type="dxa" w:w="100"/>
              <w:right w:type="dxa" w:w="160"/>
            </w:tcMar>
            <w:vAlign w:val="center"/>
          </w:tcPr>
          <w:p>
            <w:pPr>
              <w:bidi/>
              <w:jc w:val="right"/>
            </w:pPr>
            <w:r>
              <w:rPr>
                <w:rFonts w:ascii="Arial" w:cs="Arial" w:eastAsia="Arial" w:hAnsi="Arial"/>
                <w:b/>
                <w:bCs/>
                <w:color w:val="FFFFFF"/>
                <w:sz w:val="20"/>
                <w:szCs w:val="20"/>
              </w:rPr>
              <w:t xml:space="preserve">كيف يراه؟</w:t>
            </w:r>
          </w:p>
        </w:tc>
        <w:tc>
          <w:tcPr>
            <w:tcW w:type="dxa" w:w="3500"/>
            <w:tcBorders>
              <w:top w:val="single" w:color="DDDDDD" w:sz="1"/>
              <w:left w:val="single" w:color="DDDDDD" w:sz="1"/>
              <w:bottom w:val="single" w:color="DDDDDD" w:sz="1"/>
              <w:right w:val="single" w:color="DDDDDD" w:sz="1"/>
            </w:tcBorders>
            <w:shd w:fill="1A1A1A" w:val="clear"/>
            <w:tcMar>
              <w:top w:type="dxa" w:w="100"/>
              <w:left w:type="dxa" w:w="160"/>
              <w:bottom w:type="dxa" w:w="100"/>
              <w:right w:type="dxa" w:w="160"/>
            </w:tcMar>
            <w:vAlign w:val="center"/>
          </w:tcPr>
          <w:p>
            <w:pPr>
              <w:bidi/>
              <w:jc w:val="right"/>
            </w:pPr>
            <w:r>
              <w:rPr>
                <w:rFonts w:ascii="Arial" w:cs="Arial" w:eastAsia="Arial" w:hAnsi="Arial"/>
                <w:b/>
                <w:bCs/>
                <w:color w:val="FFFFFF"/>
                <w:sz w:val="20"/>
                <w:szCs w:val="20"/>
              </w:rPr>
              <w:t xml:space="preserve">من يراه هكذا؟</w:t>
            </w:r>
          </w:p>
        </w:tc>
        <w:tc>
          <w:tcPr>
            <w:tcW w:type="dxa" w:w="3638"/>
            <w:tcBorders>
              <w:top w:val="single" w:color="DDDDDD" w:sz="1"/>
              <w:left w:val="single" w:color="DDDDDD" w:sz="1"/>
              <w:bottom w:val="single" w:color="DDDDDD" w:sz="1"/>
              <w:right w:val="single" w:color="DDDDDD" w:sz="1"/>
            </w:tcBorders>
            <w:shd w:fill="1A1A1A" w:val="clear"/>
            <w:tcMar>
              <w:top w:type="dxa" w:w="100"/>
              <w:left w:type="dxa" w:w="160"/>
              <w:bottom w:type="dxa" w:w="100"/>
              <w:right w:type="dxa" w:w="160"/>
            </w:tcMar>
            <w:vAlign w:val="center"/>
          </w:tcPr>
          <w:p>
            <w:pPr>
              <w:bidi/>
              <w:jc w:val="right"/>
            </w:pPr>
            <w:r>
              <w:rPr>
                <w:rFonts w:ascii="Arial" w:cs="Arial" w:eastAsia="Arial" w:hAnsi="Arial"/>
                <w:b/>
                <w:bCs/>
                <w:color w:val="FFFFFF"/>
                <w:sz w:val="20"/>
                <w:szCs w:val="20"/>
              </w:rPr>
              <w:t xml:space="preserve">الرد الصحيح</w:t>
            </w:r>
          </w:p>
        </w:tc>
      </w:tr>
      <w:tr>
        <w:tc>
          <w:tcPr>
            <w:tcW w:type="dxa" w:w="25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pPr>
              <w:bidi/>
              <w:jc w:val="right"/>
            </w:pPr>
            <w:r>
              <w:rPr>
                <w:rFonts w:ascii="Arial" w:cs="Arial" w:eastAsia="Arial" w:hAnsi="Arial"/>
                <w:b/>
                <w:bCs/>
                <w:color w:val="2D2D2D"/>
                <w:sz w:val="19"/>
                <w:szCs w:val="19"/>
              </w:rPr>
              <w:t xml:space="preserve">أداة تحصيل</w:t>
            </w:r>
          </w:p>
        </w:tc>
        <w:tc>
          <w:tcPr>
            <w:tcW w:type="dxa" w:w="35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pPr>
              <w:bidi/>
              <w:jc w:val="right"/>
            </w:pPr>
            <w:r>
              <w:rPr>
                <w:rFonts w:ascii="Arial" w:cs="Arial" w:eastAsia="Arial" w:hAnsi="Arial"/>
                <w:b w:val="false"/>
                <w:bCs w:val="false"/>
                <w:color w:val="2D2D2D"/>
                <w:sz w:val="19"/>
                <w:szCs w:val="19"/>
              </w:rPr>
              <w:t xml:space="preserve">المورد الذي سبق أن خسر ديناً — يريد حلاً فورياً</w:t>
            </w:r>
          </w:p>
        </w:tc>
        <w:tc>
          <w:tcPr>
            <w:tcW w:type="dxa" w:w="3638"/>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pPr>
              <w:bidi/>
              <w:jc w:val="right"/>
            </w:pPr>
            <w:r>
              <w:rPr>
                <w:rFonts w:ascii="Arial" w:cs="Arial" w:eastAsia="Arial" w:hAnsi="Arial"/>
                <w:b w:val="false"/>
                <w:bCs w:val="false"/>
                <w:color w:val="2D2D2D"/>
                <w:sz w:val="19"/>
                <w:szCs w:val="19"/>
              </w:rPr>
              <w:t xml:space="preserve">صحيح — لكنه أيضاً يمنع النزاع قبل حدوثه، لا فقط يحله</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bidi/>
              <w:jc w:val="right"/>
            </w:pPr>
            <w:r>
              <w:rPr>
                <w:rFonts w:ascii="Arial" w:cs="Arial" w:eastAsia="Arial" w:hAnsi="Arial"/>
                <w:b/>
                <w:bCs/>
                <w:color w:val="2D2D2D"/>
                <w:sz w:val="19"/>
                <w:szCs w:val="19"/>
              </w:rPr>
              <w:t xml:space="preserve">أداة رقابة على العميل</w:t>
            </w:r>
          </w:p>
        </w:tc>
        <w:tc>
          <w:tcPr>
            <w:tcW w:type="dxa" w:w="35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bidi/>
              <w:jc w:val="right"/>
            </w:pPr>
            <w:r>
              <w:rPr>
                <w:rFonts w:ascii="Arial" w:cs="Arial" w:eastAsia="Arial" w:hAnsi="Arial"/>
                <w:b w:val="false"/>
                <w:bCs w:val="false"/>
                <w:color w:val="2D2D2D"/>
                <w:sz w:val="19"/>
                <w:szCs w:val="19"/>
              </w:rPr>
              <w:t xml:space="preserve">المورد الكبير الذي يريد انضباطاً في علاقاته التجارية</w:t>
            </w:r>
          </w:p>
        </w:tc>
        <w:tc>
          <w:tcPr>
            <w:tcW w:type="dxa" w:w="3638"/>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bidi/>
              <w:jc w:val="right"/>
            </w:pPr>
            <w:r>
              <w:rPr>
                <w:rFonts w:ascii="Arial" w:cs="Arial" w:eastAsia="Arial" w:hAnsi="Arial"/>
                <w:b w:val="false"/>
                <w:bCs w:val="false"/>
                <w:color w:val="2D2D2D"/>
                <w:sz w:val="19"/>
                <w:szCs w:val="19"/>
              </w:rPr>
              <w:t xml:space="preserve">صحيح — وهذا يقوي موقفه التفاوضي ويرفع قيمته</w:t>
            </w:r>
          </w:p>
        </w:tc>
      </w:tr>
      <w:tr>
        <w:tc>
          <w:tcPr>
            <w:tcW w:type="dxa" w:w="25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pPr>
              <w:bidi/>
              <w:jc w:val="right"/>
            </w:pPr>
            <w:r>
              <w:rPr>
                <w:rFonts w:ascii="Arial" w:cs="Arial" w:eastAsia="Arial" w:hAnsi="Arial"/>
                <w:b/>
                <w:bCs/>
                <w:color w:val="2D2D2D"/>
                <w:sz w:val="19"/>
                <w:szCs w:val="19"/>
              </w:rPr>
              <w:t xml:space="preserve">عبء إضافي</w:t>
            </w:r>
          </w:p>
        </w:tc>
        <w:tc>
          <w:tcPr>
            <w:tcW w:type="dxa" w:w="35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pPr>
              <w:bidi/>
              <w:jc w:val="right"/>
            </w:pPr>
            <w:r>
              <w:rPr>
                <w:rFonts w:ascii="Arial" w:cs="Arial" w:eastAsia="Arial" w:hAnsi="Arial"/>
                <w:b w:val="false"/>
                <w:bCs w:val="false"/>
                <w:color w:val="2D2D2D"/>
                <w:sz w:val="19"/>
                <w:szCs w:val="19"/>
              </w:rPr>
              <w:t xml:space="preserve">المورد الصغير أو المتوسط الذي يخشى التعقيد</w:t>
            </w:r>
          </w:p>
        </w:tc>
        <w:tc>
          <w:tcPr>
            <w:tcW w:type="dxa" w:w="3638"/>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pPr>
              <w:bidi/>
              <w:jc w:val="right"/>
            </w:pPr>
            <w:r>
              <w:rPr>
                <w:rFonts w:ascii="Arial" w:cs="Arial" w:eastAsia="Arial" w:hAnsi="Arial"/>
                <w:b w:val="false"/>
                <w:bCs w:val="false"/>
                <w:color w:val="2D2D2D"/>
                <w:sz w:val="19"/>
                <w:szCs w:val="19"/>
              </w:rPr>
              <w:t xml:space="preserve">محايد لا يضيف خطوات — يرقمن ما هو موجود. الإعداد ساعات.</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bidi/>
              <w:jc w:val="right"/>
            </w:pPr>
            <w:r>
              <w:rPr>
                <w:rFonts w:ascii="Arial" w:cs="Arial" w:eastAsia="Arial" w:hAnsi="Arial"/>
                <w:b/>
                <w:bCs/>
                <w:color w:val="2D2D2D"/>
                <w:sz w:val="19"/>
                <w:szCs w:val="19"/>
              </w:rPr>
              <w:t xml:space="preserve">بوابة للتمويل</w:t>
            </w:r>
          </w:p>
        </w:tc>
        <w:tc>
          <w:tcPr>
            <w:tcW w:type="dxa" w:w="35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bidi/>
              <w:jc w:val="right"/>
            </w:pPr>
            <w:r>
              <w:rPr>
                <w:rFonts w:ascii="Arial" w:cs="Arial" w:eastAsia="Arial" w:hAnsi="Arial"/>
                <w:b w:val="false"/>
                <w:bCs w:val="false"/>
                <w:color w:val="2D2D2D"/>
                <w:sz w:val="19"/>
                <w:szCs w:val="19"/>
              </w:rPr>
              <w:t xml:space="preserve">المورد الذكي المحتاج لسيولة</w:t>
            </w:r>
          </w:p>
        </w:tc>
        <w:tc>
          <w:tcPr>
            <w:tcW w:type="dxa" w:w="3638"/>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bidi/>
              <w:jc w:val="right"/>
            </w:pPr>
            <w:r>
              <w:rPr>
                <w:rFonts w:ascii="Arial" w:cs="Arial" w:eastAsia="Arial" w:hAnsi="Arial"/>
                <w:b w:val="false"/>
                <w:bCs w:val="false"/>
                <w:color w:val="2D2D2D"/>
                <w:sz w:val="19"/>
                <w:szCs w:val="19"/>
              </w:rPr>
              <w:t xml:space="preserve">هذا هو الـ Insight الأعمق — ومع ذلك لا يُسوَّق بشكل كافٍ</w:t>
            </w:r>
          </w:p>
        </w:tc>
      </w:tr>
    </w:tbl>
    <w:p>
      <w:pPr>
        <w:pBdr>
          <w:bottom w:val="single" w:color="E8771A" w:sz="6"/>
        </w:pBdr>
        <w:bidi/>
        <w:spacing w:after="120" w:before="360"/>
        <w:jc w:val="right"/>
      </w:pPr>
      <w:r>
        <w:rPr>
          <w:rFonts w:ascii="Arial" w:cs="Arial" w:eastAsia="Arial" w:hAnsi="Arial"/>
          <w:b/>
          <w:bCs/>
          <w:color w:val="1A1A1A"/>
          <w:sz w:val="28"/>
          <w:szCs w:val="28"/>
        </w:rPr>
        <w:t xml:space="preserve">٤. القيمة الحقيقية لمحايد للمورد</w:t>
      </w:r>
    </w:p>
    <w:p>
      <w:pPr>
        <w:pBdr>
          <w:right w:val="thick" w:color="E8771A" w:sz="12"/>
        </w:pBdr>
        <w:bidi/>
        <w:spacing w:after="80" w:before="280"/>
        <w:ind w:right="200"/>
        <w:jc w:val="right"/>
      </w:pPr>
      <w:r>
        <w:rPr>
          <w:rFonts w:ascii="Arial" w:cs="Arial" w:eastAsia="Arial" w:hAnsi="Arial"/>
          <w:b/>
          <w:bCs/>
          <w:color w:val="2D2D2D"/>
          <w:sz w:val="24"/>
          <w:szCs w:val="24"/>
        </w:rPr>
        <w:t xml:space="preserve">أمر الأداء — من الصفقة إلى الحكم في أيام لا أشهر</w:t>
      </w:r>
    </w:p>
    <w:p>
      <w:pPr>
        <w:bidi/>
        <w:spacing w:after="60" w:before="60"/>
        <w:jc w:val="right"/>
      </w:pPr>
      <w:r>
        <w:rPr>
          <w:rFonts w:ascii="Arial" w:cs="Arial" w:eastAsia="Arial" w:hAnsi="Arial"/>
          <w:b w:val="false"/>
          <w:bCs w:val="false"/>
          <w:color w:val="2D2D2D"/>
          <w:sz w:val="21"/>
          <w:szCs w:val="21"/>
        </w:rPr>
        <w:t xml:space="preserve">كل معاملة على محايد تستوفي الشروط الأربعة لأمر الأداء:  دين مكتوب ✓  |  دين مستحق ✓  |  دين محدد ✓  |  لا نزاع ✓</w:t>
      </w:r>
    </w:p>
    <w:p>
      <w:pPr>
        <w:pStyle w:val="ListParagraph"/>
        <w:numPr>
          <w:ilvl w:val="0"/>
          <w:numId w:val="2"/>
        </w:numPr>
        <w:bidi/>
        <w:spacing w:after="40" w:before="40"/>
        <w:jc w:val="right"/>
      </w:pPr>
      <w:r>
        <w:rPr>
          <w:rFonts w:ascii="Arial" w:cs="Arial" w:eastAsia="Arial" w:hAnsi="Arial"/>
          <w:color w:val="2D2D2D"/>
          <w:sz w:val="21"/>
          <w:szCs w:val="21"/>
        </w:rPr>
        <w:t xml:space="preserve">بدون محايد: إثبات الدين في المحكمة يستغرق ٦-١٨ شهراً وتكلفة قانونية عالية</w:t>
      </w:r>
    </w:p>
    <w:p>
      <w:pPr>
        <w:pStyle w:val="ListParagraph"/>
        <w:numPr>
          <w:ilvl w:val="0"/>
          <w:numId w:val="2"/>
        </w:numPr>
        <w:bidi/>
        <w:spacing w:after="40" w:before="40"/>
        <w:jc w:val="right"/>
      </w:pPr>
      <w:r>
        <w:rPr>
          <w:rFonts w:ascii="Arial" w:cs="Arial" w:eastAsia="Arial" w:hAnsi="Arial"/>
          <w:color w:val="2D2D2D"/>
          <w:sz w:val="21"/>
          <w:szCs w:val="21"/>
        </w:rPr>
        <w:t xml:space="preserve">مع محايد: ملف أمر الأداء جاهز من اليوم الأول — الحكم في أسابيع</w:t>
      </w:r>
    </w:p>
    <w:p>
      <w:pPr>
        <w:pStyle w:val="ListParagraph"/>
        <w:numPr>
          <w:ilvl w:val="0"/>
          <w:numId w:val="2"/>
        </w:numPr>
        <w:bidi/>
        <w:spacing w:after="40" w:before="40"/>
        <w:jc w:val="right"/>
      </w:pPr>
      <w:r>
        <w:rPr>
          <w:rFonts w:ascii="Arial" w:cs="Arial" w:eastAsia="Arial" w:hAnsi="Arial"/>
          <w:color w:val="2D2D2D"/>
          <w:sz w:val="21"/>
          <w:szCs w:val="21"/>
        </w:rPr>
        <w:t xml:space="preserve">المورد يتحول من 'متضرر' إلى 'دائن منظم' أمام القضاء</w:t>
      </w:r>
    </w:p>
    <w:p>
      <w:pPr>
        <w:pBdr>
          <w:right w:val="thick" w:color="E8771A" w:sz="12"/>
        </w:pBdr>
        <w:bidi/>
        <w:spacing w:after="80" w:before="280"/>
        <w:ind w:right="200"/>
        <w:jc w:val="right"/>
      </w:pPr>
      <w:r>
        <w:rPr>
          <w:rFonts w:ascii="Arial" w:cs="Arial" w:eastAsia="Arial" w:hAnsi="Arial"/>
          <w:b/>
          <w:bCs/>
          <w:color w:val="2D2D2D"/>
          <w:sz w:val="24"/>
          <w:szCs w:val="24"/>
        </w:rPr>
        <w:t xml:space="preserve">IFRS 9 — خفض المخصص بشكل قابل للإثبات</w:t>
      </w:r>
    </w:p>
    <w:p>
      <w:pPr>
        <w:pStyle w:val="ListParagraph"/>
        <w:numPr>
          <w:ilvl w:val="0"/>
          <w:numId w:val="2"/>
        </w:numPr>
        <w:bidi/>
        <w:spacing w:after="40" w:before="40"/>
        <w:jc w:val="right"/>
      </w:pPr>
      <w:r>
        <w:rPr>
          <w:rFonts w:ascii="Arial" w:cs="Arial" w:eastAsia="Arial" w:hAnsi="Arial"/>
          <w:color w:val="2D2D2D"/>
          <w:sz w:val="21"/>
          <w:szCs w:val="21"/>
        </w:rPr>
        <w:t xml:space="preserve">توثيق التسليم بـ OTP + GPS + وسائط = تقليل احتمالية الانتقال لـ Stage 2</w:t>
      </w:r>
    </w:p>
    <w:p>
      <w:pPr>
        <w:pStyle w:val="ListParagraph"/>
        <w:numPr>
          <w:ilvl w:val="0"/>
          <w:numId w:val="2"/>
        </w:numPr>
        <w:bidi/>
        <w:spacing w:after="40" w:before="40"/>
        <w:jc w:val="right"/>
      </w:pPr>
      <w:r>
        <w:rPr>
          <w:rFonts w:ascii="Arial" w:cs="Arial" w:eastAsia="Arial" w:hAnsi="Arial"/>
          <w:color w:val="2D2D2D"/>
          <w:sz w:val="21"/>
          <w:szCs w:val="21"/>
        </w:rPr>
        <w:t xml:space="preserve">الاتفاقية الإلكترونية الملزمة تقلل PD (Probability of Default)</w:t>
      </w:r>
    </w:p>
    <w:p>
      <w:pPr>
        <w:pStyle w:val="ListParagraph"/>
        <w:numPr>
          <w:ilvl w:val="0"/>
          <w:numId w:val="2"/>
        </w:numPr>
        <w:bidi/>
        <w:spacing w:after="40" w:before="40"/>
        <w:jc w:val="right"/>
      </w:pPr>
      <w:r>
        <w:rPr>
          <w:rFonts w:ascii="Arial" w:cs="Arial" w:eastAsia="Arial" w:hAnsi="Arial"/>
          <w:color w:val="2D2D2D"/>
          <w:sz w:val="21"/>
          <w:szCs w:val="21"/>
        </w:rPr>
        <w:t xml:space="preserve">قابلية الإنفاذ القانوني ترفع معدل الاسترداد وتخفض LGD</w:t>
      </w:r>
    </w:p>
    <w:p>
      <w:pPr>
        <w:pStyle w:val="ListParagraph"/>
        <w:numPr>
          <w:ilvl w:val="0"/>
          <w:numId w:val="2"/>
        </w:numPr>
        <w:bidi/>
        <w:spacing w:after="40" w:before="40"/>
        <w:jc w:val="right"/>
      </w:pPr>
      <w:r>
        <w:rPr>
          <w:rFonts w:ascii="Arial" w:cs="Arial" w:eastAsia="Arial" w:hAnsi="Arial"/>
          <w:color w:val="2D2D2D"/>
          <w:sz w:val="21"/>
          <w:szCs w:val="21"/>
        </w:rPr>
        <w:t xml:space="preserve">النتيجة: ECL أدنى = مخصص أدنى = ربح مُعلن أعلى</w:t>
      </w:r>
    </w:p>
    <w:p>
      <w:pPr>
        <w:pBdr>
          <w:right w:val="thick" w:color="E8771A" w:sz="8"/>
        </w:pBdr>
        <w:shd w:fill="FFF8F0" w:val="clear"/>
        <w:bidi/>
        <w:spacing w:after="80" w:before="120"/>
        <w:ind w:left="200" w:right="200"/>
        <w:jc w:val="right"/>
      </w:pPr>
      <w:r>
        <w:rPr>
          <w:rFonts w:ascii="Arial" w:cs="Arial" w:eastAsia="Arial" w:hAnsi="Arial"/>
          <w:i/>
          <w:iCs/>
          <w:color w:val="2D2D2D"/>
          <w:sz w:val="20"/>
          <w:szCs w:val="20"/>
        </w:rPr>
        <w:t xml:space="preserve">⚠ تنبيه للمدقق: أي تخفيض في المخصص يجب دعمه ببيانات أداء فعلية وفق IFRS 9 الفقرات 5.5.1–5.5.20. محايد يحسّن المدخلات — لا يستبدل حكم المدقق.</w:t>
      </w:r>
    </w:p>
    <w:p>
      <w:pPr>
        <w:pBdr>
          <w:right w:val="thick" w:color="E8771A" w:sz="12"/>
        </w:pBdr>
        <w:bidi/>
        <w:spacing w:after="80" w:before="280"/>
        <w:ind w:right="200"/>
        <w:jc w:val="right"/>
      </w:pPr>
      <w:r>
        <w:rPr>
          <w:rFonts w:ascii="Arial" w:cs="Arial" w:eastAsia="Arial" w:hAnsi="Arial"/>
          <w:b/>
          <w:bCs/>
          <w:color w:val="2D2D2D"/>
          <w:sz w:val="24"/>
          <w:szCs w:val="24"/>
        </w:rPr>
        <w:t xml:space="preserve">السيولة وWorking Capital</w:t>
      </w:r>
    </w:p>
    <w:p>
      <w:pPr>
        <w:pStyle w:val="ListParagraph"/>
        <w:numPr>
          <w:ilvl w:val="0"/>
          <w:numId w:val="2"/>
        </w:numPr>
        <w:bidi/>
        <w:spacing w:after="40" w:before="40"/>
        <w:jc w:val="right"/>
      </w:pPr>
      <w:r>
        <w:rPr>
          <w:rFonts w:ascii="Arial" w:cs="Arial" w:eastAsia="Arial" w:hAnsi="Arial"/>
          <w:color w:val="2D2D2D"/>
          <w:sz w:val="21"/>
          <w:szCs w:val="21"/>
        </w:rPr>
        <w:t xml:space="preserve">كل فاتورة موثقة على محايد = أصل قابل للتمويل</w:t>
      </w:r>
    </w:p>
    <w:p>
      <w:pPr>
        <w:pStyle w:val="ListParagraph"/>
        <w:numPr>
          <w:ilvl w:val="0"/>
          <w:numId w:val="2"/>
        </w:numPr>
        <w:bidi/>
        <w:spacing w:after="40" w:before="40"/>
        <w:jc w:val="right"/>
      </w:pPr>
      <w:r>
        <w:rPr>
          <w:rFonts w:ascii="Arial" w:cs="Arial" w:eastAsia="Arial" w:hAnsi="Arial"/>
          <w:color w:val="2D2D2D"/>
          <w:sz w:val="21"/>
          <w:szCs w:val="21"/>
        </w:rPr>
        <w:t xml:space="preserve">البنوك وشركات التمويل تقبل الفواتير الموثقة بالبلوك تشين كضمان فعلي</w:t>
      </w:r>
    </w:p>
    <w:p>
      <w:pPr>
        <w:pStyle w:val="ListParagraph"/>
        <w:numPr>
          <w:ilvl w:val="0"/>
          <w:numId w:val="2"/>
        </w:numPr>
        <w:bidi/>
        <w:spacing w:after="40" w:before="40"/>
        <w:jc w:val="right"/>
      </w:pPr>
      <w:r>
        <w:rPr>
          <w:rFonts w:ascii="Arial" w:cs="Arial" w:eastAsia="Arial" w:hAnsi="Arial"/>
          <w:color w:val="2D2D2D"/>
          <w:sz w:val="21"/>
          <w:szCs w:val="21"/>
        </w:rPr>
        <w:t xml:space="preserve">المورد يتحول من الانتظار ٩٠ يوماً → قبض السيولة خلال أيام من التسليم</w:t>
      </w:r>
    </w:p>
    <w:p>
      <w:pPr>
        <w:pStyle w:val="ListParagraph"/>
        <w:numPr>
          <w:ilvl w:val="0"/>
          <w:numId w:val="2"/>
        </w:numPr>
        <w:bidi/>
        <w:spacing w:after="40" w:before="40"/>
        <w:jc w:val="right"/>
      </w:pPr>
      <w:r>
        <w:rPr>
          <w:rFonts w:ascii="Arial" w:cs="Arial" w:eastAsia="Arial" w:hAnsi="Arial"/>
          <w:color w:val="2D2D2D"/>
          <w:sz w:val="21"/>
          <w:szCs w:val="21"/>
        </w:rPr>
        <w:t xml:space="preserve">تأمين الذمم التجاري يصبح ممكناً على محفظة موثقة</w:t>
      </w:r>
    </w:p>
    <w:p>
      <w:pPr>
        <w:pBdr>
          <w:right w:val="thick" w:color="E8771A" w:sz="12"/>
        </w:pBdr>
        <w:bidi/>
        <w:spacing w:after="80" w:before="280"/>
        <w:ind w:right="200"/>
        <w:jc w:val="right"/>
      </w:pPr>
      <w:r>
        <w:rPr>
          <w:rFonts w:ascii="Arial" w:cs="Arial" w:eastAsia="Arial" w:hAnsi="Arial"/>
          <w:b/>
          <w:bCs/>
          <w:color w:val="2D2D2D"/>
          <w:sz w:val="24"/>
          <w:szCs w:val="24"/>
        </w:rPr>
        <w:t xml:space="preserve">التوسع بثقة</w:t>
      </w:r>
    </w:p>
    <w:p>
      <w:pPr>
        <w:pStyle w:val="ListParagraph"/>
        <w:numPr>
          <w:ilvl w:val="0"/>
          <w:numId w:val="2"/>
        </w:numPr>
        <w:bidi/>
        <w:spacing w:after="40" w:before="40"/>
        <w:jc w:val="right"/>
      </w:pPr>
      <w:r>
        <w:rPr>
          <w:rFonts w:ascii="Arial" w:cs="Arial" w:eastAsia="Arial" w:hAnsi="Arial"/>
          <w:color w:val="2D2D2D"/>
          <w:sz w:val="21"/>
          <w:szCs w:val="21"/>
        </w:rPr>
        <w:t xml:space="preserve">المورد يستطيع البيع لعملاء جدد مجهولين دون مخاطرة — المنصة تعوض الثقة الشخصية</w:t>
      </w:r>
    </w:p>
    <w:p>
      <w:pPr>
        <w:pStyle w:val="ListParagraph"/>
        <w:numPr>
          <w:ilvl w:val="0"/>
          <w:numId w:val="2"/>
        </w:numPr>
        <w:bidi/>
        <w:spacing w:after="40" w:before="40"/>
        <w:jc w:val="right"/>
      </w:pPr>
      <w:r>
        <w:rPr>
          <w:rFonts w:ascii="Arial" w:cs="Arial" w:eastAsia="Arial" w:hAnsi="Arial"/>
          <w:color w:val="2D2D2D"/>
          <w:sz w:val="21"/>
          <w:szCs w:val="21"/>
        </w:rPr>
        <w:t xml:space="preserve">يمكن رفع حدود الائتمان الممنوحة لأن المخاطرة محكومة ومقيّسة</w:t>
      </w:r>
    </w:p>
    <w:p>
      <w:pPr>
        <w:pStyle w:val="ListParagraph"/>
        <w:numPr>
          <w:ilvl w:val="0"/>
          <w:numId w:val="2"/>
        </w:numPr>
        <w:bidi/>
        <w:spacing w:after="40" w:before="40"/>
        <w:jc w:val="right"/>
      </w:pPr>
      <w:r>
        <w:rPr>
          <w:rFonts w:ascii="Arial" w:cs="Arial" w:eastAsia="Arial" w:hAnsi="Arial"/>
          <w:color w:val="2D2D2D"/>
          <w:sz w:val="21"/>
          <w:szCs w:val="21"/>
        </w:rPr>
        <w:t xml:space="preserve">النتيجة الاستراتيجية: النمو بدون تضخم المخاطر</w:t>
      </w:r>
    </w:p>
    <w:p>
      <w:pPr>
        <w:pBdr>
          <w:bottom w:val="single" w:color="E8771A" w:sz="6"/>
        </w:pBdr>
        <w:bidi/>
        <w:spacing w:after="120" w:before="360"/>
        <w:jc w:val="right"/>
      </w:pPr>
      <w:r>
        <w:rPr>
          <w:rFonts w:ascii="Arial" w:cs="Arial" w:eastAsia="Arial" w:hAnsi="Arial"/>
          <w:b/>
          <w:bCs/>
          <w:color w:val="1A1A1A"/>
          <w:sz w:val="28"/>
          <w:szCs w:val="28"/>
        </w:rPr>
        <w:t xml:space="preserve">٥. شراكة SGS — خدمات الفحص والتصديق</w:t>
      </w:r>
    </w:p>
    <w:p>
      <w:pPr>
        <w:bidi/>
        <w:spacing w:after="60" w:before="60"/>
        <w:jc w:val="right"/>
      </w:pPr>
      <w:r>
        <w:rPr>
          <w:rFonts w:ascii="Arial" w:cs="Arial" w:eastAsia="Arial" w:hAnsi="Arial"/>
          <w:b/>
          <w:bCs/>
          <w:color w:val="2D2D2D"/>
          <w:sz w:val="21"/>
          <w:szCs w:val="21"/>
        </w:rPr>
        <w:t xml:space="preserve">محايد يقدم الآن خدمات فحص وتحقق واختبار وتصديق من خلال SGS، بشروط تفضيلية حصرية لمستخدمي محايد وحماية إضافية لحقوق الدفع.</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3138"/>
      </w:tblGrid>
      <w:tr>
        <w:trPr>
          <w:tblHeader/>
        </w:trPr>
        <w:tc>
          <w:tcPr>
            <w:tcW w:type="dxa" w:w="2500"/>
            <w:tcBorders>
              <w:top w:val="single" w:color="DDDDDD" w:sz="1"/>
              <w:left w:val="single" w:color="DDDDDD" w:sz="1"/>
              <w:bottom w:val="single" w:color="DDDDDD" w:sz="1"/>
              <w:right w:val="single" w:color="DDDDDD" w:sz="1"/>
            </w:tcBorders>
            <w:shd w:fill="1A1A1A" w:val="clear"/>
            <w:tcMar>
              <w:top w:type="dxa" w:w="100"/>
              <w:left w:type="dxa" w:w="160"/>
              <w:bottom w:type="dxa" w:w="100"/>
              <w:right w:type="dxa" w:w="160"/>
            </w:tcMar>
            <w:vAlign w:val="center"/>
          </w:tcPr>
          <w:p>
            <w:pPr>
              <w:bidi/>
              <w:jc w:val="right"/>
            </w:pPr>
            <w:r>
              <w:rPr>
                <w:rFonts w:ascii="Arial" w:cs="Arial" w:eastAsia="Arial" w:hAnsi="Arial"/>
                <w:b/>
                <w:bCs/>
                <w:color w:val="FFFFFF"/>
                <w:sz w:val="20"/>
                <w:szCs w:val="20"/>
              </w:rPr>
              <w:t xml:space="preserve">الخدمة</w:t>
            </w:r>
          </w:p>
        </w:tc>
        <w:tc>
          <w:tcPr>
            <w:tcW w:type="dxa" w:w="4000"/>
            <w:tcBorders>
              <w:top w:val="single" w:color="DDDDDD" w:sz="1"/>
              <w:left w:val="single" w:color="DDDDDD" w:sz="1"/>
              <w:bottom w:val="single" w:color="DDDDDD" w:sz="1"/>
              <w:right w:val="single" w:color="DDDDDD" w:sz="1"/>
            </w:tcBorders>
            <w:shd w:fill="1A1A1A" w:val="clear"/>
            <w:tcMar>
              <w:top w:type="dxa" w:w="100"/>
              <w:left w:type="dxa" w:w="160"/>
              <w:bottom w:type="dxa" w:w="100"/>
              <w:right w:type="dxa" w:w="160"/>
            </w:tcMar>
            <w:vAlign w:val="center"/>
          </w:tcPr>
          <w:p>
            <w:pPr>
              <w:bidi/>
              <w:jc w:val="right"/>
            </w:pPr>
            <w:r>
              <w:rPr>
                <w:rFonts w:ascii="Arial" w:cs="Arial" w:eastAsia="Arial" w:hAnsi="Arial"/>
                <w:b/>
                <w:bCs/>
                <w:color w:val="FFFFFF"/>
                <w:sz w:val="20"/>
                <w:szCs w:val="20"/>
              </w:rPr>
              <w:t xml:space="preserve">الوصف</w:t>
            </w:r>
          </w:p>
        </w:tc>
        <w:tc>
          <w:tcPr>
            <w:tcW w:type="dxa" w:w="3138"/>
            <w:tcBorders>
              <w:top w:val="single" w:color="DDDDDD" w:sz="1"/>
              <w:left w:val="single" w:color="DDDDDD" w:sz="1"/>
              <w:bottom w:val="single" w:color="DDDDDD" w:sz="1"/>
              <w:right w:val="single" w:color="DDDDDD" w:sz="1"/>
            </w:tcBorders>
            <w:shd w:fill="1A1A1A" w:val="clear"/>
            <w:tcMar>
              <w:top w:type="dxa" w:w="100"/>
              <w:left w:type="dxa" w:w="160"/>
              <w:bottom w:type="dxa" w:w="100"/>
              <w:right w:type="dxa" w:w="160"/>
            </w:tcMar>
            <w:vAlign w:val="center"/>
          </w:tcPr>
          <w:p>
            <w:pPr>
              <w:bidi/>
              <w:jc w:val="right"/>
            </w:pPr>
            <w:r>
              <w:rPr>
                <w:rFonts w:ascii="Arial" w:cs="Arial" w:eastAsia="Arial" w:hAnsi="Arial"/>
                <w:b/>
                <w:bCs/>
                <w:color w:val="FFFFFF"/>
                <w:sz w:val="20"/>
                <w:szCs w:val="20"/>
              </w:rPr>
              <w:t xml:space="preserve">الفائدة الرئيسية</w:t>
            </w:r>
          </w:p>
        </w:tc>
      </w:tr>
      <w:tr>
        <w:tc>
          <w:tcPr>
            <w:tcW w:type="dxa" w:w="25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pPr>
              <w:bidi/>
              <w:jc w:val="right"/>
            </w:pPr>
            <w:r>
              <w:rPr>
                <w:rFonts w:ascii="Arial" w:cs="Arial" w:eastAsia="Arial" w:hAnsi="Arial"/>
                <w:b/>
                <w:bCs/>
                <w:color w:val="2D2D2D"/>
                <w:sz w:val="19"/>
                <w:szCs w:val="19"/>
              </w:rPr>
              <w:t xml:space="preserve">الفحص الميداني</w:t>
            </w:r>
          </w:p>
        </w:tc>
        <w:tc>
          <w:tcPr>
            <w:tcW w:type="dxa" w:w="40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pPr>
              <w:bidi/>
              <w:jc w:val="right"/>
            </w:pPr>
            <w:r>
              <w:rPr>
                <w:rFonts w:ascii="Arial" w:cs="Arial" w:eastAsia="Arial" w:hAnsi="Arial"/>
                <w:b w:val="false"/>
                <w:bCs w:val="false"/>
                <w:color w:val="2D2D2D"/>
                <w:sz w:val="19"/>
                <w:szCs w:val="19"/>
              </w:rPr>
              <w:t xml:space="preserve">التحقق الميداني من الشحنة: فحص بصري لهوية المنتج، التغليف، الجودة، الكميات، وإغلاق الحاوية الكاملة.</w:t>
            </w:r>
          </w:p>
        </w:tc>
        <w:tc>
          <w:tcPr>
            <w:tcW w:type="dxa" w:w="3138"/>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pPr>
              <w:bidi/>
              <w:jc w:val="right"/>
            </w:pPr>
            <w:r>
              <w:rPr>
                <w:rFonts w:ascii="Arial" w:cs="Arial" w:eastAsia="Arial" w:hAnsi="Arial"/>
                <w:b w:val="false"/>
                <w:bCs w:val="false"/>
                <w:color w:val="2D2D2D"/>
                <w:sz w:val="19"/>
                <w:szCs w:val="19"/>
              </w:rPr>
              <w:t xml:space="preserve">دليل تسليم لا يُنكر — مقاوم للنزاعات من اليوم الأول</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bidi/>
              <w:jc w:val="right"/>
            </w:pPr>
            <w:r>
              <w:rPr>
                <w:rFonts w:ascii="Arial" w:cs="Arial" w:eastAsia="Arial" w:hAnsi="Arial"/>
                <w:b/>
                <w:bCs/>
                <w:color w:val="2D2D2D"/>
                <w:sz w:val="19"/>
                <w:szCs w:val="19"/>
              </w:rPr>
              <w:t xml:space="preserve">الفحص الافتراضي</w:t>
            </w:r>
          </w:p>
        </w:tc>
        <w:tc>
          <w:tcPr>
            <w:tcW w:type="dxa" w:w="4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bidi/>
              <w:jc w:val="right"/>
            </w:pPr>
            <w:r>
              <w:rPr>
                <w:rFonts w:ascii="Arial" w:cs="Arial" w:eastAsia="Arial" w:hAnsi="Arial"/>
                <w:b w:val="false"/>
                <w:bCs w:val="false"/>
                <w:color w:val="2D2D2D"/>
                <w:sz w:val="19"/>
                <w:szCs w:val="19"/>
              </w:rPr>
              <w:t xml:space="preserve">فحص بصري في الوقت الفعلي لهوية المنتج والتغليف والعلامات والجودة والكميات وفق خطة AQL عبر فيديو/صور مباشرة.</w:t>
            </w:r>
          </w:p>
        </w:tc>
        <w:tc>
          <w:tcPr>
            <w:tcW w:type="dxa" w:w="3138"/>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bidi/>
              <w:jc w:val="right"/>
            </w:pPr>
            <w:r>
              <w:rPr>
                <w:rFonts w:ascii="Arial" w:cs="Arial" w:eastAsia="Arial" w:hAnsi="Arial"/>
                <w:b w:val="false"/>
                <w:bCs w:val="false"/>
                <w:color w:val="2D2D2D"/>
                <w:sz w:val="19"/>
                <w:szCs w:val="19"/>
              </w:rPr>
              <w:t xml:space="preserve">توثيق بعيد بنفس مستوى الحماية — بتكلفة أقل</w:t>
            </w:r>
          </w:p>
        </w:tc>
      </w:tr>
      <w:tr>
        <w:tc>
          <w:tcPr>
            <w:tcW w:type="dxa" w:w="25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pPr>
              <w:bidi/>
              <w:jc w:val="right"/>
            </w:pPr>
            <w:r>
              <w:rPr>
                <w:rFonts w:ascii="Arial" w:cs="Arial" w:eastAsia="Arial" w:hAnsi="Arial"/>
                <w:b/>
                <w:bCs/>
                <w:color w:val="2D2D2D"/>
                <w:sz w:val="19"/>
                <w:szCs w:val="19"/>
              </w:rPr>
              <w:t xml:space="preserve">المورد الذهبي الموثق</w:t>
            </w:r>
          </w:p>
        </w:tc>
        <w:tc>
          <w:tcPr>
            <w:tcW w:type="dxa" w:w="40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pPr>
              <w:bidi/>
              <w:jc w:val="right"/>
            </w:pPr>
            <w:r>
              <w:rPr>
                <w:rFonts w:ascii="Arial" w:cs="Arial" w:eastAsia="Arial" w:hAnsi="Arial"/>
                <w:b w:val="false"/>
                <w:bCs w:val="false"/>
                <w:color w:val="2D2D2D"/>
                <w:sz w:val="19"/>
                <w:szCs w:val="19"/>
              </w:rPr>
              <w:t xml:space="preserve">تدقيق شامل للمصنع + شارة 'SGS Golden Verified Supplier' الرسمية. دليل على الموثوقية والشفافية العالية.</w:t>
            </w:r>
          </w:p>
        </w:tc>
        <w:tc>
          <w:tcPr>
            <w:tcW w:type="dxa" w:w="3138"/>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pPr>
              <w:bidi/>
              <w:jc w:val="right"/>
            </w:pPr>
            <w:r>
              <w:rPr>
                <w:rFonts w:ascii="Arial" w:cs="Arial" w:eastAsia="Arial" w:hAnsi="Arial"/>
                <w:b w:val="false"/>
                <w:bCs w:val="false"/>
                <w:color w:val="2D2D2D"/>
                <w:sz w:val="19"/>
                <w:szCs w:val="19"/>
              </w:rPr>
              <w:t xml:space="preserve">شارة مصداقية متميزة — تعزز ثقة المشتري وتُغلق الصفقات أسرع</w:t>
            </w:r>
          </w:p>
        </w:tc>
      </w:tr>
    </w:tbl>
    <w:p>
      <w:pPr>
        <w:pStyle w:val="ListParagraph"/>
        <w:numPr>
          <w:ilvl w:val="0"/>
          <w:numId w:val="2"/>
        </w:numPr>
        <w:bidi/>
        <w:spacing w:after="40" w:before="40"/>
        <w:jc w:val="right"/>
      </w:pPr>
      <w:r>
        <w:rPr>
          <w:rFonts w:ascii="Arial" w:cs="Arial" w:eastAsia="Arial" w:hAnsi="Arial"/>
          <w:color w:val="2D2D2D"/>
          <w:sz w:val="21"/>
          <w:szCs w:val="21"/>
        </w:rPr>
        <w:t xml:space="preserve">إضافة طبقة إضافية من الشفافية لكل تسليم</w:t>
      </w:r>
    </w:p>
    <w:p>
      <w:pPr>
        <w:pStyle w:val="ListParagraph"/>
        <w:numPr>
          <w:ilvl w:val="0"/>
          <w:numId w:val="2"/>
        </w:numPr>
        <w:bidi/>
        <w:spacing w:after="40" w:before="40"/>
        <w:jc w:val="right"/>
      </w:pPr>
      <w:r>
        <w:rPr>
          <w:rFonts w:ascii="Arial" w:cs="Arial" w:eastAsia="Arial" w:hAnsi="Arial"/>
          <w:color w:val="2D2D2D"/>
          <w:sz w:val="21"/>
          <w:szCs w:val="21"/>
        </w:rPr>
        <w:t xml:space="preserve">تقليل مخاطر النزاعات التجارية الناشئة عن ادعاءات التسليم</w:t>
      </w:r>
    </w:p>
    <w:p>
      <w:pPr>
        <w:pStyle w:val="ListParagraph"/>
        <w:numPr>
          <w:ilvl w:val="0"/>
          <w:numId w:val="2"/>
        </w:numPr>
        <w:bidi/>
        <w:spacing w:after="40" w:before="40"/>
        <w:jc w:val="right"/>
      </w:pPr>
      <w:r>
        <w:rPr>
          <w:rFonts w:ascii="Arial" w:cs="Arial" w:eastAsia="Arial" w:hAnsi="Arial"/>
          <w:color w:val="2D2D2D"/>
          <w:sz w:val="21"/>
          <w:szCs w:val="21"/>
        </w:rPr>
        <w:t xml:space="preserve">حماية عملك من النزاعات المكلفة الناجمة عن مناولة طرف ثالث للبضاعة</w:t>
      </w:r>
    </w:p>
    <w:p>
      <w:pPr>
        <w:pStyle w:val="ListParagraph"/>
        <w:numPr>
          <w:ilvl w:val="0"/>
          <w:numId w:val="2"/>
        </w:numPr>
        <w:bidi/>
        <w:spacing w:after="40" w:before="40"/>
        <w:jc w:val="right"/>
      </w:pPr>
      <w:r>
        <w:rPr>
          <w:rFonts w:ascii="Arial" w:cs="Arial" w:eastAsia="Arial" w:hAnsi="Arial"/>
          <w:color w:val="2D2D2D"/>
          <w:sz w:val="21"/>
          <w:szCs w:val="21"/>
        </w:rPr>
        <w:t xml:space="preserve">تعزيز مبيعاتك بأن تصبح مورداً موثقاً ومعتمداً من SGS</w:t>
      </w:r>
    </w:p>
    <w:p>
      <w:pPr>
        <w:pBdr>
          <w:right w:val="thick" w:color="E8771A" w:sz="8"/>
        </w:pBdr>
        <w:shd w:fill="FFF8F0" w:val="clear"/>
        <w:bidi/>
        <w:spacing w:after="80" w:before="120"/>
        <w:ind w:left="200" w:right="200"/>
        <w:jc w:val="right"/>
      </w:pPr>
      <w:r>
        <w:rPr>
          <w:rFonts w:ascii="Arial" w:cs="Arial" w:eastAsia="Arial" w:hAnsi="Arial"/>
          <w:i/>
          <w:iCs/>
          <w:color w:val="2D2D2D"/>
          <w:sz w:val="20"/>
          <w:szCs w:val="20"/>
        </w:rPr>
        <w:t xml:space="preserve">للتقديم على خدمات الفحص والتحقق: muhide.com  ·  info@muhide.com  ·  9200-31-651</w:t>
      </w:r>
    </w:p>
    <w:p>
      <w:pPr>
        <w:pBdr>
          <w:bottom w:val="single" w:color="E8771A" w:sz="6"/>
        </w:pBdr>
        <w:bidi/>
        <w:spacing w:after="120" w:before="360"/>
        <w:jc w:val="right"/>
      </w:pPr>
      <w:r>
        <w:rPr>
          <w:rFonts w:ascii="Arial" w:cs="Arial" w:eastAsia="Arial" w:hAnsi="Arial"/>
          <w:b/>
          <w:bCs/>
          <w:color w:val="1A1A1A"/>
          <w:sz w:val="28"/>
          <w:szCs w:val="28"/>
        </w:rPr>
        <w:t xml:space="preserve">٦. ICP للمورد — العميل المثالي</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DDDDDD" w:sz="1"/>
              <w:left w:val="single" w:color="DDDDDD" w:sz="1"/>
              <w:bottom w:val="single" w:color="DDDDDD" w:sz="1"/>
              <w:right w:val="single" w:color="DDDDDD" w:sz="1"/>
            </w:tcBorders>
            <w:shd w:fill="1A1A1A" w:val="clear"/>
            <w:tcMar>
              <w:top w:type="dxa" w:w="100"/>
              <w:left w:type="dxa" w:w="160"/>
              <w:bottom w:type="dxa" w:w="100"/>
              <w:right w:type="dxa" w:w="160"/>
            </w:tcMar>
            <w:vAlign w:val="center"/>
          </w:tcPr>
          <w:p>
            <w:pPr>
              <w:bidi/>
              <w:jc w:val="right"/>
            </w:pPr>
            <w:r>
              <w:rPr>
                <w:rFonts w:ascii="Arial" w:cs="Arial" w:eastAsia="Arial" w:hAnsi="Arial"/>
                <w:b/>
                <w:bCs/>
                <w:color w:val="FFFFFF"/>
                <w:sz w:val="20"/>
                <w:szCs w:val="20"/>
              </w:rPr>
              <w:t xml:space="preserve">المعيار</w:t>
            </w:r>
          </w:p>
        </w:tc>
        <w:tc>
          <w:tcPr>
            <w:tcW w:type="dxa" w:w="6638"/>
            <w:tcBorders>
              <w:top w:val="single" w:color="DDDDDD" w:sz="1"/>
              <w:left w:val="single" w:color="DDDDDD" w:sz="1"/>
              <w:bottom w:val="single" w:color="DDDDDD" w:sz="1"/>
              <w:right w:val="single" w:color="DDDDDD" w:sz="1"/>
            </w:tcBorders>
            <w:shd w:fill="1A1A1A" w:val="clear"/>
            <w:tcMar>
              <w:top w:type="dxa" w:w="100"/>
              <w:left w:type="dxa" w:w="160"/>
              <w:bottom w:type="dxa" w:w="100"/>
              <w:right w:type="dxa" w:w="160"/>
            </w:tcMar>
            <w:vAlign w:val="center"/>
          </w:tcPr>
          <w:p>
            <w:pPr>
              <w:bidi/>
              <w:jc w:val="right"/>
            </w:pPr>
            <w:r>
              <w:rPr>
                <w:rFonts w:ascii="Arial" w:cs="Arial" w:eastAsia="Arial" w:hAnsi="Arial"/>
                <w:b/>
                <w:bCs/>
                <w:color w:val="FFFFFF"/>
                <w:sz w:val="20"/>
                <w:szCs w:val="20"/>
              </w:rPr>
              <w:t xml:space="preserve">التفصيل</w:t>
            </w:r>
          </w:p>
        </w:tc>
      </w:tr>
      <w:tr>
        <w:tc>
          <w:tcPr>
            <w:tcW w:type="dxa" w:w="30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pPr>
              <w:bidi/>
              <w:jc w:val="right"/>
            </w:pPr>
            <w:r>
              <w:rPr>
                <w:rFonts w:ascii="Arial" w:cs="Arial" w:eastAsia="Arial" w:hAnsi="Arial"/>
                <w:b/>
                <w:bCs/>
                <w:color w:val="2D2D2D"/>
                <w:sz w:val="19"/>
                <w:szCs w:val="19"/>
              </w:rPr>
              <w:t xml:space="preserve">القطاعات ذات الأولوية</w:t>
            </w:r>
          </w:p>
        </w:tc>
        <w:tc>
          <w:tcPr>
            <w:tcW w:type="dxa" w:w="6638"/>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pPr>
              <w:bidi/>
              <w:jc w:val="right"/>
            </w:pPr>
            <w:r>
              <w:rPr>
                <w:rFonts w:ascii="Arial" w:cs="Arial" w:eastAsia="Arial" w:hAnsi="Arial"/>
                <w:b w:val="false"/>
                <w:bCs w:val="false"/>
                <w:color w:val="2D2D2D"/>
                <w:sz w:val="19"/>
                <w:szCs w:val="19"/>
              </w:rPr>
              <w:t xml:space="preserve">معدات وآلات صيانة السيارات | أجهزة طبية وتجميل | مستلزمات صناعية وقطع غيار | مواد بناء | توريد للمطاعم والفنادق</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bidi/>
              <w:jc w:val="right"/>
            </w:pPr>
            <w:r>
              <w:rPr>
                <w:rFonts w:ascii="Arial" w:cs="Arial" w:eastAsia="Arial" w:hAnsi="Arial"/>
                <w:b/>
                <w:bCs/>
                <w:color w:val="2D2D2D"/>
                <w:sz w:val="19"/>
                <w:szCs w:val="19"/>
              </w:rPr>
              <w:t xml:space="preserve">حجم الإيرادات</w:t>
            </w:r>
          </w:p>
        </w:tc>
        <w:tc>
          <w:tcPr>
            <w:tcW w:type="dxa" w:w="6638"/>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bidi/>
              <w:jc w:val="right"/>
            </w:pPr>
            <w:r>
              <w:rPr>
                <w:rFonts w:ascii="Arial" w:cs="Arial" w:eastAsia="Arial" w:hAnsi="Arial"/>
                <w:b w:val="false"/>
                <w:bCs w:val="false"/>
                <w:color w:val="2D2D2D"/>
                <w:sz w:val="19"/>
                <w:szCs w:val="19"/>
              </w:rPr>
              <w:t xml:space="preserve">٢٠ — ١٥٠ مليون ريال سنوياً</w:t>
            </w:r>
          </w:p>
        </w:tc>
      </w:tr>
      <w:tr>
        <w:tc>
          <w:tcPr>
            <w:tcW w:type="dxa" w:w="30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pPr>
              <w:bidi/>
              <w:jc w:val="right"/>
            </w:pPr>
            <w:r>
              <w:rPr>
                <w:rFonts w:ascii="Arial" w:cs="Arial" w:eastAsia="Arial" w:hAnsi="Arial"/>
                <w:b/>
                <w:bCs/>
                <w:color w:val="2D2D2D"/>
                <w:sz w:val="19"/>
                <w:szCs w:val="19"/>
              </w:rPr>
              <w:t xml:space="preserve">نسبة المبيعات الآجلة</w:t>
            </w:r>
          </w:p>
        </w:tc>
        <w:tc>
          <w:tcPr>
            <w:tcW w:type="dxa" w:w="6638"/>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pPr>
              <w:bidi/>
              <w:jc w:val="right"/>
            </w:pPr>
            <w:r>
              <w:rPr>
                <w:rFonts w:ascii="Arial" w:cs="Arial" w:eastAsia="Arial" w:hAnsi="Arial"/>
                <w:b w:val="false"/>
                <w:bCs w:val="false"/>
                <w:color w:val="2D2D2D"/>
                <w:sz w:val="19"/>
                <w:szCs w:val="19"/>
              </w:rPr>
              <w:t xml:space="preserve">٤٠٪ فأكثر</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bidi/>
              <w:jc w:val="right"/>
            </w:pPr>
            <w:r>
              <w:rPr>
                <w:rFonts w:ascii="Arial" w:cs="Arial" w:eastAsia="Arial" w:hAnsi="Arial"/>
                <w:b/>
                <w:bCs/>
                <w:color w:val="2D2D2D"/>
                <w:sz w:val="19"/>
                <w:szCs w:val="19"/>
              </w:rPr>
              <w:t xml:space="preserve">حجم الذمم المدينة</w:t>
            </w:r>
          </w:p>
        </w:tc>
        <w:tc>
          <w:tcPr>
            <w:tcW w:type="dxa" w:w="6638"/>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bidi/>
              <w:jc w:val="right"/>
            </w:pPr>
            <w:r>
              <w:rPr>
                <w:rFonts w:ascii="Arial" w:cs="Arial" w:eastAsia="Arial" w:hAnsi="Arial"/>
                <w:b w:val="false"/>
                <w:bCs w:val="false"/>
                <w:color w:val="2D2D2D"/>
                <w:sz w:val="19"/>
                <w:szCs w:val="19"/>
              </w:rPr>
              <w:t xml:space="preserve">١٠ — ٨٠ مليون ريال</w:t>
            </w:r>
          </w:p>
        </w:tc>
      </w:tr>
      <w:tr>
        <w:tc>
          <w:tcPr>
            <w:tcW w:type="dxa" w:w="30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pPr>
              <w:bidi/>
              <w:jc w:val="right"/>
            </w:pPr>
            <w:r>
              <w:rPr>
                <w:rFonts w:ascii="Arial" w:cs="Arial" w:eastAsia="Arial" w:hAnsi="Arial"/>
                <w:b/>
                <w:bCs/>
                <w:color w:val="2D2D2D"/>
                <w:sz w:val="19"/>
                <w:szCs w:val="19"/>
              </w:rPr>
              <w:t xml:space="preserve">نوع الشركة</w:t>
            </w:r>
          </w:p>
        </w:tc>
        <w:tc>
          <w:tcPr>
            <w:tcW w:type="dxa" w:w="6638"/>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pPr>
              <w:bidi/>
              <w:jc w:val="right"/>
            </w:pPr>
            <w:r>
              <w:rPr>
                <w:rFonts w:ascii="Arial" w:cs="Arial" w:eastAsia="Arial" w:hAnsi="Arial"/>
                <w:b w:val="false"/>
                <w:bCs w:val="false"/>
                <w:color w:val="2D2D2D"/>
                <w:sz w:val="19"/>
                <w:szCs w:val="19"/>
              </w:rPr>
              <w:t xml:space="preserve">خاصة أو مدرجة في سوق نمو — ليست حكومية أو شبه حكومية</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bidi/>
              <w:jc w:val="right"/>
            </w:pPr>
            <w:r>
              <w:rPr>
                <w:rFonts w:ascii="Arial" w:cs="Arial" w:eastAsia="Arial" w:hAnsi="Arial"/>
                <w:b/>
                <w:bCs/>
                <w:color w:val="2D2D2D"/>
                <w:sz w:val="19"/>
                <w:szCs w:val="19"/>
              </w:rPr>
              <w:t xml:space="preserve">قوة المورد على مشتريه</w:t>
            </w:r>
          </w:p>
        </w:tc>
        <w:tc>
          <w:tcPr>
            <w:tcW w:type="dxa" w:w="6638"/>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bidi/>
              <w:jc w:val="right"/>
            </w:pPr>
            <w:r>
              <w:rPr>
                <w:rFonts w:ascii="Arial" w:cs="Arial" w:eastAsia="Arial" w:hAnsi="Arial"/>
                <w:b w:val="false"/>
                <w:bCs w:val="false"/>
                <w:color w:val="2D2D2D"/>
                <w:sz w:val="19"/>
                <w:szCs w:val="19"/>
              </w:rPr>
              <w:t xml:space="preserve">البائع لديه منتج يحتاجه المشتري — يستطيع اشتراط المنصة</w:t>
            </w:r>
          </w:p>
        </w:tc>
      </w:tr>
      <w:tr>
        <w:tc>
          <w:tcPr>
            <w:tcW w:type="dxa" w:w="30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pPr>
              <w:bidi/>
              <w:jc w:val="right"/>
            </w:pPr>
            <w:r>
              <w:rPr>
                <w:rFonts w:ascii="Arial" w:cs="Arial" w:eastAsia="Arial" w:hAnsi="Arial"/>
                <w:b/>
                <w:bCs/>
                <w:color w:val="2D2D2D"/>
                <w:sz w:val="19"/>
                <w:szCs w:val="19"/>
              </w:rPr>
              <w:t xml:space="preserve">صاحب القرار</w:t>
            </w:r>
          </w:p>
        </w:tc>
        <w:tc>
          <w:tcPr>
            <w:tcW w:type="dxa" w:w="6638"/>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pPr>
              <w:bidi/>
              <w:jc w:val="right"/>
            </w:pPr>
            <w:r>
              <w:rPr>
                <w:rFonts w:ascii="Arial" w:cs="Arial" w:eastAsia="Arial" w:hAnsi="Arial"/>
                <w:b w:val="false"/>
                <w:bCs w:val="false"/>
                <w:color w:val="2D2D2D"/>
                <w:sz w:val="19"/>
                <w:szCs w:val="19"/>
              </w:rPr>
              <w:t xml:space="preserve">CEO + CFO معاً — القرار لا يُغلق بشخص واحد</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bidi/>
              <w:jc w:val="right"/>
            </w:pPr>
            <w:r>
              <w:rPr>
                <w:rFonts w:ascii="Arial" w:cs="Arial" w:eastAsia="Arial" w:hAnsi="Arial"/>
                <w:b/>
                <w:bCs/>
                <w:color w:val="2D2D2D"/>
                <w:sz w:val="19"/>
                <w:szCs w:val="19"/>
              </w:rPr>
              <w:t xml:space="preserve">عدد الفواتير السنوية</w:t>
            </w:r>
          </w:p>
        </w:tc>
        <w:tc>
          <w:tcPr>
            <w:tcW w:type="dxa" w:w="6638"/>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bidi/>
              <w:jc w:val="right"/>
            </w:pPr>
            <w:r>
              <w:rPr>
                <w:rFonts w:ascii="Arial" w:cs="Arial" w:eastAsia="Arial" w:hAnsi="Arial"/>
                <w:b w:val="false"/>
                <w:bCs w:val="false"/>
                <w:color w:val="2D2D2D"/>
                <w:sz w:val="19"/>
                <w:szCs w:val="19"/>
              </w:rPr>
              <w:t xml:space="preserve">١٢٠ — ٦٠٠ فاتورة</w:t>
            </w:r>
          </w:p>
        </w:tc>
      </w:tr>
      <w:tr>
        <w:tc>
          <w:tcPr>
            <w:tcW w:type="dxa" w:w="30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pPr>
              <w:bidi/>
              <w:jc w:val="right"/>
            </w:pPr>
            <w:r>
              <w:rPr>
                <w:rFonts w:ascii="Arial" w:cs="Arial" w:eastAsia="Arial" w:hAnsi="Arial"/>
                <w:b/>
                <w:bCs/>
                <w:color w:val="2D2D2D"/>
                <w:sz w:val="19"/>
                <w:szCs w:val="19"/>
              </w:rPr>
              <w:t xml:space="preserve">محفز الشراء</w:t>
            </w:r>
          </w:p>
        </w:tc>
        <w:tc>
          <w:tcPr>
            <w:tcW w:type="dxa" w:w="6638"/>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pPr>
              <w:bidi/>
              <w:jc w:val="right"/>
            </w:pPr>
            <w:r>
              <w:rPr>
                <w:rFonts w:ascii="Arial" w:cs="Arial" w:eastAsia="Arial" w:hAnsi="Arial"/>
                <w:b w:val="false"/>
                <w:bCs w:val="false"/>
                <w:color w:val="2D2D2D"/>
                <w:sz w:val="19"/>
                <w:szCs w:val="19"/>
              </w:rPr>
              <w:t xml:space="preserve">خسارة مالية سابقة | ضغط حوكمة | حاجة تمويل | توسع مع عملاء جدد</w:t>
            </w:r>
          </w:p>
        </w:tc>
      </w:tr>
    </w:tbl>
    <w:p>
      <w:pPr>
        <w:pBdr>
          <w:right w:val="thick" w:color="E8771A" w:sz="12"/>
        </w:pBdr>
        <w:bidi/>
        <w:spacing w:after="80" w:before="280"/>
        <w:ind w:right="200"/>
        <w:jc w:val="right"/>
      </w:pPr>
      <w:r>
        <w:rPr>
          <w:rFonts w:ascii="Arial" w:cs="Arial" w:eastAsia="Arial" w:hAnsi="Arial"/>
          <w:b/>
          <w:bCs/>
          <w:color w:val="2D2D2D"/>
          <w:sz w:val="24"/>
          <w:szCs w:val="24"/>
        </w:rPr>
        <w:t xml:space="preserve">Anti-ICP — تجنب هؤلاء</w:t>
      </w:r>
    </w:p>
    <w:p>
      <w:pPr>
        <w:pStyle w:val="ListParagraph"/>
        <w:numPr>
          <w:ilvl w:val="0"/>
          <w:numId w:val="2"/>
        </w:numPr>
        <w:bidi/>
        <w:spacing w:after="40" w:before="40"/>
        <w:jc w:val="right"/>
      </w:pPr>
      <w:r>
        <w:rPr>
          <w:rFonts w:ascii="Arial" w:cs="Arial" w:eastAsia="Arial" w:hAnsi="Arial"/>
          <w:color w:val="2D2D2D"/>
          <w:sz w:val="21"/>
          <w:szCs w:val="21"/>
        </w:rPr>
        <w:t xml:space="preserve">شركات حكومية أو شبه حكومية — دورة شراء معقدة وقرار لجنة</w:t>
      </w:r>
    </w:p>
    <w:p>
      <w:pPr>
        <w:pStyle w:val="ListParagraph"/>
        <w:numPr>
          <w:ilvl w:val="0"/>
          <w:numId w:val="2"/>
        </w:numPr>
        <w:bidi/>
        <w:spacing w:after="40" w:before="40"/>
        <w:jc w:val="right"/>
      </w:pPr>
      <w:r>
        <w:rPr>
          <w:rFonts w:ascii="Arial" w:cs="Arial" w:eastAsia="Arial" w:hAnsi="Arial"/>
          <w:color w:val="2D2D2D"/>
          <w:sz w:val="21"/>
          <w:szCs w:val="21"/>
        </w:rPr>
        <w:t xml:space="preserve">إيرادات أقل من ٥ ملايين ريال — يعملون على الثقة الشخصية</w:t>
      </w:r>
    </w:p>
    <w:p>
      <w:pPr>
        <w:pStyle w:val="ListParagraph"/>
        <w:numPr>
          <w:ilvl w:val="0"/>
          <w:numId w:val="2"/>
        </w:numPr>
        <w:bidi/>
        <w:spacing w:after="40" w:before="40"/>
        <w:jc w:val="right"/>
      </w:pPr>
      <w:r>
        <w:rPr>
          <w:rFonts w:ascii="Arial" w:cs="Arial" w:eastAsia="Arial" w:hAnsi="Arial"/>
          <w:color w:val="2D2D2D"/>
          <w:sz w:val="21"/>
          <w:szCs w:val="21"/>
        </w:rPr>
        <w:t xml:space="preserve">يبيعون نقداً بالكامل — لا مشكلة أصلاً</w:t>
      </w:r>
    </w:p>
    <w:p>
      <w:pPr>
        <w:pStyle w:val="ListParagraph"/>
        <w:numPr>
          <w:ilvl w:val="0"/>
          <w:numId w:val="2"/>
        </w:numPr>
        <w:bidi/>
        <w:spacing w:after="40" w:before="40"/>
        <w:jc w:val="right"/>
      </w:pPr>
      <w:r>
        <w:rPr>
          <w:rFonts w:ascii="Arial" w:cs="Arial" w:eastAsia="Arial" w:hAnsi="Arial"/>
          <w:color w:val="2D2D2D"/>
          <w:sz w:val="21"/>
          <w:szCs w:val="21"/>
        </w:rPr>
        <w:t xml:space="preserve">المورد أضعف تفاوضياً من مشتريه — لن يستطيع اشتراط المنصة</w:t>
      </w:r>
    </w:p>
    <w:p>
      <w:pPr>
        <w:pBdr>
          <w:bottom w:val="single" w:color="E8771A" w:sz="6"/>
        </w:pBdr>
        <w:bidi/>
        <w:spacing w:after="120" w:before="360"/>
        <w:jc w:val="right"/>
      </w:pPr>
      <w:r>
        <w:rPr>
          <w:rFonts w:ascii="Arial" w:cs="Arial" w:eastAsia="Arial" w:hAnsi="Arial"/>
          <w:b/>
          <w:bCs/>
          <w:color w:val="1A1A1A"/>
          <w:sz w:val="28"/>
          <w:szCs w:val="28"/>
        </w:rPr>
        <w:t xml:space="preserve">٧. Go-To-Market للمورد</w:t>
      </w:r>
    </w:p>
    <w:p>
      <w:pPr>
        <w:shd w:fill="1A1A1A" w:val="clear"/>
        <w:bidi/>
        <w:spacing w:after="120" w:before="160"/>
        <w:ind w:left="280" w:right="280"/>
        <w:jc w:val="right"/>
      </w:pPr>
      <w:r>
        <w:rPr>
          <w:rFonts w:ascii="Arial" w:cs="Arial" w:eastAsia="Arial" w:hAnsi="Arial"/>
          <w:b/>
          <w:bCs/>
          <w:color w:val="FFFFFF"/>
          <w:sz w:val="22"/>
          <w:szCs w:val="22"/>
        </w:rPr>
        <w:t xml:space="preserve">"بِع آجلاً بأمان النقد — وحوّل ذممك إلى سيولة فورية"</w:t>
      </w:r>
    </w:p>
    <w:p>
      <w:pPr>
        <w:pBdr>
          <w:right w:val="thick" w:color="E8771A" w:sz="12"/>
        </w:pBdr>
        <w:bidi/>
        <w:spacing w:after="80" w:before="280"/>
        <w:ind w:right="200"/>
        <w:jc w:val="right"/>
      </w:pPr>
      <w:r>
        <w:rPr>
          <w:rFonts w:ascii="Arial" w:cs="Arial" w:eastAsia="Arial" w:hAnsi="Arial"/>
          <w:b/>
          <w:bCs/>
          <w:color w:val="2D2D2D"/>
          <w:sz w:val="24"/>
          <w:szCs w:val="24"/>
        </w:rPr>
        <w:t xml:space="preserve">الزاوية المالية vs القانونية</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c>
          <w:tcPr>
            <w:tcW w:type="dxa" w:w="4700"/>
            <w:tcBorders>
              <w:top w:val="single" w:color="DDDDDD" w:sz="1"/>
              <w:left w:val="single" w:color="DDDDDD" w:sz="1"/>
              <w:bottom w:val="single" w:color="DDDDDD" w:sz="1"/>
              <w:right w:val="single" w:color="DDDDDD" w:sz="1"/>
            </w:tcBorders>
            <w:shd w:fill="1A1A1A" w:val="clear"/>
            <w:tcMar>
              <w:top w:type="dxa" w:w="120"/>
              <w:left w:type="dxa" w:w="200"/>
              <w:bottom w:type="dxa" w:w="120"/>
              <w:right w:type="dxa" w:w="200"/>
            </w:tcMar>
          </w:tcPr>
          <w:p>
            <w:pPr>
              <w:bidi/>
              <w:spacing w:after="60" w:before="60"/>
              <w:jc w:val="right"/>
            </w:pPr>
            <w:r>
              <w:rPr>
                <w:rFonts w:ascii="Arial" w:cs="Arial" w:eastAsia="Arial" w:hAnsi="Arial"/>
                <w:color w:val="FFFFFF"/>
                <w:sz w:val="19"/>
                <w:szCs w:val="19"/>
              </w:rPr>
              <w:t xml:space="preserve">الزاوية المالية — للـ CFO</w:t>
            </w:r>
          </w:p>
          <w:p>
            <w:pPr>
              <w:bidi/>
              <w:spacing w:after="60" w:before="60"/>
              <w:jc w:val="right"/>
            </w:pPr>
            <w:r>
              <w:rPr>
                <w:rFonts w:ascii="Arial" w:cs="Arial" w:eastAsia="Arial" w:hAnsi="Arial"/>
                <w:color w:val="FFFFFF"/>
                <w:sz w:val="19"/>
                <w:szCs w:val="19"/>
              </w:rPr>
              <w:t xml:space="preserve"/>
            </w:r>
          </w:p>
          <w:p>
            <w:pPr>
              <w:bidi/>
              <w:spacing w:after="60" w:before="60"/>
              <w:jc w:val="right"/>
            </w:pPr>
            <w:r>
              <w:rPr>
                <w:rFonts w:ascii="Arial" w:cs="Arial" w:eastAsia="Arial" w:hAnsi="Arial"/>
                <w:color w:val="FFFFFF"/>
                <w:sz w:val="19"/>
                <w:szCs w:val="19"/>
              </w:rPr>
              <w:t xml:space="preserve">ذممكم المدينة بكم؟ هذه أموال نائمة.</w:t>
            </w:r>
          </w:p>
          <w:p>
            <w:pPr>
              <w:bidi/>
              <w:spacing w:after="60" w:before="60"/>
              <w:jc w:val="right"/>
            </w:pPr>
            <w:r>
              <w:rPr>
                <w:rFonts w:ascii="Arial" w:cs="Arial" w:eastAsia="Arial" w:hAnsi="Arial"/>
                <w:color w:val="FFFFFF"/>
                <w:sz w:val="19"/>
                <w:szCs w:val="19"/>
              </w:rPr>
              <w:t xml:space="preserve">كل فاتورة على محايد = حق تمويل فوري.</w:t>
            </w:r>
          </w:p>
          <w:p>
            <w:pPr>
              <w:bidi/>
              <w:spacing w:after="60" w:before="60"/>
              <w:jc w:val="right"/>
            </w:pPr>
            <w:r>
              <w:rPr>
                <w:rFonts w:ascii="Arial" w:cs="Arial" w:eastAsia="Arial" w:hAnsi="Arial"/>
                <w:color w:val="FFFFFF"/>
                <w:sz w:val="19"/>
                <w:szCs w:val="19"/>
              </w:rPr>
              <w:t xml:space="preserve">كل تأخر موثق = تخفيض مدعوم في المخصص.</w:t>
            </w:r>
          </w:p>
        </w:tc>
        <w:tc>
          <w:tcPr>
            <w:tcW w:type="dxa" w:w="4700"/>
            <w:tcBorders>
              <w:top w:val="single" w:color="DDDDDD" w:sz="1"/>
              <w:left w:val="single" w:color="DDDDDD" w:sz="1"/>
              <w:bottom w:val="single" w:color="DDDDDD" w:sz="1"/>
              <w:right w:val="single" w:color="DDDDDD" w:sz="1"/>
            </w:tcBorders>
            <w:shd w:fill="F2F2F2" w:val="clear"/>
            <w:tcMar>
              <w:top w:type="dxa" w:w="120"/>
              <w:left w:type="dxa" w:w="200"/>
              <w:bottom w:type="dxa" w:w="120"/>
              <w:right w:type="dxa" w:w="200"/>
            </w:tcMar>
          </w:tcPr>
          <w:p>
            <w:pPr>
              <w:bidi/>
              <w:spacing w:after="60" w:before="60"/>
              <w:jc w:val="right"/>
            </w:pPr>
            <w:r>
              <w:rPr>
                <w:rFonts w:ascii="Arial" w:cs="Arial" w:eastAsia="Arial" w:hAnsi="Arial"/>
                <w:color w:val="2D2D2D"/>
                <w:sz w:val="19"/>
                <w:szCs w:val="19"/>
              </w:rPr>
              <w:t xml:space="preserve">الزاوية القانونية — للـ CEO والقانوني</w:t>
            </w:r>
          </w:p>
          <w:p>
            <w:pPr>
              <w:bidi/>
              <w:spacing w:after="60" w:before="60"/>
              <w:jc w:val="right"/>
            </w:pPr>
            <w:r>
              <w:rPr>
                <w:rFonts w:ascii="Arial" w:cs="Arial" w:eastAsia="Arial" w:hAnsi="Arial"/>
                <w:color w:val="2D2D2D"/>
                <w:sz w:val="19"/>
                <w:szCs w:val="19"/>
              </w:rPr>
              <w:t xml:space="preserve"/>
            </w:r>
          </w:p>
          <w:p>
            <w:pPr>
              <w:bidi/>
              <w:spacing w:after="60" w:before="60"/>
              <w:jc w:val="right"/>
            </w:pPr>
            <w:r>
              <w:rPr>
                <w:rFonts w:ascii="Arial" w:cs="Arial" w:eastAsia="Arial" w:hAnsi="Arial"/>
                <w:color w:val="2D2D2D"/>
                <w:sz w:val="19"/>
                <w:szCs w:val="19"/>
              </w:rPr>
              <w:t xml:space="preserve">في حال أي نزاع — ملف أمر الأداء جاهز.</w:t>
            </w:r>
          </w:p>
          <w:p>
            <w:pPr>
              <w:bidi/>
              <w:spacing w:after="60" w:before="60"/>
              <w:jc w:val="right"/>
            </w:pPr>
            <w:r>
              <w:rPr>
                <w:rFonts w:ascii="Arial" w:cs="Arial" w:eastAsia="Arial" w:hAnsi="Arial"/>
                <w:color w:val="2D2D2D"/>
                <w:sz w:val="19"/>
                <w:szCs w:val="19"/>
              </w:rPr>
              <w:t xml:space="preserve">الاتفاقية مقبولة أمام المحاكم السعودية.</w:t>
            </w:r>
          </w:p>
          <w:p>
            <w:pPr>
              <w:bidi/>
              <w:spacing w:after="60" w:before="60"/>
              <w:jc w:val="right"/>
            </w:pPr>
            <w:r>
              <w:rPr>
                <w:rFonts w:ascii="Arial" w:cs="Arial" w:eastAsia="Arial" w:hAnsi="Arial"/>
                <w:color w:val="2D2D2D"/>
                <w:sz w:val="19"/>
                <w:szCs w:val="19"/>
              </w:rPr>
              <w:t xml:space="preserve">المستندات محمية بـ Blockchain — لا تُنكر.</w:t>
            </w:r>
          </w:p>
        </w:tc>
      </w:tr>
    </w:tbl>
    <w:p>
      <w:pPr>
        <w:pBdr>
          <w:right w:val="thick" w:color="E8771A" w:sz="12"/>
        </w:pBdr>
        <w:bidi/>
        <w:spacing w:after="80" w:before="280"/>
        <w:ind w:right="200"/>
        <w:jc w:val="right"/>
      </w:pPr>
      <w:r>
        <w:rPr>
          <w:rFonts w:ascii="Arial" w:cs="Arial" w:eastAsia="Arial" w:hAnsi="Arial"/>
          <w:b/>
          <w:bCs/>
          <w:color w:val="2D2D2D"/>
          <w:sz w:val="24"/>
          <w:szCs w:val="24"/>
        </w:rPr>
        <w:t xml:space="preserve">مسار البيع</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DDDDDD" w:sz="1"/>
              <w:left w:val="single" w:color="DDDDDD" w:sz="1"/>
              <w:bottom w:val="single" w:color="DDDDDD" w:sz="1"/>
              <w:right w:val="single" w:color="DDDDDD" w:sz="1"/>
            </w:tcBorders>
            <w:shd w:fill="1A1A1A" w:val="clear"/>
            <w:tcMar>
              <w:top w:type="dxa" w:w="100"/>
              <w:left w:type="dxa" w:w="160"/>
              <w:bottom w:type="dxa" w:w="100"/>
              <w:right w:type="dxa" w:w="160"/>
            </w:tcMar>
            <w:vAlign w:val="center"/>
          </w:tcPr>
          <w:p>
            <w:pPr>
              <w:bidi/>
              <w:jc w:val="right"/>
            </w:pPr>
            <w:r>
              <w:rPr>
                <w:rFonts w:ascii="Arial" w:cs="Arial" w:eastAsia="Arial" w:hAnsi="Arial"/>
                <w:b/>
                <w:bCs/>
                <w:color w:val="FFFFFF"/>
                <w:sz w:val="20"/>
                <w:szCs w:val="20"/>
              </w:rPr>
              <w:t xml:space="preserve">الخطوة</w:t>
            </w:r>
          </w:p>
        </w:tc>
        <w:tc>
          <w:tcPr>
            <w:tcW w:type="dxa" w:w="7438"/>
            <w:tcBorders>
              <w:top w:val="single" w:color="DDDDDD" w:sz="1"/>
              <w:left w:val="single" w:color="DDDDDD" w:sz="1"/>
              <w:bottom w:val="single" w:color="DDDDDD" w:sz="1"/>
              <w:right w:val="single" w:color="DDDDDD" w:sz="1"/>
            </w:tcBorders>
            <w:shd w:fill="1A1A1A" w:val="clear"/>
            <w:tcMar>
              <w:top w:type="dxa" w:w="100"/>
              <w:left w:type="dxa" w:w="160"/>
              <w:bottom w:type="dxa" w:w="100"/>
              <w:right w:type="dxa" w:w="160"/>
            </w:tcMar>
            <w:vAlign w:val="center"/>
          </w:tcPr>
          <w:p>
            <w:pPr>
              <w:bidi/>
              <w:jc w:val="right"/>
            </w:pPr>
            <w:r>
              <w:rPr>
                <w:rFonts w:ascii="Arial" w:cs="Arial" w:eastAsia="Arial" w:hAnsi="Arial"/>
                <w:b/>
                <w:bCs/>
                <w:color w:val="FFFFFF"/>
                <w:sz w:val="20"/>
                <w:szCs w:val="20"/>
              </w:rPr>
              <w:t xml:space="preserve">التفصيل</w:t>
            </w:r>
          </w:p>
        </w:tc>
      </w:tr>
      <w:tr>
        <w:tc>
          <w:tcPr>
            <w:tcW w:type="dxa" w:w="22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pPr>
              <w:bidi/>
              <w:jc w:val="right"/>
            </w:pPr>
            <w:r>
              <w:rPr>
                <w:rFonts w:ascii="Arial" w:cs="Arial" w:eastAsia="Arial" w:hAnsi="Arial"/>
                <w:b/>
                <w:bCs/>
                <w:color w:val="2D2D2D"/>
                <w:sz w:val="19"/>
                <w:szCs w:val="19"/>
              </w:rPr>
              <w:t xml:space="preserve">١ — الوصول</w:t>
            </w:r>
          </w:p>
        </w:tc>
        <w:tc>
          <w:tcPr>
            <w:tcW w:type="dxa" w:w="7438"/>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pPr>
              <w:bidi/>
              <w:jc w:val="right"/>
            </w:pPr>
            <w:r>
              <w:rPr>
                <w:rFonts w:ascii="Arial" w:cs="Arial" w:eastAsia="Arial" w:hAnsi="Arial"/>
                <w:b w:val="false"/>
                <w:bCs w:val="false"/>
                <w:color w:val="2D2D2D"/>
                <w:sz w:val="19"/>
                <w:szCs w:val="19"/>
              </w:rPr>
              <w:t xml:space="preserve">Warm Outreach عبر مكاتب محاسبة (RSM وما شابه) أو الغرفة التجارية. ابدأ بجملة: 'كم حجم ذممكم المدينة؟'</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bidi/>
              <w:jc w:val="right"/>
            </w:pPr>
            <w:r>
              <w:rPr>
                <w:rFonts w:ascii="Arial" w:cs="Arial" w:eastAsia="Arial" w:hAnsi="Arial"/>
                <w:b/>
                <w:bCs/>
                <w:color w:val="2D2D2D"/>
                <w:sz w:val="19"/>
                <w:szCs w:val="19"/>
              </w:rPr>
              <w:t xml:space="preserve">٢ — الاستكشاف</w:t>
            </w:r>
          </w:p>
        </w:tc>
        <w:tc>
          <w:tcPr>
            <w:tcW w:type="dxa" w:w="7438"/>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bidi/>
              <w:jc w:val="right"/>
            </w:pPr>
            <w:r>
              <w:rPr>
                <w:rFonts w:ascii="Arial" w:cs="Arial" w:eastAsia="Arial" w:hAnsi="Arial"/>
                <w:b w:val="false"/>
                <w:bCs w:val="false"/>
                <w:color w:val="2D2D2D"/>
                <w:sz w:val="19"/>
                <w:szCs w:val="19"/>
              </w:rPr>
              <w:t xml:space="preserve">اجتماع بدون عرض. سؤالان فقط: كم ذممكم؟ هل سبق أن خسرتم في صفقة آجلة؟</w:t>
            </w:r>
          </w:p>
        </w:tc>
      </w:tr>
      <w:tr>
        <w:tc>
          <w:tcPr>
            <w:tcW w:type="dxa" w:w="22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pPr>
              <w:bidi/>
              <w:jc w:val="right"/>
            </w:pPr>
            <w:r>
              <w:rPr>
                <w:rFonts w:ascii="Arial" w:cs="Arial" w:eastAsia="Arial" w:hAnsi="Arial"/>
                <w:b/>
                <w:bCs/>
                <w:color w:val="2D2D2D"/>
                <w:sz w:val="19"/>
                <w:szCs w:val="19"/>
              </w:rPr>
              <w:t xml:space="preserve">٣ — الديمو</w:t>
            </w:r>
          </w:p>
        </w:tc>
        <w:tc>
          <w:tcPr>
            <w:tcW w:type="dxa" w:w="7438"/>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pPr>
              <w:bidi/>
              <w:jc w:val="right"/>
            </w:pPr>
            <w:r>
              <w:rPr>
                <w:rFonts w:ascii="Arial" w:cs="Arial" w:eastAsia="Arial" w:hAnsi="Arial"/>
                <w:b w:val="false"/>
                <w:bCs w:val="false"/>
                <w:color w:val="2D2D2D"/>
                <w:sz w:val="19"/>
                <w:szCs w:val="19"/>
              </w:rPr>
              <w:t xml:space="preserve">ديمو بسيناريو حقيقي من قطاعهم — اعرض كيف كانت مشكلتهم ستُحل لو كانت موثقة</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bidi/>
              <w:jc w:val="right"/>
            </w:pPr>
            <w:r>
              <w:rPr>
                <w:rFonts w:ascii="Arial" w:cs="Arial" w:eastAsia="Arial" w:hAnsi="Arial"/>
                <w:b/>
                <w:bCs/>
                <w:color w:val="2D2D2D"/>
                <w:sz w:val="19"/>
                <w:szCs w:val="19"/>
              </w:rPr>
              <w:t xml:space="preserve">٤ — الحزمة القانونية</w:t>
            </w:r>
          </w:p>
        </w:tc>
        <w:tc>
          <w:tcPr>
            <w:tcW w:type="dxa" w:w="7438"/>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bidi/>
              <w:jc w:val="right"/>
            </w:pPr>
            <w:r>
              <w:rPr>
                <w:rFonts w:ascii="Arial" w:cs="Arial" w:eastAsia="Arial" w:hAnsi="Arial"/>
                <w:b w:val="false"/>
                <w:bCs w:val="false"/>
                <w:color w:val="2D2D2D"/>
                <w:sz w:val="19"/>
                <w:szCs w:val="19"/>
              </w:rPr>
              <w:t xml:space="preserve">سلّم حزمة المراجعة القانونية الجاهزة — لا تنتظر أن يطلبها. يقلص وقت المراجعة من أسابيع لأيام</w:t>
            </w:r>
          </w:p>
        </w:tc>
      </w:tr>
      <w:tr>
        <w:tc>
          <w:tcPr>
            <w:tcW w:type="dxa" w:w="22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pPr>
              <w:bidi/>
              <w:jc w:val="right"/>
            </w:pPr>
            <w:r>
              <w:rPr>
                <w:rFonts w:ascii="Arial" w:cs="Arial" w:eastAsia="Arial" w:hAnsi="Arial"/>
                <w:b/>
                <w:bCs/>
                <w:color w:val="2D2D2D"/>
                <w:sz w:val="19"/>
                <w:szCs w:val="19"/>
              </w:rPr>
              <w:t xml:space="preserve">٥ — الإغلاق</w:t>
            </w:r>
          </w:p>
        </w:tc>
        <w:tc>
          <w:tcPr>
            <w:tcW w:type="dxa" w:w="7438"/>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pPr>
              <w:bidi/>
              <w:jc w:val="right"/>
            </w:pPr>
            <w:r>
              <w:rPr>
                <w:rFonts w:ascii="Arial" w:cs="Arial" w:eastAsia="Arial" w:hAnsi="Arial"/>
                <w:b w:val="false"/>
                <w:bCs w:val="false"/>
                <w:color w:val="2D2D2D"/>
                <w:sz w:val="19"/>
                <w:szCs w:val="19"/>
              </w:rPr>
              <w:t xml:space="preserve">الإغلاق مع CEO + CFO معاً. لا تحاول إغلاق الصفقة مع شخص واحد فقط</w:t>
            </w:r>
          </w:p>
        </w:tc>
      </w:tr>
    </w:tbl>
    <w:p>
      <w:pPr>
        <w:pBdr>
          <w:right w:val="thick" w:color="E8771A" w:sz="12"/>
        </w:pBdr>
        <w:bidi/>
        <w:spacing w:after="80" w:before="280"/>
        <w:ind w:right="200"/>
        <w:jc w:val="right"/>
      </w:pPr>
      <w:r>
        <w:rPr>
          <w:rFonts w:ascii="Arial" w:cs="Arial" w:eastAsia="Arial" w:hAnsi="Arial"/>
          <w:b/>
          <w:bCs/>
          <w:color w:val="2D2D2D"/>
          <w:sz w:val="24"/>
          <w:szCs w:val="24"/>
        </w:rPr>
        <w:t xml:space="preserve">دورة البيع المتوقعة</w:t>
      </w:r>
    </w:p>
    <w:p>
      <w:pPr>
        <w:pStyle w:val="ListParagraph"/>
        <w:numPr>
          <w:ilvl w:val="0"/>
          <w:numId w:val="2"/>
        </w:numPr>
        <w:bidi/>
        <w:spacing w:after="40" w:before="40"/>
        <w:jc w:val="right"/>
      </w:pPr>
      <w:r>
        <w:rPr>
          <w:rFonts w:ascii="Arial" w:cs="Arial" w:eastAsia="Arial" w:hAnsi="Arial"/>
          <w:color w:val="2D2D2D"/>
          <w:sz w:val="21"/>
          <w:szCs w:val="21"/>
        </w:rPr>
        <w:t xml:space="preserve">متوسط دورة البيع: ٤٥ — ٩٠ يوماً</w:t>
      </w:r>
    </w:p>
    <w:p>
      <w:pPr>
        <w:pStyle w:val="ListParagraph"/>
        <w:numPr>
          <w:ilvl w:val="0"/>
          <w:numId w:val="2"/>
        </w:numPr>
        <w:bidi/>
        <w:spacing w:after="40" w:before="40"/>
        <w:jc w:val="right"/>
      </w:pPr>
      <w:r>
        <w:rPr>
          <w:rFonts w:ascii="Arial" w:cs="Arial" w:eastAsia="Arial" w:hAnsi="Arial"/>
          <w:color w:val="2D2D2D"/>
          <w:sz w:val="21"/>
          <w:szCs w:val="21"/>
        </w:rPr>
        <w:t xml:space="preserve">مرحلة المراجعة القانونية هي أطول مرحلة — تُقصر بالحزمة الجاهزة</w:t>
      </w:r>
    </w:p>
    <w:p>
      <w:pPr>
        <w:pStyle w:val="ListParagraph"/>
        <w:numPr>
          <w:ilvl w:val="0"/>
          <w:numId w:val="2"/>
        </w:numPr>
        <w:bidi/>
        <w:spacing w:after="40" w:before="40"/>
        <w:jc w:val="right"/>
      </w:pPr>
      <w:r>
        <w:rPr>
          <w:rFonts w:ascii="Arial" w:cs="Arial" w:eastAsia="Arial" w:hAnsi="Arial"/>
          <w:color w:val="2D2D2D"/>
          <w:sz w:val="21"/>
          <w:szCs w:val="21"/>
        </w:rPr>
        <w:t xml:space="preserve">المورد الذي سبق أن خسر مالياً: دورة أقصر (٣٠-٤٥ يوماً)</w:t>
      </w:r>
    </w:p>
    <w:p>
      <w:pPr>
        <w:pageBreakBefore/>
        <w:pBdr>
          <w:right w:val="thick" w:color="E8771A" w:sz="24"/>
        </w:pBdr>
        <w:shd w:fill="1A1A1A" w:val="clear"/>
        <w:bidi/>
        <w:spacing w:after="240" w:before="0"/>
        <w:ind w:right="240"/>
        <w:jc w:val="right"/>
      </w:pPr>
      <w:r>
        <w:rPr>
          <w:rFonts w:ascii="Arial" w:cs="Arial" w:eastAsia="Arial" w:hAnsi="Arial"/>
          <w:b/>
          <w:bCs/>
          <w:color w:val="FFFFFF"/>
          <w:sz w:val="36"/>
          <w:szCs w:val="36"/>
        </w:rPr>
        <w:t xml:space="preserve">الجزء الثاني — المشتري (Buyer)</w:t>
      </w:r>
    </w:p>
    <w:p>
      <w:pPr>
        <w:pBdr>
          <w:bottom w:val="single" w:color="E8771A" w:sz="6"/>
        </w:pBdr>
        <w:bidi/>
        <w:spacing w:after="120" w:before="360"/>
        <w:jc w:val="right"/>
      </w:pPr>
      <w:r>
        <w:rPr>
          <w:rFonts w:ascii="Arial" w:cs="Arial" w:eastAsia="Arial" w:hAnsi="Arial"/>
          <w:b/>
          <w:bCs/>
          <w:color w:val="1A1A1A"/>
          <w:sz w:val="28"/>
          <w:szCs w:val="28"/>
        </w:rPr>
        <w:t xml:space="preserve">١. تحليل الوضع الحالي</w:t>
      </w:r>
    </w:p>
    <w:p>
      <w:pPr>
        <w:bidi/>
        <w:spacing w:after="60" w:before="60"/>
        <w:jc w:val="right"/>
      </w:pPr>
      <w:r>
        <w:rPr>
          <w:rFonts w:ascii="Arial" w:cs="Arial" w:eastAsia="Arial" w:hAnsi="Arial"/>
          <w:b w:val="false"/>
          <w:bCs w:val="false"/>
          <w:color w:val="2D2D2D"/>
          <w:sz w:val="21"/>
          <w:szCs w:val="21"/>
        </w:rPr>
        <w:t xml:space="preserve">المشتري في السوق السعودي يعيش في وهم السيطرة. يعتقد أنه يتحكم في علاقته مع الموردين لأنه يملك قرار الشراء. لكن الحقيقة أن غياب التوثيق يعرضه لمخاطر مخفية يدفعها بدون أن يدرك.</w:t>
      </w:r>
    </w:p>
    <w:p>
      <w:pPr>
        <w:pBdr>
          <w:right w:val="thick" w:color="E8771A" w:sz="12"/>
        </w:pBdr>
        <w:bidi/>
        <w:spacing w:after="80" w:before="280"/>
        <w:ind w:right="200"/>
        <w:jc w:val="right"/>
      </w:pPr>
      <w:r>
        <w:rPr>
          <w:rFonts w:ascii="Arial" w:cs="Arial" w:eastAsia="Arial" w:hAnsi="Arial"/>
          <w:b/>
          <w:bCs/>
          <w:color w:val="2D2D2D"/>
          <w:sz w:val="24"/>
          <w:szCs w:val="24"/>
        </w:rPr>
        <w:t xml:space="preserve">كيف يشتري بالأجل اليوم؟</w:t>
      </w:r>
    </w:p>
    <w:p>
      <w:pPr>
        <w:pStyle w:val="ListParagraph"/>
        <w:numPr>
          <w:ilvl w:val="0"/>
          <w:numId w:val="2"/>
        </w:numPr>
        <w:bidi/>
        <w:spacing w:after="40" w:before="40"/>
        <w:jc w:val="right"/>
      </w:pPr>
      <w:r>
        <w:rPr>
          <w:rFonts w:ascii="Arial" w:cs="Arial" w:eastAsia="Arial" w:hAnsi="Arial"/>
          <w:color w:val="2D2D2D"/>
          <w:sz w:val="21"/>
          <w:szCs w:val="21"/>
        </w:rPr>
        <w:t xml:space="preserve">يتفق شفهياً أو عبر واتساب على الأسعار والكميات — لا التزام ملزم</w:t>
      </w:r>
    </w:p>
    <w:p>
      <w:pPr>
        <w:pStyle w:val="ListParagraph"/>
        <w:numPr>
          <w:ilvl w:val="0"/>
          <w:numId w:val="2"/>
        </w:numPr>
        <w:bidi/>
        <w:spacing w:after="40" w:before="40"/>
        <w:jc w:val="right"/>
      </w:pPr>
      <w:r>
        <w:rPr>
          <w:rFonts w:ascii="Arial" w:cs="Arial" w:eastAsia="Arial" w:hAnsi="Arial"/>
          <w:color w:val="2D2D2D"/>
          <w:sz w:val="21"/>
          <w:szCs w:val="21"/>
        </w:rPr>
        <w:t xml:space="preserve">يستلم بضاعة ويوقع ورقياً — الورقة تضيع أو تُنكر</w:t>
      </w:r>
    </w:p>
    <w:p>
      <w:pPr>
        <w:pStyle w:val="ListParagraph"/>
        <w:numPr>
          <w:ilvl w:val="0"/>
          <w:numId w:val="2"/>
        </w:numPr>
        <w:bidi/>
        <w:spacing w:after="40" w:before="40"/>
        <w:jc w:val="right"/>
      </w:pPr>
      <w:r>
        <w:rPr>
          <w:rFonts w:ascii="Arial" w:cs="Arial" w:eastAsia="Arial" w:hAnsi="Arial"/>
          <w:color w:val="2D2D2D"/>
          <w:sz w:val="21"/>
          <w:szCs w:val="21"/>
        </w:rPr>
        <w:t xml:space="preserve">يدفع بعد ٣٠-٩٠ يوم حسب 'العرف' لا حسب عقد</w:t>
      </w:r>
    </w:p>
    <w:p>
      <w:pPr>
        <w:pStyle w:val="ListParagraph"/>
        <w:numPr>
          <w:ilvl w:val="0"/>
          <w:numId w:val="2"/>
        </w:numPr>
        <w:bidi/>
        <w:spacing w:after="40" w:before="40"/>
        <w:jc w:val="right"/>
      </w:pPr>
      <w:r>
        <w:rPr>
          <w:rFonts w:ascii="Arial" w:cs="Arial" w:eastAsia="Arial" w:hAnsi="Arial"/>
          <w:color w:val="2D2D2D"/>
          <w:sz w:val="21"/>
          <w:szCs w:val="21"/>
        </w:rPr>
        <w:t xml:space="preserve">إذا كانت البضاعة ناقصة أو معيبة — يرفع الهاتف ويفاوض</w:t>
      </w:r>
    </w:p>
    <w:p>
      <w:pPr>
        <w:pBdr>
          <w:right w:val="thick" w:color="E8771A" w:sz="12"/>
        </w:pBdr>
        <w:bidi/>
        <w:spacing w:after="80" w:before="280"/>
        <w:ind w:right="200"/>
        <w:jc w:val="right"/>
      </w:pPr>
      <w:r>
        <w:rPr>
          <w:rFonts w:ascii="Arial" w:cs="Arial" w:eastAsia="Arial" w:hAnsi="Arial"/>
          <w:b/>
          <w:bCs/>
          <w:color w:val="2D2D2D"/>
          <w:sz w:val="24"/>
          <w:szCs w:val="24"/>
        </w:rPr>
        <w:t xml:space="preserve">كيف يدير الموردين؟</w:t>
      </w:r>
    </w:p>
    <w:p>
      <w:pPr>
        <w:pStyle w:val="ListParagraph"/>
        <w:numPr>
          <w:ilvl w:val="0"/>
          <w:numId w:val="2"/>
        </w:numPr>
        <w:bidi/>
        <w:spacing w:after="40" w:before="40"/>
        <w:jc w:val="right"/>
      </w:pPr>
      <w:r>
        <w:rPr>
          <w:rFonts w:ascii="Arial" w:cs="Arial" w:eastAsia="Arial" w:hAnsi="Arial"/>
          <w:color w:val="2D2D2D"/>
          <w:sz w:val="21"/>
          <w:szCs w:val="21"/>
        </w:rPr>
        <w:t xml:space="preserve">قائمة موردين معتمدين — لكن بدون معايير أداء موثقة</w:t>
      </w:r>
    </w:p>
    <w:p>
      <w:pPr>
        <w:pStyle w:val="ListParagraph"/>
        <w:numPr>
          <w:ilvl w:val="0"/>
          <w:numId w:val="2"/>
        </w:numPr>
        <w:bidi/>
        <w:spacing w:after="40" w:before="40"/>
        <w:jc w:val="right"/>
      </w:pPr>
      <w:r>
        <w:rPr>
          <w:rFonts w:ascii="Arial" w:cs="Arial" w:eastAsia="Arial" w:hAnsi="Arial"/>
          <w:color w:val="2D2D2D"/>
          <w:sz w:val="21"/>
          <w:szCs w:val="21"/>
        </w:rPr>
        <w:t xml:space="preserve">تقييم الأداء يعتمد على ذاكرة الفريق لا على بيانات</w:t>
      </w:r>
    </w:p>
    <w:p>
      <w:pPr>
        <w:pStyle w:val="ListParagraph"/>
        <w:numPr>
          <w:ilvl w:val="0"/>
          <w:numId w:val="2"/>
        </w:numPr>
        <w:bidi/>
        <w:spacing w:after="40" w:before="40"/>
        <w:jc w:val="right"/>
      </w:pPr>
      <w:r>
        <w:rPr>
          <w:rFonts w:ascii="Arial" w:cs="Arial" w:eastAsia="Arial" w:hAnsi="Arial"/>
          <w:color w:val="2D2D2D"/>
          <w:sz w:val="21"/>
          <w:szCs w:val="21"/>
        </w:rPr>
        <w:t xml:space="preserve">التفضيل الشخصي يتغلب على الكفاءة في كثير من الأحيان</w:t>
      </w:r>
    </w:p>
    <w:p>
      <w:pPr>
        <w:pStyle w:val="ListParagraph"/>
        <w:numPr>
          <w:ilvl w:val="0"/>
          <w:numId w:val="2"/>
        </w:numPr>
        <w:bidi/>
        <w:spacing w:after="40" w:before="40"/>
        <w:jc w:val="right"/>
      </w:pPr>
      <w:r>
        <w:rPr>
          <w:rFonts w:ascii="Arial" w:cs="Arial" w:eastAsia="Arial" w:hAnsi="Arial"/>
          <w:color w:val="2D2D2D"/>
          <w:sz w:val="21"/>
          <w:szCs w:val="21"/>
        </w:rPr>
        <w:t xml:space="preserve">لا يوجد سجل موحد لتاريخ التوريد والنزاعات</w:t>
      </w:r>
    </w:p>
    <w:p>
      <w:pPr>
        <w:pBdr>
          <w:bottom w:val="single" w:color="E8771A" w:sz="6"/>
        </w:pBdr>
        <w:bidi/>
        <w:spacing w:after="120" w:before="360"/>
        <w:jc w:val="right"/>
      </w:pPr>
      <w:r>
        <w:rPr>
          <w:rFonts w:ascii="Arial" w:cs="Arial" w:eastAsia="Arial" w:hAnsi="Arial"/>
          <w:b/>
          <w:bCs/>
          <w:color w:val="1A1A1A"/>
          <w:sz w:val="28"/>
          <w:szCs w:val="28"/>
        </w:rPr>
        <w:t xml:space="preserve">٢. الألم الحقيقي للمشتري</w:t>
      </w:r>
    </w:p>
    <w:p>
      <w:pPr>
        <w:pBdr>
          <w:right w:val="thick" w:color="E8771A" w:sz="8"/>
        </w:pBdr>
        <w:shd w:fill="FFF8F0" w:val="clear"/>
        <w:bidi/>
        <w:spacing w:after="80" w:before="120"/>
        <w:ind w:left="200" w:right="200"/>
        <w:jc w:val="right"/>
      </w:pPr>
      <w:r>
        <w:rPr>
          <w:rFonts w:ascii="Arial" w:cs="Arial" w:eastAsia="Arial" w:hAnsi="Arial"/>
          <w:i/>
          <w:iCs/>
          <w:color w:val="2D2D2D"/>
          <w:sz w:val="20"/>
          <w:szCs w:val="20"/>
        </w:rPr>
        <w:t xml:space="preserve">المشتري لا يظن أن لديه مشكلة — وهذه هي المشكلة الأكبر. ألمه مخفي في التكاليف غير المرئية.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DDDDDD" w:sz="1"/>
              <w:left w:val="single" w:color="DDDDDD" w:sz="1"/>
              <w:bottom w:val="single" w:color="DDDDDD" w:sz="1"/>
              <w:right w:val="single" w:color="DDDDDD" w:sz="1"/>
            </w:tcBorders>
            <w:shd w:fill="1A1A1A" w:val="clear"/>
            <w:tcMar>
              <w:top w:type="dxa" w:w="100"/>
              <w:left w:type="dxa" w:w="160"/>
              <w:bottom w:type="dxa" w:w="100"/>
              <w:right w:type="dxa" w:w="160"/>
            </w:tcMar>
            <w:vAlign w:val="center"/>
          </w:tcPr>
          <w:p>
            <w:pPr>
              <w:bidi/>
              <w:jc w:val="right"/>
            </w:pPr>
            <w:r>
              <w:rPr>
                <w:rFonts w:ascii="Arial" w:cs="Arial" w:eastAsia="Arial" w:hAnsi="Arial"/>
                <w:b/>
                <w:bCs/>
                <w:color w:val="FFFFFF"/>
                <w:sz w:val="20"/>
                <w:szCs w:val="20"/>
              </w:rPr>
              <w:t xml:space="preserve">محور الألم</w:t>
            </w:r>
          </w:p>
        </w:tc>
        <w:tc>
          <w:tcPr>
            <w:tcW w:type="dxa" w:w="7038"/>
            <w:tcBorders>
              <w:top w:val="single" w:color="DDDDDD" w:sz="1"/>
              <w:left w:val="single" w:color="DDDDDD" w:sz="1"/>
              <w:bottom w:val="single" w:color="DDDDDD" w:sz="1"/>
              <w:right w:val="single" w:color="DDDDDD" w:sz="1"/>
            </w:tcBorders>
            <w:shd w:fill="1A1A1A" w:val="clear"/>
            <w:tcMar>
              <w:top w:type="dxa" w:w="100"/>
              <w:left w:type="dxa" w:w="160"/>
              <w:bottom w:type="dxa" w:w="100"/>
              <w:right w:type="dxa" w:w="160"/>
            </w:tcMar>
            <w:vAlign w:val="center"/>
          </w:tcPr>
          <w:p>
            <w:pPr>
              <w:bidi/>
              <w:jc w:val="right"/>
            </w:pPr>
            <w:r>
              <w:rPr>
                <w:rFonts w:ascii="Arial" w:cs="Arial" w:eastAsia="Arial" w:hAnsi="Arial"/>
                <w:b/>
                <w:bCs/>
                <w:color w:val="FFFFFF"/>
                <w:sz w:val="20"/>
                <w:szCs w:val="20"/>
              </w:rPr>
              <w:t xml:space="preserve">التفصيل الحقيقي</w:t>
            </w:r>
          </w:p>
        </w:tc>
      </w:tr>
      <w:tr>
        <w:tc>
          <w:tcPr>
            <w:tcW w:type="dxa" w:w="26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pPr>
              <w:bidi/>
              <w:jc w:val="right"/>
            </w:pPr>
            <w:r>
              <w:rPr>
                <w:rFonts w:ascii="Arial" w:cs="Arial" w:eastAsia="Arial" w:hAnsi="Arial"/>
                <w:b/>
                <w:bCs/>
                <w:color w:val="2D2D2D"/>
                <w:sz w:val="19"/>
                <w:szCs w:val="19"/>
              </w:rPr>
              <w:t xml:space="preserve">مشاكل التوريد</w:t>
            </w:r>
          </w:p>
        </w:tc>
        <w:tc>
          <w:tcPr>
            <w:tcW w:type="dxa" w:w="7038"/>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pPr>
              <w:bidi/>
              <w:jc w:val="right"/>
            </w:pPr>
            <w:r>
              <w:rPr>
                <w:rFonts w:ascii="Arial" w:cs="Arial" w:eastAsia="Arial" w:hAnsi="Arial"/>
                <w:b w:val="false"/>
                <w:bCs w:val="false"/>
                <w:color w:val="2D2D2D"/>
                <w:sz w:val="19"/>
                <w:szCs w:val="19"/>
              </w:rPr>
              <w:t xml:space="preserve">المورد يسلّم كميات ناقصة ويدّعي أنه سلّم الكامل. بدون OTP وGPS، المشتري لا يستطيع الإثبات — يدفع مقابل ما لم يستلمه.</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bidi/>
              <w:jc w:val="right"/>
            </w:pPr>
            <w:r>
              <w:rPr>
                <w:rFonts w:ascii="Arial" w:cs="Arial" w:eastAsia="Arial" w:hAnsi="Arial"/>
                <w:b/>
                <w:bCs/>
                <w:color w:val="2D2D2D"/>
                <w:sz w:val="19"/>
                <w:szCs w:val="19"/>
              </w:rPr>
              <w:t xml:space="preserve">النزاعات المستنزفة</w:t>
            </w:r>
          </w:p>
        </w:tc>
        <w:tc>
          <w:tcPr>
            <w:tcW w:type="dxa" w:w="7038"/>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bidi/>
              <w:jc w:val="right"/>
            </w:pPr>
            <w:r>
              <w:rPr>
                <w:rFonts w:ascii="Arial" w:cs="Arial" w:eastAsia="Arial" w:hAnsi="Arial"/>
                <w:b w:val="false"/>
                <w:bCs w:val="false"/>
                <w:color w:val="2D2D2D"/>
                <w:sz w:val="19"/>
                <w:szCs w:val="19"/>
              </w:rPr>
              <w:t xml:space="preserve">كل نزاع صغير يستهلك وقت فريق المشتريات والمالية والإدارة. التكلفة الخفية لكل نزاع تتجاوز قيمته المالية بمرات.</w:t>
            </w:r>
          </w:p>
        </w:tc>
      </w:tr>
      <w:tr>
        <w:tc>
          <w:tcPr>
            <w:tcW w:type="dxa" w:w="26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pPr>
              <w:bidi/>
              <w:jc w:val="right"/>
            </w:pPr>
            <w:r>
              <w:rPr>
                <w:rFonts w:ascii="Arial" w:cs="Arial" w:eastAsia="Arial" w:hAnsi="Arial"/>
                <w:b/>
                <w:bCs/>
                <w:color w:val="2D2D2D"/>
                <w:sz w:val="19"/>
                <w:szCs w:val="19"/>
              </w:rPr>
              <w:t xml:space="preserve">فقدان التحكم</w:t>
            </w:r>
          </w:p>
        </w:tc>
        <w:tc>
          <w:tcPr>
            <w:tcW w:type="dxa" w:w="7038"/>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pPr>
              <w:bidi/>
              <w:jc w:val="right"/>
            </w:pPr>
            <w:r>
              <w:rPr>
                <w:rFonts w:ascii="Arial" w:cs="Arial" w:eastAsia="Arial" w:hAnsi="Arial"/>
                <w:b w:val="false"/>
                <w:bCs w:val="false"/>
                <w:color w:val="2D2D2D"/>
                <w:sz w:val="19"/>
                <w:szCs w:val="19"/>
              </w:rPr>
              <w:t xml:space="preserve">المورد يعرف أن المشتري لا يملك دليلاً — فيتهاون في الجودة والمواعيد تدريجياً. غياب المساءلة يولّد انحداراً في الأداء.</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bidi/>
              <w:jc w:val="right"/>
            </w:pPr>
            <w:r>
              <w:rPr>
                <w:rFonts w:ascii="Arial" w:cs="Arial" w:eastAsia="Arial" w:hAnsi="Arial"/>
                <w:b/>
                <w:bCs/>
                <w:color w:val="2D2D2D"/>
                <w:sz w:val="19"/>
                <w:szCs w:val="19"/>
              </w:rPr>
              <w:t xml:space="preserve">الفوضى التشغيلية</w:t>
            </w:r>
          </w:p>
        </w:tc>
        <w:tc>
          <w:tcPr>
            <w:tcW w:type="dxa" w:w="7038"/>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bidi/>
              <w:jc w:val="right"/>
            </w:pPr>
            <w:r>
              <w:rPr>
                <w:rFonts w:ascii="Arial" w:cs="Arial" w:eastAsia="Arial" w:hAnsi="Arial"/>
                <w:b w:val="false"/>
                <w:bCs w:val="false"/>
                <w:color w:val="2D2D2D"/>
                <w:sz w:val="19"/>
                <w:szCs w:val="19"/>
              </w:rPr>
              <w:t xml:space="preserve">فرق مختلفة تتعامل مع نفس المورد بطرق مختلفة. لا بيانات مركزية. قرارات المشتريات تُبنى على معلومات ناقصة.</w:t>
            </w:r>
          </w:p>
        </w:tc>
      </w:tr>
      <w:tr>
        <w:tc>
          <w:tcPr>
            <w:tcW w:type="dxa" w:w="26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pPr>
              <w:bidi/>
              <w:jc w:val="right"/>
            </w:pPr>
            <w:r>
              <w:rPr>
                <w:rFonts w:ascii="Arial" w:cs="Arial" w:eastAsia="Arial" w:hAnsi="Arial"/>
                <w:b/>
                <w:bCs/>
                <w:color w:val="2D2D2D"/>
                <w:sz w:val="19"/>
                <w:szCs w:val="19"/>
              </w:rPr>
              <w:t xml:space="preserve">ضعف التدقيق</w:t>
            </w:r>
          </w:p>
        </w:tc>
        <w:tc>
          <w:tcPr>
            <w:tcW w:type="dxa" w:w="7038"/>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pPr>
              <w:bidi/>
              <w:jc w:val="right"/>
            </w:pPr>
            <w:r>
              <w:rPr>
                <w:rFonts w:ascii="Arial" w:cs="Arial" w:eastAsia="Arial" w:hAnsi="Arial"/>
                <w:b w:val="false"/>
                <w:bCs w:val="false"/>
                <w:color w:val="2D2D2D"/>
                <w:sz w:val="19"/>
                <w:szCs w:val="19"/>
              </w:rPr>
              <w:t xml:space="preserve">المدقق يطلب وثائق تسليم — الموظف يبحث في أدراج وبريد إلكتروني. نقص التوثيق = ملاحظات تدقيق = ضغط على الإدارة.</w:t>
            </w:r>
          </w:p>
        </w:tc>
      </w:tr>
    </w:tbl>
    <w:p>
      <w:pPr>
        <w:pBdr>
          <w:bottom w:val="single" w:color="E8771A" w:sz="6"/>
        </w:pBdr>
        <w:bidi/>
        <w:spacing w:after="120" w:before="360"/>
        <w:jc w:val="right"/>
      </w:pPr>
      <w:r>
        <w:rPr>
          <w:rFonts w:ascii="Arial" w:cs="Arial" w:eastAsia="Arial" w:hAnsi="Arial"/>
          <w:b/>
          <w:bCs/>
          <w:color w:val="1A1A1A"/>
          <w:sz w:val="28"/>
          <w:szCs w:val="28"/>
        </w:rPr>
        <w:t xml:space="preserve">٣. كيف يرى المشتري محايد؟</w:t>
      </w:r>
    </w:p>
    <w:p>
      <w:pPr>
        <w:bidi/>
        <w:spacing w:after="60" w:before="60"/>
        <w:jc w:val="right"/>
      </w:pPr>
      <w:r>
        <w:rPr>
          <w:rFonts w:ascii="Arial" w:cs="Arial" w:eastAsia="Arial" w:hAnsi="Arial"/>
          <w:b/>
          <w:bCs/>
          <w:color w:val="2D2D2D"/>
          <w:sz w:val="21"/>
          <w:szCs w:val="21"/>
        </w:rPr>
        <w:t xml:space="preserve">هنا تكمن أكبر عقبة في البيع. المشتري لا يدفع — لكنه قد يقاوم الانضمام بشدة.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938"/>
      </w:tblGrid>
      <w:tr>
        <w:trPr>
          <w:tblHeader/>
        </w:trPr>
        <w:tc>
          <w:tcPr>
            <w:tcW w:type="dxa" w:w="2200"/>
            <w:tcBorders>
              <w:top w:val="single" w:color="DDDDDD" w:sz="1"/>
              <w:left w:val="single" w:color="DDDDDD" w:sz="1"/>
              <w:bottom w:val="single" w:color="DDDDDD" w:sz="1"/>
              <w:right w:val="single" w:color="DDDDDD" w:sz="1"/>
            </w:tcBorders>
            <w:shd w:fill="1A1A1A" w:val="clear"/>
            <w:tcMar>
              <w:top w:type="dxa" w:w="100"/>
              <w:left w:type="dxa" w:w="160"/>
              <w:bottom w:type="dxa" w:w="100"/>
              <w:right w:type="dxa" w:w="160"/>
            </w:tcMar>
            <w:vAlign w:val="center"/>
          </w:tcPr>
          <w:p>
            <w:pPr>
              <w:bidi/>
              <w:jc w:val="right"/>
            </w:pPr>
            <w:r>
              <w:rPr>
                <w:rFonts w:ascii="Arial" w:cs="Arial" w:eastAsia="Arial" w:hAnsi="Arial"/>
                <w:b/>
                <w:bCs/>
                <w:color w:val="FFFFFF"/>
                <w:sz w:val="20"/>
                <w:szCs w:val="20"/>
              </w:rPr>
              <w:t xml:space="preserve">كيف يراه؟</w:t>
            </w:r>
          </w:p>
        </w:tc>
        <w:tc>
          <w:tcPr>
            <w:tcW w:type="dxa" w:w="3500"/>
            <w:tcBorders>
              <w:top w:val="single" w:color="DDDDDD" w:sz="1"/>
              <w:left w:val="single" w:color="DDDDDD" w:sz="1"/>
              <w:bottom w:val="single" w:color="DDDDDD" w:sz="1"/>
              <w:right w:val="single" w:color="DDDDDD" w:sz="1"/>
            </w:tcBorders>
            <w:shd w:fill="1A1A1A" w:val="clear"/>
            <w:tcMar>
              <w:top w:type="dxa" w:w="100"/>
              <w:left w:type="dxa" w:w="160"/>
              <w:bottom w:type="dxa" w:w="100"/>
              <w:right w:type="dxa" w:w="160"/>
            </w:tcMar>
            <w:vAlign w:val="center"/>
          </w:tcPr>
          <w:p>
            <w:pPr>
              <w:bidi/>
              <w:jc w:val="right"/>
            </w:pPr>
            <w:r>
              <w:rPr>
                <w:rFonts w:ascii="Arial" w:cs="Arial" w:eastAsia="Arial" w:hAnsi="Arial"/>
                <w:b/>
                <w:bCs/>
                <w:color w:val="FFFFFF"/>
                <w:sz w:val="20"/>
                <w:szCs w:val="20"/>
              </w:rPr>
              <w:t xml:space="preserve">لماذا يخاف؟</w:t>
            </w:r>
          </w:p>
        </w:tc>
        <w:tc>
          <w:tcPr>
            <w:tcW w:type="dxa" w:w="3938"/>
            <w:tcBorders>
              <w:top w:val="single" w:color="DDDDDD" w:sz="1"/>
              <w:left w:val="single" w:color="DDDDDD" w:sz="1"/>
              <w:bottom w:val="single" w:color="DDDDDD" w:sz="1"/>
              <w:right w:val="single" w:color="DDDDDD" w:sz="1"/>
            </w:tcBorders>
            <w:shd w:fill="1A1A1A" w:val="clear"/>
            <w:tcMar>
              <w:top w:type="dxa" w:w="100"/>
              <w:left w:type="dxa" w:w="160"/>
              <w:bottom w:type="dxa" w:w="100"/>
              <w:right w:type="dxa" w:w="160"/>
            </w:tcMar>
            <w:vAlign w:val="center"/>
          </w:tcPr>
          <w:p>
            <w:pPr>
              <w:bidi/>
              <w:jc w:val="right"/>
            </w:pPr>
            <w:r>
              <w:rPr>
                <w:rFonts w:ascii="Arial" w:cs="Arial" w:eastAsia="Arial" w:hAnsi="Arial"/>
                <w:b/>
                <w:bCs/>
                <w:color w:val="FFFFFF"/>
                <w:sz w:val="20"/>
                <w:szCs w:val="20"/>
              </w:rPr>
              <w:t xml:space="preserve">كيف تُحول هذا الخوف؟</w:t>
            </w:r>
          </w:p>
        </w:tc>
      </w:tr>
      <w:tr>
        <w:tc>
          <w:tcPr>
            <w:tcW w:type="dxa" w:w="22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pPr>
              <w:bidi/>
              <w:jc w:val="right"/>
            </w:pPr>
            <w:r>
              <w:rPr>
                <w:rFonts w:ascii="Arial" w:cs="Arial" w:eastAsia="Arial" w:hAnsi="Arial"/>
                <w:b/>
                <w:bCs/>
                <w:color w:val="2D2D2D"/>
                <w:sz w:val="19"/>
                <w:szCs w:val="19"/>
              </w:rPr>
              <w:t xml:space="preserve">تهديد</w:t>
            </w:r>
          </w:p>
        </w:tc>
        <w:tc>
          <w:tcPr>
            <w:tcW w:type="dxa" w:w="35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pPr>
              <w:bidi/>
              <w:jc w:val="right"/>
            </w:pPr>
            <w:r>
              <w:rPr>
                <w:rFonts w:ascii="Arial" w:cs="Arial" w:eastAsia="Arial" w:hAnsi="Arial"/>
                <w:b w:val="false"/>
                <w:bCs w:val="false"/>
                <w:color w:val="2D2D2D"/>
                <w:sz w:val="19"/>
                <w:szCs w:val="19"/>
              </w:rPr>
              <w:t xml:space="preserve">المنصة تجعله مسؤولاً بشكل قاطع — لا يستطيع الإنكار لاحقاً</w:t>
            </w:r>
          </w:p>
        </w:tc>
        <w:tc>
          <w:tcPr>
            <w:tcW w:type="dxa" w:w="3938"/>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pPr>
              <w:bidi/>
              <w:jc w:val="right"/>
            </w:pPr>
            <w:r>
              <w:rPr>
                <w:rFonts w:ascii="Arial" w:cs="Arial" w:eastAsia="Arial" w:hAnsi="Arial"/>
                <w:b w:val="false"/>
                <w:bCs w:val="false"/>
                <w:color w:val="2D2D2D"/>
                <w:sz w:val="19"/>
                <w:szCs w:val="19"/>
              </w:rPr>
              <w:t xml:space="preserve">صحيح — لكنه أيضاً يحميك من الموردين الذين يدّعون التسليم بدون تسليم</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bidi/>
              <w:jc w:val="right"/>
            </w:pPr>
            <w:r>
              <w:rPr>
                <w:rFonts w:ascii="Arial" w:cs="Arial" w:eastAsia="Arial" w:hAnsi="Arial"/>
                <w:b/>
                <w:bCs/>
                <w:color w:val="2D2D2D"/>
                <w:sz w:val="19"/>
                <w:szCs w:val="19"/>
              </w:rPr>
              <w:t xml:space="preserve">قيد على حريته</w:t>
            </w:r>
          </w:p>
        </w:tc>
        <w:tc>
          <w:tcPr>
            <w:tcW w:type="dxa" w:w="35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bidi/>
              <w:jc w:val="right"/>
            </w:pPr>
            <w:r>
              <w:rPr>
                <w:rFonts w:ascii="Arial" w:cs="Arial" w:eastAsia="Arial" w:hAnsi="Arial"/>
                <w:b w:val="false"/>
                <w:bCs w:val="false"/>
                <w:color w:val="2D2D2D"/>
                <w:sz w:val="19"/>
                <w:szCs w:val="19"/>
              </w:rPr>
              <w:t xml:space="preserve">يعتقد أنه سيفقد مرونة التفاوض في النزاعات</w:t>
            </w:r>
          </w:p>
        </w:tc>
        <w:tc>
          <w:tcPr>
            <w:tcW w:type="dxa" w:w="3938"/>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bidi/>
              <w:jc w:val="right"/>
            </w:pPr>
            <w:r>
              <w:rPr>
                <w:rFonts w:ascii="Arial" w:cs="Arial" w:eastAsia="Arial" w:hAnsi="Arial"/>
                <w:b w:val="false"/>
                <w:bCs w:val="false"/>
                <w:color w:val="2D2D2D"/>
                <w:sz w:val="19"/>
                <w:szCs w:val="19"/>
              </w:rPr>
              <w:t xml:space="preserve">المرونة الحقيقية هي امتلاك الدليل — من يملك الدليل يتفاوض من موقع قوة</w:t>
            </w:r>
          </w:p>
        </w:tc>
      </w:tr>
      <w:tr>
        <w:tc>
          <w:tcPr>
            <w:tcW w:type="dxa" w:w="22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pPr>
              <w:bidi/>
              <w:jc w:val="right"/>
            </w:pPr>
            <w:r>
              <w:rPr>
                <w:rFonts w:ascii="Arial" w:cs="Arial" w:eastAsia="Arial" w:hAnsi="Arial"/>
                <w:b/>
                <w:bCs/>
                <w:color w:val="2D2D2D"/>
                <w:sz w:val="19"/>
                <w:szCs w:val="19"/>
              </w:rPr>
              <w:t xml:space="preserve">تعقيد إضافي</w:t>
            </w:r>
          </w:p>
        </w:tc>
        <w:tc>
          <w:tcPr>
            <w:tcW w:type="dxa" w:w="35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pPr>
              <w:bidi/>
              <w:jc w:val="right"/>
            </w:pPr>
            <w:r>
              <w:rPr>
                <w:rFonts w:ascii="Arial" w:cs="Arial" w:eastAsia="Arial" w:hAnsi="Arial"/>
                <w:b w:val="false"/>
                <w:bCs w:val="false"/>
                <w:color w:val="2D2D2D"/>
                <w:sz w:val="19"/>
                <w:szCs w:val="19"/>
              </w:rPr>
              <w:t xml:space="preserve">إجراءات جديدة تُبطئ العمليات</w:t>
            </w:r>
          </w:p>
        </w:tc>
        <w:tc>
          <w:tcPr>
            <w:tcW w:type="dxa" w:w="3938"/>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pPr>
              <w:bidi/>
              <w:jc w:val="right"/>
            </w:pPr>
            <w:r>
              <w:rPr>
                <w:rFonts w:ascii="Arial" w:cs="Arial" w:eastAsia="Arial" w:hAnsi="Arial"/>
                <w:b w:val="false"/>
                <w:bCs w:val="false"/>
                <w:color w:val="2D2D2D"/>
                <w:sz w:val="19"/>
                <w:szCs w:val="19"/>
              </w:rPr>
              <w:t xml:space="preserve">الإجراء لا يتجاوز دقيقتين في التسليم — والبديل ساعات من النزاع لاحقاً</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bidi/>
              <w:jc w:val="right"/>
            </w:pPr>
            <w:r>
              <w:rPr>
                <w:rFonts w:ascii="Arial" w:cs="Arial" w:eastAsia="Arial" w:hAnsi="Arial"/>
                <w:b/>
                <w:bCs/>
                <w:color w:val="2D2D2D"/>
                <w:sz w:val="19"/>
                <w:szCs w:val="19"/>
              </w:rPr>
              <w:t xml:space="preserve">تنظيم مفروض</w:t>
            </w:r>
          </w:p>
        </w:tc>
        <w:tc>
          <w:tcPr>
            <w:tcW w:type="dxa" w:w="35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bidi/>
              <w:jc w:val="right"/>
            </w:pPr>
            <w:r>
              <w:rPr>
                <w:rFonts w:ascii="Arial" w:cs="Arial" w:eastAsia="Arial" w:hAnsi="Arial"/>
                <w:b w:val="false"/>
                <w:bCs w:val="false"/>
                <w:color w:val="2D2D2D"/>
                <w:sz w:val="19"/>
                <w:szCs w:val="19"/>
              </w:rPr>
              <w:t xml:space="preserve">المورد هو من يُدخله — يشعر أنه لم يختر</w:t>
            </w:r>
          </w:p>
        </w:tc>
        <w:tc>
          <w:tcPr>
            <w:tcW w:type="dxa" w:w="3938"/>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bidi/>
              <w:jc w:val="right"/>
            </w:pPr>
            <w:r>
              <w:rPr>
                <w:rFonts w:ascii="Arial" w:cs="Arial" w:eastAsia="Arial" w:hAnsi="Arial"/>
                <w:b w:val="false"/>
                <w:bCs w:val="false"/>
                <w:color w:val="2D2D2D"/>
                <w:sz w:val="19"/>
                <w:szCs w:val="19"/>
              </w:rPr>
              <w:t xml:space="preserve">في الواقع هو يكسب: توثيق لصالحه، حماية حقوقه، وأحياناً تمويل أرخص</w:t>
            </w:r>
          </w:p>
        </w:tc>
      </w:tr>
    </w:tbl>
    <w:p>
      <w:pPr>
        <w:pBdr>
          <w:bottom w:val="single" w:color="E8771A" w:sz="6"/>
        </w:pBdr>
        <w:bidi/>
        <w:spacing w:after="120" w:before="360"/>
        <w:jc w:val="right"/>
      </w:pPr>
      <w:r>
        <w:rPr>
          <w:rFonts w:ascii="Arial" w:cs="Arial" w:eastAsia="Arial" w:hAnsi="Arial"/>
          <w:b/>
          <w:bCs/>
          <w:color w:val="1A1A1A"/>
          <w:sz w:val="28"/>
          <w:szCs w:val="28"/>
        </w:rPr>
        <w:t xml:space="preserve">٤. القيمة الحقيقية لمحايد للمشتري</w:t>
      </w:r>
    </w:p>
    <w:p>
      <w:pPr>
        <w:pBdr>
          <w:right w:val="thick" w:color="E8771A" w:sz="12"/>
        </w:pBdr>
        <w:bidi/>
        <w:spacing w:after="80" w:before="280"/>
        <w:ind w:right="200"/>
        <w:jc w:val="right"/>
      </w:pPr>
      <w:r>
        <w:rPr>
          <w:rFonts w:ascii="Arial" w:cs="Arial" w:eastAsia="Arial" w:hAnsi="Arial"/>
          <w:b/>
          <w:bCs/>
          <w:color w:val="2D2D2D"/>
          <w:sz w:val="24"/>
          <w:szCs w:val="24"/>
        </w:rPr>
        <w:t xml:space="preserve">التحكم في الموردين — من العلاقة إلى الأداء</w:t>
      </w:r>
    </w:p>
    <w:p>
      <w:pPr>
        <w:pStyle w:val="ListParagraph"/>
        <w:numPr>
          <w:ilvl w:val="0"/>
          <w:numId w:val="2"/>
        </w:numPr>
        <w:bidi/>
        <w:spacing w:after="40" w:before="40"/>
        <w:jc w:val="right"/>
      </w:pPr>
      <w:r>
        <w:rPr>
          <w:rFonts w:ascii="Arial" w:cs="Arial" w:eastAsia="Arial" w:hAnsi="Arial"/>
          <w:color w:val="2D2D2D"/>
          <w:sz w:val="21"/>
          <w:szCs w:val="21"/>
        </w:rPr>
        <w:t xml:space="preserve">كل تسليم موثق = بيانات أداء تراكمية عن المورد</w:t>
      </w:r>
    </w:p>
    <w:p>
      <w:pPr>
        <w:pStyle w:val="ListParagraph"/>
        <w:numPr>
          <w:ilvl w:val="0"/>
          <w:numId w:val="2"/>
        </w:numPr>
        <w:bidi/>
        <w:spacing w:after="40" w:before="40"/>
        <w:jc w:val="right"/>
      </w:pPr>
      <w:r>
        <w:rPr>
          <w:rFonts w:ascii="Arial" w:cs="Arial" w:eastAsia="Arial" w:hAnsi="Arial"/>
          <w:color w:val="2D2D2D"/>
          <w:sz w:val="21"/>
          <w:szCs w:val="21"/>
        </w:rPr>
        <w:t xml:space="preserve">المورد يعرف أن كل تأخير أو نقص سيُسجَّل — يتحسن سلوكه تلقائياً</w:t>
      </w:r>
    </w:p>
    <w:p>
      <w:pPr>
        <w:pStyle w:val="ListParagraph"/>
        <w:numPr>
          <w:ilvl w:val="0"/>
          <w:numId w:val="2"/>
        </w:numPr>
        <w:bidi/>
        <w:spacing w:after="40" w:before="40"/>
        <w:jc w:val="right"/>
      </w:pPr>
      <w:r>
        <w:rPr>
          <w:rFonts w:ascii="Arial" w:cs="Arial" w:eastAsia="Arial" w:hAnsi="Arial"/>
          <w:color w:val="2D2D2D"/>
          <w:sz w:val="21"/>
          <w:szCs w:val="21"/>
        </w:rPr>
        <w:t xml:space="preserve">المشتري يستطيع مقارنة أداء الموردين بالأرقام لا بالانطباع</w:t>
      </w:r>
    </w:p>
    <w:p>
      <w:pPr>
        <w:pBdr>
          <w:right w:val="thick" w:color="E8771A" w:sz="12"/>
        </w:pBdr>
        <w:bidi/>
        <w:spacing w:after="80" w:before="280"/>
        <w:ind w:right="200"/>
        <w:jc w:val="right"/>
      </w:pPr>
      <w:r>
        <w:rPr>
          <w:rFonts w:ascii="Arial" w:cs="Arial" w:eastAsia="Arial" w:hAnsi="Arial"/>
          <w:b/>
          <w:bCs/>
          <w:color w:val="2D2D2D"/>
          <w:sz w:val="24"/>
          <w:szCs w:val="24"/>
        </w:rPr>
        <w:t xml:space="preserve">تقليل النزاعات — من التفاوض إلى الإثبات</w:t>
      </w:r>
    </w:p>
    <w:p>
      <w:pPr>
        <w:pStyle w:val="ListParagraph"/>
        <w:numPr>
          <w:ilvl w:val="0"/>
          <w:numId w:val="2"/>
        </w:numPr>
        <w:bidi/>
        <w:spacing w:after="40" w:before="40"/>
        <w:jc w:val="right"/>
      </w:pPr>
      <w:r>
        <w:rPr>
          <w:rFonts w:ascii="Arial" w:cs="Arial" w:eastAsia="Arial" w:hAnsi="Arial"/>
          <w:color w:val="2D2D2D"/>
          <w:sz w:val="21"/>
          <w:szCs w:val="21"/>
        </w:rPr>
        <w:t xml:space="preserve">OTP + GPS + صور التسليم = حقيقة لا تُنكر</w:t>
      </w:r>
    </w:p>
    <w:p>
      <w:pPr>
        <w:pStyle w:val="ListParagraph"/>
        <w:numPr>
          <w:ilvl w:val="0"/>
          <w:numId w:val="2"/>
        </w:numPr>
        <w:bidi/>
        <w:spacing w:after="40" w:before="40"/>
        <w:jc w:val="right"/>
      </w:pPr>
      <w:r>
        <w:rPr>
          <w:rFonts w:ascii="Arial" w:cs="Arial" w:eastAsia="Arial" w:hAnsi="Arial"/>
          <w:color w:val="2D2D2D"/>
          <w:sz w:val="21"/>
          <w:szCs w:val="21"/>
        </w:rPr>
        <w:t xml:space="preserve">المشتري يرفض التسليم الناقص رسمياً على المنصة — لا حاجة لمفاوضة</w:t>
      </w:r>
    </w:p>
    <w:p>
      <w:pPr>
        <w:pStyle w:val="ListParagraph"/>
        <w:numPr>
          <w:ilvl w:val="0"/>
          <w:numId w:val="2"/>
        </w:numPr>
        <w:bidi/>
        <w:spacing w:after="40" w:before="40"/>
        <w:jc w:val="right"/>
      </w:pPr>
      <w:r>
        <w:rPr>
          <w:rFonts w:ascii="Arial" w:cs="Arial" w:eastAsia="Arial" w:hAnsi="Arial"/>
          <w:color w:val="2D2D2D"/>
          <w:sz w:val="21"/>
          <w:szCs w:val="21"/>
        </w:rPr>
        <w:t xml:space="preserve">المورد يعلم أن الرفض موثق — فيتجنب المخالفة أصلاً</w:t>
      </w:r>
    </w:p>
    <w:p>
      <w:pPr>
        <w:pBdr>
          <w:right w:val="thick" w:color="E8771A" w:sz="12"/>
        </w:pBdr>
        <w:bidi/>
        <w:spacing w:after="80" w:before="280"/>
        <w:ind w:right="200"/>
        <w:jc w:val="right"/>
      </w:pPr>
      <w:r>
        <w:rPr>
          <w:rFonts w:ascii="Arial" w:cs="Arial" w:eastAsia="Arial" w:hAnsi="Arial"/>
          <w:b/>
          <w:bCs/>
          <w:color w:val="2D2D2D"/>
          <w:sz w:val="24"/>
          <w:szCs w:val="24"/>
        </w:rPr>
        <w:t xml:space="preserve">الحوكمة والتدقيق</w:t>
      </w:r>
    </w:p>
    <w:p>
      <w:pPr>
        <w:pStyle w:val="ListParagraph"/>
        <w:numPr>
          <w:ilvl w:val="0"/>
          <w:numId w:val="2"/>
        </w:numPr>
        <w:bidi/>
        <w:spacing w:after="40" w:before="40"/>
        <w:jc w:val="right"/>
      </w:pPr>
      <w:r>
        <w:rPr>
          <w:rFonts w:ascii="Arial" w:cs="Arial" w:eastAsia="Arial" w:hAnsi="Arial"/>
          <w:color w:val="2D2D2D"/>
          <w:sz w:val="21"/>
          <w:szCs w:val="21"/>
        </w:rPr>
        <w:t xml:space="preserve">كل معاملة = سجل رقمي كامل جاهز للمدقق في ثوانٍ</w:t>
      </w:r>
    </w:p>
    <w:p>
      <w:pPr>
        <w:pStyle w:val="ListParagraph"/>
        <w:numPr>
          <w:ilvl w:val="0"/>
          <w:numId w:val="2"/>
        </w:numPr>
        <w:bidi/>
        <w:spacing w:after="40" w:before="40"/>
        <w:jc w:val="right"/>
      </w:pPr>
      <w:r>
        <w:rPr>
          <w:rFonts w:ascii="Arial" w:cs="Arial" w:eastAsia="Arial" w:hAnsi="Arial"/>
          <w:color w:val="2D2D2D"/>
          <w:sz w:val="21"/>
          <w:szCs w:val="21"/>
        </w:rPr>
        <w:t xml:space="preserve">لا بحث في الأدراج والإيميلات — الوثائق مركزية ومنظمة</w:t>
      </w:r>
    </w:p>
    <w:p>
      <w:pPr>
        <w:pStyle w:val="ListParagraph"/>
        <w:numPr>
          <w:ilvl w:val="0"/>
          <w:numId w:val="2"/>
        </w:numPr>
        <w:bidi/>
        <w:spacing w:after="40" w:before="40"/>
        <w:jc w:val="right"/>
      </w:pPr>
      <w:r>
        <w:rPr>
          <w:rFonts w:ascii="Arial" w:cs="Arial" w:eastAsia="Arial" w:hAnsi="Arial"/>
          <w:color w:val="2D2D2D"/>
          <w:sz w:val="21"/>
          <w:szCs w:val="21"/>
        </w:rPr>
        <w:t xml:space="preserve">تقليل ملاحظات التدقيق المتعلقة بوثائق الشراء والتسليم</w:t>
      </w:r>
    </w:p>
    <w:p>
      <w:pPr>
        <w:pBdr>
          <w:right w:val="thick" w:color="E8771A" w:sz="12"/>
        </w:pBdr>
        <w:bidi/>
        <w:spacing w:after="80" w:before="280"/>
        <w:ind w:right="200"/>
        <w:jc w:val="right"/>
      </w:pPr>
      <w:r>
        <w:rPr>
          <w:rFonts w:ascii="Arial" w:cs="Arial" w:eastAsia="Arial" w:hAnsi="Arial"/>
          <w:b/>
          <w:bCs/>
          <w:color w:val="2D2D2D"/>
          <w:sz w:val="24"/>
          <w:szCs w:val="24"/>
        </w:rPr>
        <w:t xml:space="preserve">القيمة المالية الخفية — التمويل</w:t>
      </w:r>
    </w:p>
    <w:p>
      <w:pPr>
        <w:bidi/>
        <w:spacing w:after="60" w:before="60"/>
        <w:jc w:val="right"/>
      </w:pPr>
      <w:r>
        <w:rPr>
          <w:rFonts w:ascii="Arial" w:cs="Arial" w:eastAsia="Arial" w:hAnsi="Arial"/>
          <w:b w:val="false"/>
          <w:bCs w:val="false"/>
          <w:color w:val="2D2D2D"/>
          <w:sz w:val="21"/>
          <w:szCs w:val="21"/>
        </w:rPr>
        <w:t xml:space="preserve">المشتري الذي يشتري آجلاً من موردين على محايد يستطيع الحصول على تمويل مشترياته بأسعار أفضل — لأن الفاتورة الموثقة ضمان أقوى.</w:t>
      </w:r>
    </w:p>
    <w:p>
      <w:pPr>
        <w:pBdr>
          <w:bottom w:val="single" w:color="E8771A" w:sz="6"/>
        </w:pBdr>
        <w:bidi/>
        <w:spacing w:after="120" w:before="360"/>
        <w:jc w:val="right"/>
      </w:pPr>
      <w:r>
        <w:rPr>
          <w:rFonts w:ascii="Arial" w:cs="Arial" w:eastAsia="Arial" w:hAnsi="Arial"/>
          <w:b/>
          <w:bCs/>
          <w:color w:val="1A1A1A"/>
          <w:sz w:val="28"/>
          <w:szCs w:val="28"/>
        </w:rPr>
        <w:t xml:space="preserve">٥. ICP للمشتري — من يستهدف؟</w:t>
      </w:r>
    </w:p>
    <w:p>
      <w:pPr>
        <w:pBdr>
          <w:right w:val="thick" w:color="E8771A" w:sz="8"/>
        </w:pBdr>
        <w:shd w:fill="FFF8F0" w:val="clear"/>
        <w:bidi/>
        <w:spacing w:after="80" w:before="120"/>
        <w:ind w:left="200" w:right="200"/>
        <w:jc w:val="right"/>
      </w:pPr>
      <w:r>
        <w:rPr>
          <w:rFonts w:ascii="Arial" w:cs="Arial" w:eastAsia="Arial" w:hAnsi="Arial"/>
          <w:i/>
          <w:iCs/>
          <w:color w:val="2D2D2D"/>
          <w:sz w:val="20"/>
          <w:szCs w:val="20"/>
        </w:rPr>
        <w:t xml:space="preserve">المشتري لا يدفع — لكن تحديد هويته بدقة يحدد فرصة الإغلاق مع المورد.</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DDDDDD" w:sz="1"/>
              <w:left w:val="single" w:color="DDDDDD" w:sz="1"/>
              <w:bottom w:val="single" w:color="DDDDDD" w:sz="1"/>
              <w:right w:val="single" w:color="DDDDDD" w:sz="1"/>
            </w:tcBorders>
            <w:shd w:fill="1A1A1A" w:val="clear"/>
            <w:tcMar>
              <w:top w:type="dxa" w:w="100"/>
              <w:left w:type="dxa" w:w="160"/>
              <w:bottom w:type="dxa" w:w="100"/>
              <w:right w:type="dxa" w:w="160"/>
            </w:tcMar>
            <w:vAlign w:val="center"/>
          </w:tcPr>
          <w:p>
            <w:pPr>
              <w:bidi/>
              <w:jc w:val="right"/>
            </w:pPr>
            <w:r>
              <w:rPr>
                <w:rFonts w:ascii="Arial" w:cs="Arial" w:eastAsia="Arial" w:hAnsi="Arial"/>
                <w:b/>
                <w:bCs/>
                <w:color w:val="FFFFFF"/>
                <w:sz w:val="20"/>
                <w:szCs w:val="20"/>
              </w:rPr>
              <w:t xml:space="preserve">المعيار</w:t>
            </w:r>
          </w:p>
        </w:tc>
        <w:tc>
          <w:tcPr>
            <w:tcW w:type="dxa" w:w="6638"/>
            <w:tcBorders>
              <w:top w:val="single" w:color="DDDDDD" w:sz="1"/>
              <w:left w:val="single" w:color="DDDDDD" w:sz="1"/>
              <w:bottom w:val="single" w:color="DDDDDD" w:sz="1"/>
              <w:right w:val="single" w:color="DDDDDD" w:sz="1"/>
            </w:tcBorders>
            <w:shd w:fill="1A1A1A" w:val="clear"/>
            <w:tcMar>
              <w:top w:type="dxa" w:w="100"/>
              <w:left w:type="dxa" w:w="160"/>
              <w:bottom w:type="dxa" w:w="100"/>
              <w:right w:type="dxa" w:w="160"/>
            </w:tcMar>
            <w:vAlign w:val="center"/>
          </w:tcPr>
          <w:p>
            <w:pPr>
              <w:bidi/>
              <w:jc w:val="right"/>
            </w:pPr>
            <w:r>
              <w:rPr>
                <w:rFonts w:ascii="Arial" w:cs="Arial" w:eastAsia="Arial" w:hAnsi="Arial"/>
                <w:b/>
                <w:bCs/>
                <w:color w:val="FFFFFF"/>
                <w:sz w:val="20"/>
                <w:szCs w:val="20"/>
              </w:rPr>
              <w:t xml:space="preserve">التفصيل</w:t>
            </w:r>
          </w:p>
        </w:tc>
      </w:tr>
      <w:tr>
        <w:tc>
          <w:tcPr>
            <w:tcW w:type="dxa" w:w="30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pPr>
              <w:bidi/>
              <w:jc w:val="right"/>
            </w:pPr>
            <w:r>
              <w:rPr>
                <w:rFonts w:ascii="Arial" w:cs="Arial" w:eastAsia="Arial" w:hAnsi="Arial"/>
                <w:b/>
                <w:bCs/>
                <w:color w:val="2D2D2D"/>
                <w:sz w:val="19"/>
                <w:szCs w:val="19"/>
              </w:rPr>
              <w:t xml:space="preserve">القطاعات ذات الأولوية</w:t>
            </w:r>
          </w:p>
        </w:tc>
        <w:tc>
          <w:tcPr>
            <w:tcW w:type="dxa" w:w="6638"/>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pPr>
              <w:bidi/>
              <w:jc w:val="right"/>
            </w:pPr>
            <w:r>
              <w:rPr>
                <w:rFonts w:ascii="Arial" w:cs="Arial" w:eastAsia="Arial" w:hAnsi="Arial"/>
                <w:b w:val="false"/>
                <w:bCs w:val="false"/>
                <w:color w:val="2D2D2D"/>
                <w:sz w:val="19"/>
                <w:szCs w:val="19"/>
              </w:rPr>
              <w:t xml:space="preserve">ورش صيانة السيارات | مطاعم وفنادق | مستشفيات وعيادات | مقاولون | وكلاء توزيع | تطوير عقاري</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bidi/>
              <w:jc w:val="right"/>
            </w:pPr>
            <w:r>
              <w:rPr>
                <w:rFonts w:ascii="Arial" w:cs="Arial" w:eastAsia="Arial" w:hAnsi="Arial"/>
                <w:b/>
                <w:bCs/>
                <w:color w:val="2D2D2D"/>
                <w:sz w:val="19"/>
                <w:szCs w:val="19"/>
              </w:rPr>
              <w:t xml:space="preserve">العلاقة بالمورد</w:t>
            </w:r>
          </w:p>
        </w:tc>
        <w:tc>
          <w:tcPr>
            <w:tcW w:type="dxa" w:w="6638"/>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bidi/>
              <w:jc w:val="right"/>
            </w:pPr>
            <w:r>
              <w:rPr>
                <w:rFonts w:ascii="Arial" w:cs="Arial" w:eastAsia="Arial" w:hAnsi="Arial"/>
                <w:b w:val="false"/>
                <w:bCs w:val="false"/>
                <w:color w:val="2D2D2D"/>
                <w:sz w:val="19"/>
                <w:szCs w:val="19"/>
              </w:rPr>
              <w:t xml:space="preserve">يشتري منه بانتظام ويحتاجه — المورد لديه قوة تفاوضية عليه</w:t>
            </w:r>
          </w:p>
        </w:tc>
      </w:tr>
      <w:tr>
        <w:tc>
          <w:tcPr>
            <w:tcW w:type="dxa" w:w="30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pPr>
              <w:bidi/>
              <w:jc w:val="right"/>
            </w:pPr>
            <w:r>
              <w:rPr>
                <w:rFonts w:ascii="Arial" w:cs="Arial" w:eastAsia="Arial" w:hAnsi="Arial"/>
                <w:b/>
                <w:bCs/>
                <w:color w:val="2D2D2D"/>
                <w:sz w:val="19"/>
                <w:szCs w:val="19"/>
              </w:rPr>
              <w:t xml:space="preserve">مشكلته المالية</w:t>
            </w:r>
          </w:p>
        </w:tc>
        <w:tc>
          <w:tcPr>
            <w:tcW w:type="dxa" w:w="6638"/>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pPr>
              <w:bidi/>
              <w:jc w:val="right"/>
            </w:pPr>
            <w:r>
              <w:rPr>
                <w:rFonts w:ascii="Arial" w:cs="Arial" w:eastAsia="Arial" w:hAnsi="Arial"/>
                <w:b w:val="false"/>
                <w:bCs w:val="false"/>
                <w:color w:val="2D2D2D"/>
                <w:sz w:val="19"/>
                <w:szCs w:val="19"/>
              </w:rPr>
              <w:t xml:space="preserve">يعاني من ضغط سيولة — يريد تمويل مشترياته الآجلة</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bidi/>
              <w:jc w:val="right"/>
            </w:pPr>
            <w:r>
              <w:rPr>
                <w:rFonts w:ascii="Arial" w:cs="Arial" w:eastAsia="Arial" w:hAnsi="Arial"/>
                <w:b/>
                <w:bCs/>
                <w:color w:val="2D2D2D"/>
                <w:sz w:val="19"/>
                <w:szCs w:val="19"/>
              </w:rPr>
              <w:t xml:space="preserve">حجم الشركة</w:t>
            </w:r>
          </w:p>
        </w:tc>
        <w:tc>
          <w:tcPr>
            <w:tcW w:type="dxa" w:w="6638"/>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bidi/>
              <w:jc w:val="right"/>
            </w:pPr>
            <w:r>
              <w:rPr>
                <w:rFonts w:ascii="Arial" w:cs="Arial" w:eastAsia="Arial" w:hAnsi="Arial"/>
                <w:b w:val="false"/>
                <w:bCs w:val="false"/>
                <w:color w:val="2D2D2D"/>
                <w:sz w:val="19"/>
                <w:szCs w:val="19"/>
              </w:rPr>
              <w:t xml:space="preserve">٥٠ — ٥٠٠ مليون ريال إيرادات</w:t>
            </w:r>
          </w:p>
        </w:tc>
      </w:tr>
      <w:tr>
        <w:tc>
          <w:tcPr>
            <w:tcW w:type="dxa" w:w="30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pPr>
              <w:bidi/>
              <w:jc w:val="right"/>
            </w:pPr>
            <w:r>
              <w:rPr>
                <w:rFonts w:ascii="Arial" w:cs="Arial" w:eastAsia="Arial" w:hAnsi="Arial"/>
                <w:b/>
                <w:bCs/>
                <w:color w:val="2D2D2D"/>
                <w:sz w:val="19"/>
                <w:szCs w:val="19"/>
              </w:rPr>
              <w:t xml:space="preserve">صاحب القرار</w:t>
            </w:r>
          </w:p>
        </w:tc>
        <w:tc>
          <w:tcPr>
            <w:tcW w:type="dxa" w:w="6638"/>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pPr>
              <w:bidi/>
              <w:jc w:val="right"/>
            </w:pPr>
            <w:r>
              <w:rPr>
                <w:rFonts w:ascii="Arial" w:cs="Arial" w:eastAsia="Arial" w:hAnsi="Arial"/>
                <w:b w:val="false"/>
                <w:bCs w:val="false"/>
                <w:color w:val="2D2D2D"/>
                <w:sz w:val="19"/>
                <w:szCs w:val="19"/>
              </w:rPr>
              <w:t xml:space="preserve">CFO أو مدير المالية أو مدير المشتريات</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bidi/>
              <w:jc w:val="right"/>
            </w:pPr>
            <w:r>
              <w:rPr>
                <w:rFonts w:ascii="Arial" w:cs="Arial" w:eastAsia="Arial" w:hAnsi="Arial"/>
                <w:b/>
                <w:bCs/>
                <w:color w:val="2D2D2D"/>
                <w:sz w:val="19"/>
                <w:szCs w:val="19"/>
              </w:rPr>
              <w:t xml:space="preserve">أفضل محفز للدخول</w:t>
            </w:r>
          </w:p>
        </w:tc>
        <w:tc>
          <w:tcPr>
            <w:tcW w:type="dxa" w:w="6638"/>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bidi/>
              <w:jc w:val="right"/>
            </w:pPr>
            <w:r>
              <w:rPr>
                <w:rFonts w:ascii="Arial" w:cs="Arial" w:eastAsia="Arial" w:hAnsi="Arial"/>
                <w:b w:val="false"/>
                <w:bCs w:val="false"/>
                <w:color w:val="2D2D2D"/>
                <w:sz w:val="19"/>
                <w:szCs w:val="19"/>
              </w:rPr>
              <w:t xml:space="preserve">المورد اشترط المنصة | أو عرض عليه تمويل مشترياته بأسعار أفضل</w:t>
            </w:r>
          </w:p>
        </w:tc>
      </w:tr>
    </w:tbl>
    <w:p>
      <w:pPr>
        <w:pBdr>
          <w:right w:val="thick" w:color="E8771A" w:sz="12"/>
        </w:pBdr>
        <w:bidi/>
        <w:spacing w:after="80" w:before="280"/>
        <w:ind w:right="200"/>
        <w:jc w:val="right"/>
      </w:pPr>
      <w:r>
        <w:rPr>
          <w:rFonts w:ascii="Arial" w:cs="Arial" w:eastAsia="Arial" w:hAnsi="Arial"/>
          <w:b/>
          <w:bCs/>
          <w:color w:val="2D2D2D"/>
          <w:sz w:val="24"/>
          <w:szCs w:val="24"/>
        </w:rPr>
        <w:t xml:space="preserve">Anti-ICP للمشتري</w:t>
      </w:r>
    </w:p>
    <w:p>
      <w:pPr>
        <w:pStyle w:val="ListParagraph"/>
        <w:numPr>
          <w:ilvl w:val="0"/>
          <w:numId w:val="2"/>
        </w:numPr>
        <w:bidi/>
        <w:spacing w:after="40" w:before="40"/>
        <w:jc w:val="right"/>
      </w:pPr>
      <w:r>
        <w:rPr>
          <w:rFonts w:ascii="Arial" w:cs="Arial" w:eastAsia="Arial" w:hAnsi="Arial"/>
          <w:color w:val="2D2D2D"/>
          <w:sz w:val="21"/>
          <w:szCs w:val="21"/>
        </w:rPr>
        <w:t xml:space="preserve">جهات حكومية — لوائح شراء مختلفة ودورات طويلة</w:t>
      </w:r>
    </w:p>
    <w:p>
      <w:pPr>
        <w:pStyle w:val="ListParagraph"/>
        <w:numPr>
          <w:ilvl w:val="0"/>
          <w:numId w:val="2"/>
        </w:numPr>
        <w:bidi/>
        <w:spacing w:after="40" w:before="40"/>
        <w:jc w:val="right"/>
      </w:pPr>
      <w:r>
        <w:rPr>
          <w:rFonts w:ascii="Arial" w:cs="Arial" w:eastAsia="Arial" w:hAnsi="Arial"/>
          <w:color w:val="2D2D2D"/>
          <w:sz w:val="21"/>
          <w:szCs w:val="21"/>
        </w:rPr>
        <w:t xml:space="preserve">مشترٍ يملك قوة تفاوضية على المورد — سيرفض الانضمام</w:t>
      </w:r>
    </w:p>
    <w:p>
      <w:pPr>
        <w:pStyle w:val="ListParagraph"/>
        <w:numPr>
          <w:ilvl w:val="0"/>
          <w:numId w:val="2"/>
        </w:numPr>
        <w:bidi/>
        <w:spacing w:after="40" w:before="40"/>
        <w:jc w:val="right"/>
      </w:pPr>
      <w:r>
        <w:rPr>
          <w:rFonts w:ascii="Arial" w:cs="Arial" w:eastAsia="Arial" w:hAnsi="Arial"/>
          <w:color w:val="2D2D2D"/>
          <w:sz w:val="21"/>
          <w:szCs w:val="21"/>
        </w:rPr>
        <w:t xml:space="preserve">يشتري مرة واحدة أو بشكل غير منتظم — لا قيمة متراكمة</w:t>
      </w:r>
    </w:p>
    <w:p>
      <w:pPr>
        <w:pBdr>
          <w:bottom w:val="single" w:color="E8771A" w:sz="6"/>
        </w:pBdr>
        <w:bidi/>
        <w:spacing w:after="120" w:before="360"/>
        <w:jc w:val="right"/>
      </w:pPr>
      <w:r>
        <w:rPr>
          <w:rFonts w:ascii="Arial" w:cs="Arial" w:eastAsia="Arial" w:hAnsi="Arial"/>
          <w:b/>
          <w:bCs/>
          <w:color w:val="1A1A1A"/>
          <w:sz w:val="28"/>
          <w:szCs w:val="28"/>
        </w:rPr>
        <w:t xml:space="preserve">٦. Go-To-Market للمشتري</w:t>
      </w:r>
    </w:p>
    <w:p>
      <w:pPr>
        <w:shd w:fill="1A1A1A" w:val="clear"/>
        <w:bidi/>
        <w:spacing w:after="120" w:before="160"/>
        <w:ind w:left="280" w:right="280"/>
        <w:jc w:val="right"/>
      </w:pPr>
      <w:r>
        <w:rPr>
          <w:rFonts w:ascii="Arial" w:cs="Arial" w:eastAsia="Arial" w:hAnsi="Arial"/>
          <w:b/>
          <w:bCs/>
          <w:color w:val="FFFFFF"/>
          <w:sz w:val="22"/>
          <w:szCs w:val="22"/>
        </w:rPr>
        <w:t xml:space="preserve">"ادخل المنصة — واحصل على حماية حقوقك وتمويل مشترياتك في آنٍ واحد"</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trPr>
        <w:tc>
          <w:tcPr>
            <w:tcW w:type="dxa" w:w="2800"/>
            <w:tcBorders>
              <w:top w:val="single" w:color="DDDDDD" w:sz="1"/>
              <w:left w:val="single" w:color="DDDDDD" w:sz="1"/>
              <w:bottom w:val="single" w:color="DDDDDD" w:sz="1"/>
              <w:right w:val="single" w:color="DDDDDD" w:sz="1"/>
            </w:tcBorders>
            <w:shd w:fill="1A1A1A" w:val="clear"/>
            <w:tcMar>
              <w:top w:type="dxa" w:w="100"/>
              <w:left w:type="dxa" w:w="160"/>
              <w:bottom w:type="dxa" w:w="100"/>
              <w:right w:type="dxa" w:w="160"/>
            </w:tcMar>
            <w:vAlign w:val="center"/>
          </w:tcPr>
          <w:p>
            <w:pPr>
              <w:bidi/>
              <w:jc w:val="right"/>
            </w:pPr>
            <w:r>
              <w:rPr>
                <w:rFonts w:ascii="Arial" w:cs="Arial" w:eastAsia="Arial" w:hAnsi="Arial"/>
                <w:b/>
                <w:bCs/>
                <w:color w:val="FFFFFF"/>
                <w:sz w:val="20"/>
                <w:szCs w:val="20"/>
              </w:rPr>
              <w:t xml:space="preserve">القناة</w:t>
            </w:r>
          </w:p>
        </w:tc>
        <w:tc>
          <w:tcPr>
            <w:tcW w:type="dxa" w:w="6838"/>
            <w:tcBorders>
              <w:top w:val="single" w:color="DDDDDD" w:sz="1"/>
              <w:left w:val="single" w:color="DDDDDD" w:sz="1"/>
              <w:bottom w:val="single" w:color="DDDDDD" w:sz="1"/>
              <w:right w:val="single" w:color="DDDDDD" w:sz="1"/>
            </w:tcBorders>
            <w:shd w:fill="1A1A1A" w:val="clear"/>
            <w:tcMar>
              <w:top w:type="dxa" w:w="100"/>
              <w:left w:type="dxa" w:w="160"/>
              <w:bottom w:type="dxa" w:w="100"/>
              <w:right w:type="dxa" w:w="160"/>
            </w:tcMar>
            <w:vAlign w:val="center"/>
          </w:tcPr>
          <w:p>
            <w:pPr>
              <w:bidi/>
              <w:jc w:val="right"/>
            </w:pPr>
            <w:r>
              <w:rPr>
                <w:rFonts w:ascii="Arial" w:cs="Arial" w:eastAsia="Arial" w:hAnsi="Arial"/>
                <w:b/>
                <w:bCs/>
                <w:color w:val="FFFFFF"/>
                <w:sz w:val="20"/>
                <w:szCs w:val="20"/>
              </w:rPr>
              <w:t xml:space="preserve">كيف تعمل؟</w:t>
            </w:r>
          </w:p>
        </w:tc>
      </w:tr>
      <w:tr>
        <w:tc>
          <w:tcPr>
            <w:tcW w:type="dxa" w:w="28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pPr>
              <w:bidi/>
              <w:jc w:val="right"/>
            </w:pPr>
            <w:r>
              <w:rPr>
                <w:rFonts w:ascii="Arial" w:cs="Arial" w:eastAsia="Arial" w:hAnsi="Arial"/>
                <w:b/>
                <w:bCs/>
                <w:color w:val="2D2D2D"/>
                <w:sz w:val="19"/>
                <w:szCs w:val="19"/>
              </w:rPr>
              <w:t xml:space="preserve">عبر المورد (الأقوى)</w:t>
            </w:r>
          </w:p>
        </w:tc>
        <w:tc>
          <w:tcPr>
            <w:tcW w:type="dxa" w:w="6838"/>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pPr>
              <w:bidi/>
              <w:jc w:val="right"/>
            </w:pPr>
            <w:r>
              <w:rPr>
                <w:rFonts w:ascii="Arial" w:cs="Arial" w:eastAsia="Arial" w:hAnsi="Arial"/>
                <w:b w:val="false"/>
                <w:bCs w:val="false"/>
                <w:color w:val="2D2D2D"/>
                <w:sz w:val="19"/>
                <w:szCs w:val="19"/>
              </w:rPr>
              <w:t xml:space="preserve">المورد يُبلغ مشتريه: 'من الآن البيع الآجل على محايد فقط'. فريقنا يتولى الـ Onboarding. متوسط الوقت: شهر.</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bidi/>
              <w:jc w:val="right"/>
            </w:pPr>
            <w:r>
              <w:rPr>
                <w:rFonts w:ascii="Arial" w:cs="Arial" w:eastAsia="Arial" w:hAnsi="Arial"/>
                <w:b/>
                <w:bCs/>
                <w:color w:val="2D2D2D"/>
                <w:sz w:val="19"/>
                <w:szCs w:val="19"/>
              </w:rPr>
              <w:t xml:space="preserve">بوابة التمويل</w:t>
            </w:r>
          </w:p>
        </w:tc>
        <w:tc>
          <w:tcPr>
            <w:tcW w:type="dxa" w:w="6838"/>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bidi/>
              <w:jc w:val="right"/>
            </w:pPr>
            <w:r>
              <w:rPr>
                <w:rFonts w:ascii="Arial" w:cs="Arial" w:eastAsia="Arial" w:hAnsi="Arial"/>
                <w:b w:val="false"/>
                <w:bCs w:val="false"/>
                <w:color w:val="2D2D2D"/>
                <w:sz w:val="19"/>
                <w:szCs w:val="19"/>
              </w:rPr>
              <w:t xml:space="preserve">نستهدف CFOs يعانون من ضغط سيولة. الرسالة: 'وفّر تمويلاً أرخص لمشترياتك الآجلة'. المشتري يدخل بدافع ذاتي.</w:t>
            </w:r>
          </w:p>
        </w:tc>
      </w:tr>
      <w:tr>
        <w:tc>
          <w:tcPr>
            <w:tcW w:type="dxa" w:w="28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pPr>
              <w:bidi/>
              <w:jc w:val="right"/>
            </w:pPr>
            <w:r>
              <w:rPr>
                <w:rFonts w:ascii="Arial" w:cs="Arial" w:eastAsia="Arial" w:hAnsi="Arial"/>
                <w:b/>
                <w:bCs/>
                <w:color w:val="2D2D2D"/>
                <w:sz w:val="19"/>
                <w:szCs w:val="19"/>
              </w:rPr>
              <w:t xml:space="preserve">عبر الممولين</w:t>
            </w:r>
          </w:p>
        </w:tc>
        <w:tc>
          <w:tcPr>
            <w:tcW w:type="dxa" w:w="6838"/>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pPr>
              <w:bidi/>
              <w:jc w:val="right"/>
            </w:pPr>
            <w:r>
              <w:rPr>
                <w:rFonts w:ascii="Arial" w:cs="Arial" w:eastAsia="Arial" w:hAnsi="Arial"/>
                <w:b w:val="false"/>
                <w:bCs w:val="false"/>
                <w:color w:val="2D2D2D"/>
                <w:sz w:val="19"/>
                <w:szCs w:val="19"/>
              </w:rPr>
              <w:t xml:space="preserve">إذا قبل الممول فواتير محايد، يشترط على عميله أن يكون موردوه على المنصة. الأدوار تنعكس.</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bidi/>
              <w:jc w:val="right"/>
            </w:pPr>
            <w:r>
              <w:rPr>
                <w:rFonts w:ascii="Arial" w:cs="Arial" w:eastAsia="Arial" w:hAnsi="Arial"/>
                <w:b/>
                <w:bCs/>
                <w:color w:val="2D2D2D"/>
                <w:sz w:val="19"/>
                <w:szCs w:val="19"/>
              </w:rPr>
              <w:t xml:space="preserve">الحوكمة والتدقيق</w:t>
            </w:r>
          </w:p>
        </w:tc>
        <w:tc>
          <w:tcPr>
            <w:tcW w:type="dxa" w:w="6838"/>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bidi/>
              <w:jc w:val="right"/>
            </w:pPr>
            <w:r>
              <w:rPr>
                <w:rFonts w:ascii="Arial" w:cs="Arial" w:eastAsia="Arial" w:hAnsi="Arial"/>
                <w:b w:val="false"/>
                <w:bCs w:val="false"/>
                <w:color w:val="2D2D2D"/>
                <w:sz w:val="19"/>
                <w:szCs w:val="19"/>
              </w:rPr>
              <w:t xml:space="preserve">استهداف مديري تدقيق ومالية في الشركات الكبيرة والمدرجة. الرسالة: 'حوّل ملف التدقيق من عبء إلى قوة'.</w:t>
            </w:r>
          </w:p>
        </w:tc>
      </w:tr>
    </w:tbl>
    <w:p>
      <w:pPr>
        <w:pageBreakBefore/>
        <w:pBdr>
          <w:right w:val="thick" w:color="E8771A" w:sz="24"/>
        </w:pBdr>
        <w:shd w:fill="1A1A1A" w:val="clear"/>
        <w:bidi/>
        <w:spacing w:after="240" w:before="0"/>
        <w:ind w:right="240"/>
        <w:jc w:val="right"/>
      </w:pPr>
      <w:r>
        <w:rPr>
          <w:rFonts w:ascii="Arial" w:cs="Arial" w:eastAsia="Arial" w:hAnsi="Arial"/>
          <w:b/>
          <w:bCs/>
          <w:color w:val="FFFFFF"/>
          <w:sz w:val="36"/>
          <w:szCs w:val="36"/>
        </w:rPr>
        <w:t xml:space="preserve">الجزء الثالث — المقارنة الاستراتيجية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319"/>
        <w:gridCol w:w="3319"/>
      </w:tblGrid>
      <w:tr>
        <w:trPr>
          <w:tblHeader/>
        </w:trPr>
        <w:tc>
          <w:tcPr>
            <w:tcW w:type="dxa" w:w="3000"/>
            <w:tcBorders>
              <w:top w:val="single" w:color="DDDDDD" w:sz="1"/>
              <w:left w:val="single" w:color="DDDDDD" w:sz="1"/>
              <w:bottom w:val="single" w:color="DDDDDD" w:sz="1"/>
              <w:right w:val="single" w:color="DDDDDD" w:sz="1"/>
            </w:tcBorders>
            <w:shd w:fill="1A1A1A" w:val="clear"/>
            <w:tcMar>
              <w:top w:type="dxa" w:w="100"/>
              <w:left w:type="dxa" w:w="160"/>
              <w:bottom w:type="dxa" w:w="100"/>
              <w:right w:type="dxa" w:w="160"/>
            </w:tcMar>
            <w:vAlign w:val="center"/>
          </w:tcPr>
          <w:p>
            <w:pPr>
              <w:bidi/>
              <w:jc w:val="right"/>
            </w:pPr>
            <w:r>
              <w:rPr>
                <w:rFonts w:ascii="Arial" w:cs="Arial" w:eastAsia="Arial" w:hAnsi="Arial"/>
                <w:b/>
                <w:bCs/>
                <w:color w:val="FFFFFF"/>
                <w:sz w:val="20"/>
                <w:szCs w:val="20"/>
              </w:rPr>
              <w:t xml:space="preserve">المحور</w:t>
            </w:r>
          </w:p>
        </w:tc>
        <w:tc>
          <w:tcPr>
            <w:tcW w:type="dxa" w:w="3319"/>
            <w:tcBorders>
              <w:top w:val="single" w:color="DDDDDD" w:sz="1"/>
              <w:left w:val="single" w:color="DDDDDD" w:sz="1"/>
              <w:bottom w:val="single" w:color="DDDDDD" w:sz="1"/>
              <w:right w:val="single" w:color="DDDDDD" w:sz="1"/>
            </w:tcBorders>
            <w:shd w:fill="1A1A1A" w:val="clear"/>
            <w:tcMar>
              <w:top w:type="dxa" w:w="100"/>
              <w:left w:type="dxa" w:w="160"/>
              <w:bottom w:type="dxa" w:w="100"/>
              <w:right w:type="dxa" w:w="160"/>
            </w:tcMar>
            <w:vAlign w:val="center"/>
          </w:tcPr>
          <w:p>
            <w:pPr>
              <w:bidi/>
              <w:jc w:val="right"/>
            </w:pPr>
            <w:r>
              <w:rPr>
                <w:rFonts w:ascii="Arial" w:cs="Arial" w:eastAsia="Arial" w:hAnsi="Arial"/>
                <w:b/>
                <w:bCs/>
                <w:color w:val="FFFFFF"/>
                <w:sz w:val="20"/>
                <w:szCs w:val="20"/>
              </w:rPr>
              <w:t xml:space="preserve">المورد</w:t>
            </w:r>
          </w:p>
        </w:tc>
        <w:tc>
          <w:tcPr>
            <w:tcW w:type="dxa" w:w="3319"/>
            <w:tcBorders>
              <w:top w:val="single" w:color="DDDDDD" w:sz="1"/>
              <w:left w:val="single" w:color="DDDDDD" w:sz="1"/>
              <w:bottom w:val="single" w:color="DDDDDD" w:sz="1"/>
              <w:right w:val="single" w:color="DDDDDD" w:sz="1"/>
            </w:tcBorders>
            <w:shd w:fill="1A1A1A" w:val="clear"/>
            <w:tcMar>
              <w:top w:type="dxa" w:w="100"/>
              <w:left w:type="dxa" w:w="160"/>
              <w:bottom w:type="dxa" w:w="100"/>
              <w:right w:type="dxa" w:w="160"/>
            </w:tcMar>
            <w:vAlign w:val="center"/>
          </w:tcPr>
          <w:p>
            <w:pPr>
              <w:bidi/>
              <w:jc w:val="right"/>
            </w:pPr>
            <w:r>
              <w:rPr>
                <w:rFonts w:ascii="Arial" w:cs="Arial" w:eastAsia="Arial" w:hAnsi="Arial"/>
                <w:b/>
                <w:bCs/>
                <w:color w:val="FFFFFF"/>
                <w:sz w:val="20"/>
                <w:szCs w:val="20"/>
              </w:rPr>
              <w:t xml:space="preserve">المشتري</w:t>
            </w:r>
          </w:p>
        </w:tc>
      </w:tr>
      <w:tr>
        <w:tc>
          <w:tcPr>
            <w:tcW w:type="dxa" w:w="30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pPr>
              <w:bidi/>
              <w:jc w:val="right"/>
            </w:pPr>
            <w:r>
              <w:rPr>
                <w:rFonts w:ascii="Arial" w:cs="Arial" w:eastAsia="Arial" w:hAnsi="Arial"/>
                <w:b/>
                <w:bCs/>
                <w:color w:val="2D2D2D"/>
                <w:sz w:val="19"/>
                <w:szCs w:val="19"/>
              </w:rPr>
              <w:t xml:space="preserve">هل يدفع؟</w:t>
            </w:r>
          </w:p>
        </w:tc>
        <w:tc>
          <w:tcPr>
            <w:tcW w:type="dxa" w:w="3319"/>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pPr>
              <w:bidi/>
              <w:jc w:val="right"/>
            </w:pPr>
            <w:r>
              <w:rPr>
                <w:rFonts w:ascii="Arial" w:cs="Arial" w:eastAsia="Arial" w:hAnsi="Arial"/>
                <w:b w:val="false"/>
                <w:bCs w:val="false"/>
                <w:color w:val="2D2D2D"/>
                <w:sz w:val="19"/>
                <w:szCs w:val="19"/>
              </w:rPr>
              <w:t xml:space="preserve">نعم — الاشتراك السنوي</w:t>
            </w:r>
          </w:p>
        </w:tc>
        <w:tc>
          <w:tcPr>
            <w:tcW w:type="dxa" w:w="3319"/>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pPr>
              <w:bidi/>
              <w:jc w:val="right"/>
            </w:pPr>
            <w:r>
              <w:rPr>
                <w:rFonts w:ascii="Arial" w:cs="Arial" w:eastAsia="Arial" w:hAnsi="Arial"/>
                <w:b w:val="false"/>
                <w:bCs w:val="false"/>
                <w:color w:val="2D2D2D"/>
                <w:sz w:val="19"/>
                <w:szCs w:val="19"/>
              </w:rPr>
              <w:t xml:space="preserve">لا — يدخل مجاناً</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bidi/>
              <w:jc w:val="right"/>
            </w:pPr>
            <w:r>
              <w:rPr>
                <w:rFonts w:ascii="Arial" w:cs="Arial" w:eastAsia="Arial" w:hAnsi="Arial"/>
                <w:b/>
                <w:bCs/>
                <w:color w:val="2D2D2D"/>
                <w:sz w:val="19"/>
                <w:szCs w:val="19"/>
              </w:rPr>
              <w:t xml:space="preserve">الدافع الرئيسي</w:t>
            </w:r>
          </w:p>
        </w:tc>
        <w:tc>
          <w:tcPr>
            <w:tcW w:type="dxa" w:w="3319"/>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bidi/>
              <w:jc w:val="right"/>
            </w:pPr>
            <w:r>
              <w:rPr>
                <w:rFonts w:ascii="Arial" w:cs="Arial" w:eastAsia="Arial" w:hAnsi="Arial"/>
                <w:b w:val="false"/>
                <w:bCs w:val="false"/>
                <w:color w:val="2D2D2D"/>
                <w:sz w:val="19"/>
                <w:szCs w:val="19"/>
              </w:rPr>
              <w:t xml:space="preserve">حماية ذممه + سيولة + إنفاذ قانوني</w:t>
            </w:r>
          </w:p>
        </w:tc>
        <w:tc>
          <w:tcPr>
            <w:tcW w:type="dxa" w:w="3319"/>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bidi/>
              <w:jc w:val="right"/>
            </w:pPr>
            <w:r>
              <w:rPr>
                <w:rFonts w:ascii="Arial" w:cs="Arial" w:eastAsia="Arial" w:hAnsi="Arial"/>
                <w:b w:val="false"/>
                <w:bCs w:val="false"/>
                <w:color w:val="2D2D2D"/>
                <w:sz w:val="19"/>
                <w:szCs w:val="19"/>
              </w:rPr>
              <w:t xml:space="preserve">تمويل مشترياته + حماية حقوقه</w:t>
            </w:r>
          </w:p>
        </w:tc>
      </w:tr>
      <w:tr>
        <w:tc>
          <w:tcPr>
            <w:tcW w:type="dxa" w:w="30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pPr>
              <w:bidi/>
              <w:jc w:val="right"/>
            </w:pPr>
            <w:r>
              <w:rPr>
                <w:rFonts w:ascii="Arial" w:cs="Arial" w:eastAsia="Arial" w:hAnsi="Arial"/>
                <w:b/>
                <w:bCs/>
                <w:color w:val="2D2D2D"/>
                <w:sz w:val="19"/>
                <w:szCs w:val="19"/>
              </w:rPr>
              <w:t xml:space="preserve">أكبر مخاطرة</w:t>
            </w:r>
          </w:p>
        </w:tc>
        <w:tc>
          <w:tcPr>
            <w:tcW w:type="dxa" w:w="3319"/>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pPr>
              <w:bidi/>
              <w:jc w:val="right"/>
            </w:pPr>
            <w:r>
              <w:rPr>
                <w:rFonts w:ascii="Arial" w:cs="Arial" w:eastAsia="Arial" w:hAnsi="Arial"/>
                <w:b w:val="false"/>
                <w:bCs w:val="false"/>
                <w:color w:val="2D2D2D"/>
                <w:sz w:val="19"/>
                <w:szCs w:val="19"/>
              </w:rPr>
              <w:t xml:space="preserve">خسارة مالية في ديون غير موثقة</w:t>
            </w:r>
          </w:p>
        </w:tc>
        <w:tc>
          <w:tcPr>
            <w:tcW w:type="dxa" w:w="3319"/>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pPr>
              <w:bidi/>
              <w:jc w:val="right"/>
            </w:pPr>
            <w:r>
              <w:rPr>
                <w:rFonts w:ascii="Arial" w:cs="Arial" w:eastAsia="Arial" w:hAnsi="Arial"/>
                <w:b w:val="false"/>
                <w:bCs w:val="false"/>
                <w:color w:val="2D2D2D"/>
                <w:sz w:val="19"/>
                <w:szCs w:val="19"/>
              </w:rPr>
              <w:t xml:space="preserve">دفع مقابل بضاعة لم تُستلم كاملاً</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bidi/>
              <w:jc w:val="right"/>
            </w:pPr>
            <w:r>
              <w:rPr>
                <w:rFonts w:ascii="Arial" w:cs="Arial" w:eastAsia="Arial" w:hAnsi="Arial"/>
                <w:b/>
                <w:bCs/>
                <w:color w:val="2D2D2D"/>
                <w:sz w:val="19"/>
                <w:szCs w:val="19"/>
              </w:rPr>
              <w:t xml:space="preserve">القيمة الأعمق</w:t>
            </w:r>
          </w:p>
        </w:tc>
        <w:tc>
          <w:tcPr>
            <w:tcW w:type="dxa" w:w="3319"/>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bidi/>
              <w:jc w:val="right"/>
            </w:pPr>
            <w:r>
              <w:rPr>
                <w:rFonts w:ascii="Arial" w:cs="Arial" w:eastAsia="Arial" w:hAnsi="Arial"/>
                <w:b w:val="false"/>
                <w:bCs w:val="false"/>
                <w:color w:val="2D2D2D"/>
                <w:sz w:val="19"/>
                <w:szCs w:val="19"/>
              </w:rPr>
              <w:t xml:space="preserve">تحويل الذمم من رصيد نائم إلى أصل تمويلي</w:t>
            </w:r>
          </w:p>
        </w:tc>
        <w:tc>
          <w:tcPr>
            <w:tcW w:type="dxa" w:w="3319"/>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bidi/>
              <w:jc w:val="right"/>
            </w:pPr>
            <w:r>
              <w:rPr>
                <w:rFonts w:ascii="Arial" w:cs="Arial" w:eastAsia="Arial" w:hAnsi="Arial"/>
                <w:b w:val="false"/>
                <w:bCs w:val="false"/>
                <w:color w:val="2D2D2D"/>
                <w:sz w:val="19"/>
                <w:szCs w:val="19"/>
              </w:rPr>
              <w:t xml:space="preserve">بيانات أداء الموردين + قوة تفاوضية حقيقية</w:t>
            </w:r>
          </w:p>
        </w:tc>
      </w:tr>
      <w:tr>
        <w:tc>
          <w:tcPr>
            <w:tcW w:type="dxa" w:w="30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pPr>
              <w:bidi/>
              <w:jc w:val="right"/>
            </w:pPr>
            <w:r>
              <w:rPr>
                <w:rFonts w:ascii="Arial" w:cs="Arial" w:eastAsia="Arial" w:hAnsi="Arial"/>
                <w:b/>
                <w:bCs/>
                <w:color w:val="2D2D2D"/>
                <w:sz w:val="19"/>
                <w:szCs w:val="19"/>
              </w:rPr>
              <w:t xml:space="preserve">مقاومة التغيير</w:t>
            </w:r>
          </w:p>
        </w:tc>
        <w:tc>
          <w:tcPr>
            <w:tcW w:type="dxa" w:w="3319"/>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pPr>
              <w:bidi/>
              <w:jc w:val="right"/>
            </w:pPr>
            <w:r>
              <w:rPr>
                <w:rFonts w:ascii="Arial" w:cs="Arial" w:eastAsia="Arial" w:hAnsi="Arial"/>
                <w:b w:val="false"/>
                <w:bCs w:val="false"/>
                <w:color w:val="2D2D2D"/>
                <w:sz w:val="19"/>
                <w:szCs w:val="19"/>
              </w:rPr>
              <w:t xml:space="preserve">خوف من تعقيد العمليات + تردد العملاء</w:t>
            </w:r>
          </w:p>
        </w:tc>
        <w:tc>
          <w:tcPr>
            <w:tcW w:type="dxa" w:w="3319"/>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pPr>
              <w:bidi/>
              <w:jc w:val="right"/>
            </w:pPr>
            <w:r>
              <w:rPr>
                <w:rFonts w:ascii="Arial" w:cs="Arial" w:eastAsia="Arial" w:hAnsi="Arial"/>
                <w:b w:val="false"/>
                <w:bCs w:val="false"/>
                <w:color w:val="2D2D2D"/>
                <w:sz w:val="19"/>
                <w:szCs w:val="19"/>
              </w:rPr>
              <w:t xml:space="preserve">خوف من المساءلة + فقدان مرونة الإنكار</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bidi/>
              <w:jc w:val="right"/>
            </w:pPr>
            <w:r>
              <w:rPr>
                <w:rFonts w:ascii="Arial" w:cs="Arial" w:eastAsia="Arial" w:hAnsi="Arial"/>
                <w:b/>
                <w:bCs/>
                <w:color w:val="2D2D2D"/>
                <w:sz w:val="19"/>
                <w:szCs w:val="19"/>
              </w:rPr>
              <w:t xml:space="preserve">صاحب القرار</w:t>
            </w:r>
          </w:p>
        </w:tc>
        <w:tc>
          <w:tcPr>
            <w:tcW w:type="dxa" w:w="3319"/>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bidi/>
              <w:jc w:val="right"/>
            </w:pPr>
            <w:r>
              <w:rPr>
                <w:rFonts w:ascii="Arial" w:cs="Arial" w:eastAsia="Arial" w:hAnsi="Arial"/>
                <w:b w:val="false"/>
                <w:bCs w:val="false"/>
                <w:color w:val="2D2D2D"/>
                <w:sz w:val="19"/>
                <w:szCs w:val="19"/>
              </w:rPr>
              <w:t xml:space="preserve">CEO + CFO معاً</w:t>
            </w:r>
          </w:p>
        </w:tc>
        <w:tc>
          <w:tcPr>
            <w:tcW w:type="dxa" w:w="3319"/>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bidi/>
              <w:jc w:val="right"/>
            </w:pPr>
            <w:r>
              <w:rPr>
                <w:rFonts w:ascii="Arial" w:cs="Arial" w:eastAsia="Arial" w:hAnsi="Arial"/>
                <w:b w:val="false"/>
                <w:bCs w:val="false"/>
                <w:color w:val="2D2D2D"/>
                <w:sz w:val="19"/>
                <w:szCs w:val="19"/>
              </w:rPr>
              <w:t xml:space="preserve">CFO + مدير المشتريات</w:t>
            </w:r>
          </w:p>
        </w:tc>
      </w:tr>
      <w:tr>
        <w:tc>
          <w:tcPr>
            <w:tcW w:type="dxa" w:w="30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pPr>
              <w:bidi/>
              <w:jc w:val="right"/>
            </w:pPr>
            <w:r>
              <w:rPr>
                <w:rFonts w:ascii="Arial" w:cs="Arial" w:eastAsia="Arial" w:hAnsi="Arial"/>
                <w:b/>
                <w:bCs/>
                <w:color w:val="2D2D2D"/>
                <w:sz w:val="19"/>
                <w:szCs w:val="19"/>
              </w:rPr>
              <w:t xml:space="preserve">دورة الإقناع</w:t>
            </w:r>
          </w:p>
        </w:tc>
        <w:tc>
          <w:tcPr>
            <w:tcW w:type="dxa" w:w="3319"/>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pPr>
              <w:bidi/>
              <w:jc w:val="right"/>
            </w:pPr>
            <w:r>
              <w:rPr>
                <w:rFonts w:ascii="Arial" w:cs="Arial" w:eastAsia="Arial" w:hAnsi="Arial"/>
                <w:b w:val="false"/>
                <w:bCs w:val="false"/>
                <w:color w:val="2D2D2D"/>
                <w:sz w:val="19"/>
                <w:szCs w:val="19"/>
              </w:rPr>
              <w:t xml:space="preserve">٤٥ — ٩٠ يوماً</w:t>
            </w:r>
          </w:p>
        </w:tc>
        <w:tc>
          <w:tcPr>
            <w:tcW w:type="dxa" w:w="3319"/>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pPr>
              <w:bidi/>
              <w:jc w:val="right"/>
            </w:pPr>
            <w:r>
              <w:rPr>
                <w:rFonts w:ascii="Arial" w:cs="Arial" w:eastAsia="Arial" w:hAnsi="Arial"/>
                <w:b w:val="false"/>
                <w:bCs w:val="false"/>
                <w:color w:val="2D2D2D"/>
                <w:sz w:val="19"/>
                <w:szCs w:val="19"/>
              </w:rPr>
              <w:t xml:space="preserve">أسبوعان — شهر</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bidi/>
              <w:jc w:val="right"/>
            </w:pPr>
            <w:r>
              <w:rPr>
                <w:rFonts w:ascii="Arial" w:cs="Arial" w:eastAsia="Arial" w:hAnsi="Arial"/>
                <w:b/>
                <w:bCs/>
                <w:color w:val="2D2D2D"/>
                <w:sz w:val="19"/>
                <w:szCs w:val="19"/>
              </w:rPr>
              <w:t xml:space="preserve">أداة الإغلاق الأقوى</w:t>
            </w:r>
          </w:p>
        </w:tc>
        <w:tc>
          <w:tcPr>
            <w:tcW w:type="dxa" w:w="3319"/>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bidi/>
              <w:jc w:val="right"/>
            </w:pPr>
            <w:r>
              <w:rPr>
                <w:rFonts w:ascii="Arial" w:cs="Arial" w:eastAsia="Arial" w:hAnsi="Arial"/>
                <w:b w:val="false"/>
                <w:bCs w:val="false"/>
                <w:color w:val="2D2D2D"/>
                <w:sz w:val="19"/>
                <w:szCs w:val="19"/>
              </w:rPr>
              <w:t xml:space="preserve">ديمو بسيناريو حقيقي + حزمة قانونية</w:t>
            </w:r>
          </w:p>
        </w:tc>
        <w:tc>
          <w:tcPr>
            <w:tcW w:type="dxa" w:w="3319"/>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bidi/>
              <w:jc w:val="right"/>
            </w:pPr>
            <w:r>
              <w:rPr>
                <w:rFonts w:ascii="Arial" w:cs="Arial" w:eastAsia="Arial" w:hAnsi="Arial"/>
                <w:b w:val="false"/>
                <w:bCs w:val="false"/>
                <w:color w:val="2D2D2D"/>
                <w:sz w:val="19"/>
                <w:szCs w:val="19"/>
              </w:rPr>
              <w:t xml:space="preserve">عرض تمويل مشتريات + ديمو سريع</w:t>
            </w:r>
          </w:p>
        </w:tc>
      </w:tr>
      <w:tr>
        <w:tc>
          <w:tcPr>
            <w:tcW w:type="dxa" w:w="30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pPr>
              <w:bidi/>
              <w:jc w:val="right"/>
            </w:pPr>
            <w:r>
              <w:rPr>
                <w:rFonts w:ascii="Arial" w:cs="Arial" w:eastAsia="Arial" w:hAnsi="Arial"/>
                <w:b/>
                <w:bCs/>
                <w:color w:val="2D2D2D"/>
                <w:sz w:val="19"/>
                <w:szCs w:val="19"/>
              </w:rPr>
              <w:t xml:space="preserve">أين تضيع الصفقة؟</w:t>
            </w:r>
          </w:p>
        </w:tc>
        <w:tc>
          <w:tcPr>
            <w:tcW w:type="dxa" w:w="3319"/>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pPr>
              <w:bidi/>
              <w:jc w:val="right"/>
            </w:pPr>
            <w:r>
              <w:rPr>
                <w:rFonts w:ascii="Arial" w:cs="Arial" w:eastAsia="Arial" w:hAnsi="Arial"/>
                <w:b w:val="false"/>
                <w:bCs w:val="false"/>
                <w:color w:val="2D2D2D"/>
                <w:sz w:val="19"/>
                <w:szCs w:val="19"/>
              </w:rPr>
              <w:t xml:space="preserve">في مرحلة المراجعة القانونية المطوّلة</w:t>
            </w:r>
          </w:p>
        </w:tc>
        <w:tc>
          <w:tcPr>
            <w:tcW w:type="dxa" w:w="3319"/>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pPr>
              <w:bidi/>
              <w:jc w:val="right"/>
            </w:pPr>
            <w:r>
              <w:rPr>
                <w:rFonts w:ascii="Arial" w:cs="Arial" w:eastAsia="Arial" w:hAnsi="Arial"/>
                <w:b w:val="false"/>
                <w:bCs w:val="false"/>
                <w:color w:val="2D2D2D"/>
                <w:sz w:val="19"/>
                <w:szCs w:val="19"/>
              </w:rPr>
              <w:t xml:space="preserve">في رفض الانضمام قبل الفهم</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bidi/>
              <w:jc w:val="right"/>
            </w:pPr>
            <w:r>
              <w:rPr>
                <w:rFonts w:ascii="Arial" w:cs="Arial" w:eastAsia="Arial" w:hAnsi="Arial"/>
                <w:b/>
                <w:bCs/>
                <w:color w:val="2D2D2D"/>
                <w:sz w:val="19"/>
                <w:szCs w:val="19"/>
              </w:rPr>
              <w:t xml:space="preserve">الرسالة الأساسية</w:t>
            </w:r>
          </w:p>
        </w:tc>
        <w:tc>
          <w:tcPr>
            <w:tcW w:type="dxa" w:w="3319"/>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bidi/>
              <w:jc w:val="right"/>
            </w:pPr>
            <w:r>
              <w:rPr>
                <w:rFonts w:ascii="Arial" w:cs="Arial" w:eastAsia="Arial" w:hAnsi="Arial"/>
                <w:b w:val="false"/>
                <w:bCs w:val="false"/>
                <w:color w:val="2D2D2D"/>
                <w:sz w:val="19"/>
                <w:szCs w:val="19"/>
              </w:rPr>
              <w:t xml:space="preserve">بِع آجلاً بأمان النقد</w:t>
            </w:r>
          </w:p>
        </w:tc>
        <w:tc>
          <w:tcPr>
            <w:tcW w:type="dxa" w:w="3319"/>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bidi/>
              <w:jc w:val="right"/>
            </w:pPr>
            <w:r>
              <w:rPr>
                <w:rFonts w:ascii="Arial" w:cs="Arial" w:eastAsia="Arial" w:hAnsi="Arial"/>
                <w:b w:val="false"/>
                <w:bCs w:val="false"/>
                <w:color w:val="2D2D2D"/>
                <w:sz w:val="19"/>
                <w:szCs w:val="19"/>
              </w:rPr>
              <w:t xml:space="preserve">احمِ حقوقك وموّل مشترياتك</w:t>
            </w:r>
          </w:p>
        </w:tc>
      </w:tr>
    </w:tbl>
    <w:p>
      <w:pPr>
        <w:pageBreakBefore/>
        <w:pBdr>
          <w:right w:val="thick" w:color="E8771A" w:sz="24"/>
        </w:pBdr>
        <w:shd w:fill="1A1A1A" w:val="clear"/>
        <w:bidi/>
        <w:spacing w:after="240" w:before="0"/>
        <w:ind w:right="240"/>
        <w:jc w:val="right"/>
      </w:pPr>
      <w:r>
        <w:rPr>
          <w:rFonts w:ascii="Arial" w:cs="Arial" w:eastAsia="Arial" w:hAnsi="Arial"/>
          <w:b/>
          <w:bCs/>
          <w:color w:val="FFFFFF"/>
          <w:sz w:val="36"/>
          <w:szCs w:val="36"/>
        </w:rPr>
        <w:t xml:space="preserve">الجزء الرابع — Insights العميقة</w:t>
      </w:r>
    </w:p>
    <w:p>
      <w:pPr>
        <w:pBdr>
          <w:bottom w:val="single" w:color="E8771A" w:sz="6"/>
        </w:pBdr>
        <w:bidi/>
        <w:spacing w:after="120" w:before="360"/>
        <w:jc w:val="right"/>
      </w:pPr>
      <w:r>
        <w:rPr>
          <w:rFonts w:ascii="Arial" w:cs="Arial" w:eastAsia="Arial" w:hAnsi="Arial"/>
          <w:b/>
          <w:bCs/>
          <w:color w:val="1A1A1A"/>
          <w:sz w:val="28"/>
          <w:szCs w:val="28"/>
        </w:rPr>
        <w:t xml:space="preserve">أهم Insight غير واضح</w:t>
      </w:r>
    </w:p>
    <w:p>
      <w:pPr>
        <w:shd w:fill="1A1A1A" w:val="clear"/>
        <w:bidi/>
        <w:spacing w:after="120" w:before="160"/>
        <w:ind w:left="280" w:right="280"/>
        <w:jc w:val="right"/>
      </w:pPr>
      <w:r>
        <w:rPr>
          <w:rFonts w:ascii="Arial" w:cs="Arial" w:eastAsia="Arial" w:hAnsi="Arial"/>
          <w:b/>
          <w:bCs/>
          <w:color w:val="FFFFFF"/>
          <w:sz w:val="22"/>
          <w:szCs w:val="22"/>
        </w:rPr>
        <w:t xml:space="preserve">محايد لا يبيع للمشتري — بل يبيع للمورد 'القدرة على إجبار مشتريه'. من لا يملك هذه القدرة التفاوضية → Anti-ICP مخفي.</w:t>
      </w:r>
    </w:p>
    <w:p>
      <w:pPr>
        <w:bidi/>
        <w:spacing w:after="60" w:before="60"/>
        <w:jc w:val="right"/>
      </w:pPr>
      <w:r>
        <w:rPr>
          <w:rFonts w:ascii="Arial" w:cs="Arial" w:eastAsia="Arial" w:hAnsi="Arial"/>
          <w:b w:val="false"/>
          <w:bCs w:val="false"/>
          <w:color w:val="2D2D2D"/>
          <w:sz w:val="21"/>
          <w:szCs w:val="21"/>
        </w:rPr>
        <w:t xml:space="preserve">معظم الفشل في التبني يأتي من موردين يشتركون لكنهم لا يملكون قوة كافية على مشتريهم. الحل: قبل البيع، اسأل سؤالاً واحداً: هل مشتريك يحتاجك أكثر مما تحتاجه؟</w:t>
      </w:r>
    </w:p>
    <w:p>
      <w:pPr>
        <w:pBdr>
          <w:bottom w:val="single" w:color="E8771A" w:sz="6"/>
        </w:pBdr>
        <w:bidi/>
        <w:spacing w:after="120" w:before="360"/>
        <w:jc w:val="right"/>
      </w:pPr>
      <w:r>
        <w:rPr>
          <w:rFonts w:ascii="Arial" w:cs="Arial" w:eastAsia="Arial" w:hAnsi="Arial"/>
          <w:b/>
          <w:bCs/>
          <w:color w:val="1A1A1A"/>
          <w:sz w:val="28"/>
          <w:szCs w:val="28"/>
        </w:rPr>
        <w:t xml:space="preserve">أين تضيع الصفقة؟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DDDDDD" w:sz="1"/>
              <w:left w:val="single" w:color="DDDDDD" w:sz="1"/>
              <w:bottom w:val="single" w:color="DDDDDD" w:sz="1"/>
              <w:right w:val="single" w:color="DDDDDD" w:sz="1"/>
            </w:tcBorders>
            <w:shd w:fill="1A1A1A" w:val="clear"/>
            <w:tcMar>
              <w:top w:type="dxa" w:w="100"/>
              <w:left w:type="dxa" w:w="160"/>
              <w:bottom w:type="dxa" w:w="100"/>
              <w:right w:type="dxa" w:w="160"/>
            </w:tcMar>
            <w:vAlign w:val="center"/>
          </w:tcPr>
          <w:p>
            <w:pPr>
              <w:bidi/>
              <w:jc w:val="right"/>
            </w:pPr>
            <w:r>
              <w:rPr>
                <w:rFonts w:ascii="Arial" w:cs="Arial" w:eastAsia="Arial" w:hAnsi="Arial"/>
                <w:b/>
                <w:bCs/>
                <w:color w:val="FFFFFF"/>
                <w:sz w:val="20"/>
                <w:szCs w:val="20"/>
              </w:rPr>
              <w:t xml:space="preserve">نقطة الضياع</w:t>
            </w:r>
          </w:p>
        </w:tc>
        <w:tc>
          <w:tcPr>
            <w:tcW w:type="dxa" w:w="6438"/>
            <w:tcBorders>
              <w:top w:val="single" w:color="DDDDDD" w:sz="1"/>
              <w:left w:val="single" w:color="DDDDDD" w:sz="1"/>
              <w:bottom w:val="single" w:color="DDDDDD" w:sz="1"/>
              <w:right w:val="single" w:color="DDDDDD" w:sz="1"/>
            </w:tcBorders>
            <w:shd w:fill="1A1A1A" w:val="clear"/>
            <w:tcMar>
              <w:top w:type="dxa" w:w="100"/>
              <w:left w:type="dxa" w:w="160"/>
              <w:bottom w:type="dxa" w:w="100"/>
              <w:right w:type="dxa" w:w="160"/>
            </w:tcMar>
            <w:vAlign w:val="center"/>
          </w:tcPr>
          <w:p>
            <w:pPr>
              <w:bidi/>
              <w:jc w:val="right"/>
            </w:pPr>
            <w:r>
              <w:rPr>
                <w:rFonts w:ascii="Arial" w:cs="Arial" w:eastAsia="Arial" w:hAnsi="Arial"/>
                <w:b/>
                <w:bCs/>
                <w:color w:val="FFFFFF"/>
                <w:sz w:val="20"/>
                <w:szCs w:val="20"/>
              </w:rPr>
              <w:t xml:space="preserve">السبب الحقيقي والحل</w:t>
            </w:r>
          </w:p>
        </w:tc>
      </w:tr>
      <w:tr>
        <w:tc>
          <w:tcPr>
            <w:tcW w:type="dxa" w:w="32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pPr>
              <w:bidi/>
              <w:jc w:val="right"/>
            </w:pPr>
            <w:r>
              <w:rPr>
                <w:rFonts w:ascii="Arial" w:cs="Arial" w:eastAsia="Arial" w:hAnsi="Arial"/>
                <w:b/>
                <w:bCs/>
                <w:color w:val="2D2D2D"/>
                <w:sz w:val="19"/>
                <w:szCs w:val="19"/>
              </w:rPr>
              <w:t xml:space="preserve">المراجعة القانونية تطول</w:t>
            </w:r>
          </w:p>
        </w:tc>
        <w:tc>
          <w:tcPr>
            <w:tcW w:type="dxa" w:w="6438"/>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pPr>
              <w:bidi/>
              <w:jc w:val="right"/>
            </w:pPr>
            <w:r>
              <w:rPr>
                <w:rFonts w:ascii="Arial" w:cs="Arial" w:eastAsia="Arial" w:hAnsi="Arial"/>
                <w:b w:val="false"/>
                <w:bCs w:val="false"/>
                <w:color w:val="2D2D2D"/>
                <w:sz w:val="19"/>
                <w:szCs w:val="19"/>
              </w:rPr>
              <w:t xml:space="preserve">الشؤون القانونية تبدأ من الصفر في كل صفقة. الحل: حزمة قانونية جاهزة تُسلَّم مع العرض</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bidi/>
              <w:jc w:val="right"/>
            </w:pPr>
            <w:r>
              <w:rPr>
                <w:rFonts w:ascii="Arial" w:cs="Arial" w:eastAsia="Arial" w:hAnsi="Arial"/>
                <w:b/>
                <w:bCs/>
                <w:color w:val="2D2D2D"/>
                <w:sz w:val="19"/>
                <w:szCs w:val="19"/>
              </w:rPr>
              <w:t xml:space="preserve">المشتري يرفض الانضمام</w:t>
            </w:r>
          </w:p>
        </w:tc>
        <w:tc>
          <w:tcPr>
            <w:tcW w:type="dxa" w:w="6438"/>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bidi/>
              <w:jc w:val="right"/>
            </w:pPr>
            <w:r>
              <w:rPr>
                <w:rFonts w:ascii="Arial" w:cs="Arial" w:eastAsia="Arial" w:hAnsi="Arial"/>
                <w:b w:val="false"/>
                <w:bCs w:val="false"/>
                <w:color w:val="2D2D2D"/>
                <w:sz w:val="19"/>
                <w:szCs w:val="19"/>
              </w:rPr>
              <w:t xml:space="preserve">لم يُشرح له الفائدة — يرى المنصة قيداً. الحل: اعرض التمويل والحماية قبل أي حديث عن الإجراءات</w:t>
            </w:r>
          </w:p>
        </w:tc>
      </w:tr>
      <w:tr>
        <w:tc>
          <w:tcPr>
            <w:tcW w:type="dxa" w:w="32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pPr>
              <w:bidi/>
              <w:jc w:val="right"/>
            </w:pPr>
            <w:r>
              <w:rPr>
                <w:rFonts w:ascii="Arial" w:cs="Arial" w:eastAsia="Arial" w:hAnsi="Arial"/>
                <w:b/>
                <w:bCs/>
                <w:color w:val="2D2D2D"/>
                <w:sz w:val="19"/>
                <w:szCs w:val="19"/>
              </w:rPr>
              <w:t xml:space="preserve">CFO غير مقتنع</w:t>
            </w:r>
          </w:p>
        </w:tc>
        <w:tc>
          <w:tcPr>
            <w:tcW w:type="dxa" w:w="6438"/>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pPr>
              <w:bidi/>
              <w:jc w:val="right"/>
            </w:pPr>
            <w:r>
              <w:rPr>
                <w:rFonts w:ascii="Arial" w:cs="Arial" w:eastAsia="Arial" w:hAnsi="Arial"/>
                <w:b w:val="false"/>
                <w:bCs w:val="false"/>
                <w:color w:val="2D2D2D"/>
                <w:sz w:val="19"/>
                <w:szCs w:val="19"/>
              </w:rPr>
              <w:t xml:space="preserve">يريد أرقاماً لا وعوداً. الحل: أحضر حالة عميل حقيقي بأرقام ذمم وتحسين سيولة</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bidi/>
              <w:jc w:val="right"/>
            </w:pPr>
            <w:r>
              <w:rPr>
                <w:rFonts w:ascii="Arial" w:cs="Arial" w:eastAsia="Arial" w:hAnsi="Arial"/>
                <w:b/>
                <w:bCs/>
                <w:color w:val="2D2D2D"/>
                <w:sz w:val="19"/>
                <w:szCs w:val="19"/>
              </w:rPr>
              <w:t xml:space="preserve">الاستخدام ينخفض بعد الاشتراك</w:t>
            </w:r>
          </w:p>
        </w:tc>
        <w:tc>
          <w:tcPr>
            <w:tcW w:type="dxa" w:w="6438"/>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bidi/>
              <w:jc w:val="right"/>
            </w:pPr>
            <w:r>
              <w:rPr>
                <w:rFonts w:ascii="Arial" w:cs="Arial" w:eastAsia="Arial" w:hAnsi="Arial"/>
                <w:b w:val="false"/>
                <w:bCs w:val="false"/>
                <w:color w:val="2D2D2D"/>
                <w:sz w:val="19"/>
                <w:szCs w:val="19"/>
              </w:rPr>
              <w:t xml:space="preserve">المورد اشترك لكنه لم يُجبر مشتريه على الدخول. الحل: Customer Success مخصص في أول ٦٠ يوماً</w:t>
            </w:r>
          </w:p>
        </w:tc>
      </w:tr>
    </w:tbl>
    <w:p>
      <w:pPr>
        <w:pBdr>
          <w:bottom w:val="single" w:color="E8771A" w:sz="6"/>
        </w:pBdr>
        <w:bidi/>
        <w:spacing w:after="120" w:before="360"/>
        <w:jc w:val="right"/>
      </w:pPr>
      <w:r>
        <w:rPr>
          <w:rFonts w:ascii="Arial" w:cs="Arial" w:eastAsia="Arial" w:hAnsi="Arial"/>
          <w:b/>
          <w:bCs/>
          <w:color w:val="1A1A1A"/>
          <w:sz w:val="28"/>
          <w:szCs w:val="28"/>
        </w:rPr>
        <w:t xml:space="preserve">من تُقنع أولاً؟</w:t>
      </w:r>
    </w:p>
    <w:p>
      <w:pPr>
        <w:bidi/>
        <w:spacing w:after="60" w:before="60"/>
        <w:jc w:val="right"/>
      </w:pPr>
      <w:r>
        <w:rPr>
          <w:rFonts w:ascii="Arial" w:cs="Arial" w:eastAsia="Arial" w:hAnsi="Arial"/>
          <w:b w:val="false"/>
          <w:bCs w:val="false"/>
          <w:color w:val="2D2D2D"/>
          <w:sz w:val="21"/>
          <w:szCs w:val="21"/>
        </w:rPr>
        <w:t xml:space="preserve">الجواب الواضح: المورد أولاً — لأنه يدفع ولأنه الذي يُدخل المشتري.</w:t>
      </w:r>
    </w:p>
    <w:p>
      <w:pPr>
        <w:shd w:fill="1A1A1A" w:val="clear"/>
        <w:bidi/>
        <w:spacing w:after="120" w:before="160"/>
        <w:ind w:left="280" w:right="280"/>
        <w:jc w:val="right"/>
      </w:pPr>
      <w:r>
        <w:rPr>
          <w:rFonts w:ascii="Arial" w:cs="Arial" w:eastAsia="Arial" w:hAnsi="Arial"/>
          <w:b/>
          <w:bCs/>
          <w:color w:val="FFFFFF"/>
          <w:sz w:val="22"/>
          <w:szCs w:val="22"/>
        </w:rPr>
        <w:t xml:space="preserve">الجواب الأعمق: ابدأ بالمورد الذي لديه مشترٍ جاهز للانضمام — لا بالمورد المعزول. الصفقة التي تحقق تفعيلاً حقيقياً تساوي عشراً بدون تفعيل.</w:t>
      </w:r>
    </w:p>
    <w:p>
      <w:pPr>
        <w:pBdr>
          <w:bottom w:val="single" w:color="E8771A" w:sz="6"/>
        </w:pBdr>
        <w:bidi/>
        <w:spacing w:after="120" w:before="360"/>
        <w:jc w:val="right"/>
      </w:pPr>
      <w:r>
        <w:rPr>
          <w:rFonts w:ascii="Arial" w:cs="Arial" w:eastAsia="Arial" w:hAnsi="Arial"/>
          <w:b/>
          <w:bCs/>
          <w:color w:val="1A1A1A"/>
          <w:sz w:val="28"/>
          <w:szCs w:val="28"/>
        </w:rPr>
        <w:t xml:space="preserve">Flywheel — كيف تبني الدولاب</w:t>
      </w:r>
    </w:p>
    <w:p>
      <w:pPr>
        <w:bidi/>
        <w:spacing w:after="60" w:before="60"/>
        <w:jc w:val="right"/>
      </w:pPr>
      <w:r>
        <w:rPr>
          <w:rFonts w:ascii="Arial" w:cs="Arial" w:eastAsia="Arial" w:hAnsi="Arial"/>
          <w:b/>
          <w:bCs/>
          <w:color w:val="2D2D2D"/>
          <w:sz w:val="21"/>
          <w:szCs w:val="21"/>
        </w:rPr>
        <w:t xml:space="preserve">لا تبيع عملاء منفردين — تبيع سلاسل توريد كاملة. مورد واحد قوي + مشترون متعددون = نواة قطاع كامل.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5200"/>
        <w:gridCol w:w="3638"/>
      </w:tblGrid>
      <w:tr>
        <w:trPr>
          <w:tblHeader/>
        </w:trPr>
        <w:tc>
          <w:tcPr>
            <w:tcW w:type="dxa" w:w="800"/>
            <w:tcBorders>
              <w:top w:val="single" w:color="DDDDDD" w:sz="1"/>
              <w:left w:val="single" w:color="DDDDDD" w:sz="1"/>
              <w:bottom w:val="single" w:color="DDDDDD" w:sz="1"/>
              <w:right w:val="single" w:color="DDDDDD" w:sz="1"/>
            </w:tcBorders>
            <w:shd w:fill="1A1A1A" w:val="clear"/>
            <w:tcMar>
              <w:top w:type="dxa" w:w="100"/>
              <w:left w:type="dxa" w:w="160"/>
              <w:bottom w:type="dxa" w:w="100"/>
              <w:right w:type="dxa" w:w="160"/>
            </w:tcMar>
            <w:vAlign w:val="center"/>
          </w:tcPr>
          <w:p>
            <w:pPr>
              <w:bidi/>
              <w:jc w:val="right"/>
            </w:pPr>
            <w:r>
              <w:rPr>
                <w:rFonts w:ascii="Arial" w:cs="Arial" w:eastAsia="Arial" w:hAnsi="Arial"/>
                <w:b/>
                <w:bCs/>
                <w:color w:val="FFFFFF"/>
                <w:sz w:val="20"/>
                <w:szCs w:val="20"/>
              </w:rPr>
              <w:t xml:space="preserve">الدورة</w:t>
            </w:r>
          </w:p>
        </w:tc>
        <w:tc>
          <w:tcPr>
            <w:tcW w:type="dxa" w:w="5200"/>
            <w:tcBorders>
              <w:top w:val="single" w:color="DDDDDD" w:sz="1"/>
              <w:left w:val="single" w:color="DDDDDD" w:sz="1"/>
              <w:bottom w:val="single" w:color="DDDDDD" w:sz="1"/>
              <w:right w:val="single" w:color="DDDDDD" w:sz="1"/>
            </w:tcBorders>
            <w:shd w:fill="1A1A1A" w:val="clear"/>
            <w:tcMar>
              <w:top w:type="dxa" w:w="100"/>
              <w:left w:type="dxa" w:w="160"/>
              <w:bottom w:type="dxa" w:w="100"/>
              <w:right w:type="dxa" w:w="160"/>
            </w:tcMar>
            <w:vAlign w:val="center"/>
          </w:tcPr>
          <w:p>
            <w:pPr>
              <w:bidi/>
              <w:jc w:val="right"/>
            </w:pPr>
            <w:r>
              <w:rPr>
                <w:rFonts w:ascii="Arial" w:cs="Arial" w:eastAsia="Arial" w:hAnsi="Arial"/>
                <w:b/>
                <w:bCs/>
                <w:color w:val="FFFFFF"/>
                <w:sz w:val="20"/>
                <w:szCs w:val="20"/>
              </w:rPr>
              <w:t xml:space="preserve">ما يحدث</w:t>
            </w:r>
          </w:p>
        </w:tc>
        <w:tc>
          <w:tcPr>
            <w:tcW w:type="dxa" w:w="3638"/>
            <w:tcBorders>
              <w:top w:val="single" w:color="DDDDDD" w:sz="1"/>
              <w:left w:val="single" w:color="DDDDDD" w:sz="1"/>
              <w:bottom w:val="single" w:color="DDDDDD" w:sz="1"/>
              <w:right w:val="single" w:color="DDDDDD" w:sz="1"/>
            </w:tcBorders>
            <w:shd w:fill="1A1A1A" w:val="clear"/>
            <w:tcMar>
              <w:top w:type="dxa" w:w="100"/>
              <w:left w:type="dxa" w:w="160"/>
              <w:bottom w:type="dxa" w:w="100"/>
              <w:right w:type="dxa" w:w="160"/>
            </w:tcMar>
            <w:vAlign w:val="center"/>
          </w:tcPr>
          <w:p>
            <w:pPr>
              <w:bidi/>
              <w:jc w:val="right"/>
            </w:pPr>
            <w:r>
              <w:rPr>
                <w:rFonts w:ascii="Arial" w:cs="Arial" w:eastAsia="Arial" w:hAnsi="Arial"/>
                <w:b/>
                <w:bCs/>
                <w:color w:val="FFFFFF"/>
                <w:sz w:val="20"/>
                <w:szCs w:val="20"/>
              </w:rPr>
              <w:t xml:space="preserve">الأثر</w:t>
            </w:r>
          </w:p>
        </w:tc>
      </w:tr>
      <w:tr>
        <w:tc>
          <w:tcPr>
            <w:tcW w:type="dxa" w:w="8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pPr>
              <w:bidi/>
              <w:jc w:val="right"/>
            </w:pPr>
            <w:r>
              <w:rPr>
                <w:rFonts w:ascii="Arial" w:cs="Arial" w:eastAsia="Arial" w:hAnsi="Arial"/>
                <w:b/>
                <w:bCs/>
                <w:color w:val="2D2D2D"/>
                <w:sz w:val="19"/>
                <w:szCs w:val="19"/>
              </w:rPr>
              <w:t xml:space="preserve">①</w:t>
            </w:r>
          </w:p>
        </w:tc>
        <w:tc>
          <w:tcPr>
            <w:tcW w:type="dxa" w:w="52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pPr>
              <w:bidi/>
              <w:jc w:val="right"/>
            </w:pPr>
            <w:r>
              <w:rPr>
                <w:rFonts w:ascii="Arial" w:cs="Arial" w:eastAsia="Arial" w:hAnsi="Arial"/>
                <w:b w:val="false"/>
                <w:bCs w:val="false"/>
                <w:color w:val="2D2D2D"/>
                <w:sz w:val="19"/>
                <w:szCs w:val="19"/>
              </w:rPr>
              <w:t xml:space="preserve">مورد قوي في قطاع محدد يشترك ويُجبر مشتريه على المنصة</w:t>
            </w:r>
          </w:p>
        </w:tc>
        <w:tc>
          <w:tcPr>
            <w:tcW w:type="dxa" w:w="3638"/>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pPr>
              <w:bidi/>
              <w:jc w:val="right"/>
            </w:pPr>
            <w:r>
              <w:rPr>
                <w:rFonts w:ascii="Arial" w:cs="Arial" w:eastAsia="Arial" w:hAnsi="Arial"/>
                <w:b w:val="false"/>
                <w:bCs w:val="false"/>
                <w:color w:val="2D2D2D"/>
                <w:sz w:val="19"/>
                <w:szCs w:val="19"/>
              </w:rPr>
              <w:t xml:space="preserve">تفعيل حقيقي للطرفين</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bidi/>
              <w:jc w:val="right"/>
            </w:pPr>
            <w:r>
              <w:rPr>
                <w:rFonts w:ascii="Arial" w:cs="Arial" w:eastAsia="Arial" w:hAnsi="Arial"/>
                <w:b/>
                <w:bCs/>
                <w:color w:val="2D2D2D"/>
                <w:sz w:val="19"/>
                <w:szCs w:val="19"/>
              </w:rPr>
              <w:t xml:space="preserve">②</w:t>
            </w:r>
          </w:p>
        </w:tc>
        <w:tc>
          <w:tcPr>
            <w:tcW w:type="dxa" w:w="5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bidi/>
              <w:jc w:val="right"/>
            </w:pPr>
            <w:r>
              <w:rPr>
                <w:rFonts w:ascii="Arial" w:cs="Arial" w:eastAsia="Arial" w:hAnsi="Arial"/>
                <w:b w:val="false"/>
                <w:bCs w:val="false"/>
                <w:color w:val="2D2D2D"/>
                <w:sz w:val="19"/>
                <w:szCs w:val="19"/>
              </w:rPr>
              <w:t xml:space="preserve">المشتري يكتشف قيمة التوثيق والحماية — يطلب من موردين آخرين الانضمام</w:t>
            </w:r>
          </w:p>
        </w:tc>
        <w:tc>
          <w:tcPr>
            <w:tcW w:type="dxa" w:w="3638"/>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bidi/>
              <w:jc w:val="right"/>
            </w:pPr>
            <w:r>
              <w:rPr>
                <w:rFonts w:ascii="Arial" w:cs="Arial" w:eastAsia="Arial" w:hAnsi="Arial"/>
                <w:b w:val="false"/>
                <w:bCs w:val="false"/>
                <w:color w:val="2D2D2D"/>
                <w:sz w:val="19"/>
                <w:szCs w:val="19"/>
              </w:rPr>
              <w:t xml:space="preserve">انتشار داخل سلسلة التوريد</w:t>
            </w:r>
          </w:p>
        </w:tc>
      </w:tr>
      <w:tr>
        <w:tc>
          <w:tcPr>
            <w:tcW w:type="dxa" w:w="8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pPr>
              <w:bidi/>
              <w:jc w:val="right"/>
            </w:pPr>
            <w:r>
              <w:rPr>
                <w:rFonts w:ascii="Arial" w:cs="Arial" w:eastAsia="Arial" w:hAnsi="Arial"/>
                <w:b/>
                <w:bCs/>
                <w:color w:val="2D2D2D"/>
                <w:sz w:val="19"/>
                <w:szCs w:val="19"/>
              </w:rPr>
              <w:t xml:space="preserve">③</w:t>
            </w:r>
          </w:p>
        </w:tc>
        <w:tc>
          <w:tcPr>
            <w:tcW w:type="dxa" w:w="52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pPr>
              <w:bidi/>
              <w:jc w:val="right"/>
            </w:pPr>
            <w:r>
              <w:rPr>
                <w:rFonts w:ascii="Arial" w:cs="Arial" w:eastAsia="Arial" w:hAnsi="Arial"/>
                <w:b w:val="false"/>
                <w:bCs w:val="false"/>
                <w:color w:val="2D2D2D"/>
                <w:sz w:val="19"/>
                <w:szCs w:val="19"/>
              </w:rPr>
              <w:t xml:space="preserve">الموردون الجدد يُدخلون مشتريهم — الذين بدورهم يُدخلون موردين آخرين</w:t>
            </w:r>
          </w:p>
        </w:tc>
        <w:tc>
          <w:tcPr>
            <w:tcW w:type="dxa" w:w="3638"/>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pPr>
              <w:bidi/>
              <w:jc w:val="right"/>
            </w:pPr>
            <w:r>
              <w:rPr>
                <w:rFonts w:ascii="Arial" w:cs="Arial" w:eastAsia="Arial" w:hAnsi="Arial"/>
                <w:b w:val="false"/>
                <w:bCs w:val="false"/>
                <w:color w:val="2D2D2D"/>
                <w:sz w:val="19"/>
                <w:szCs w:val="19"/>
              </w:rPr>
              <w:t xml:space="preserve">نمو عضوي بدون تكلفة اكتساب</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bidi/>
              <w:jc w:val="right"/>
            </w:pPr>
            <w:r>
              <w:rPr>
                <w:rFonts w:ascii="Arial" w:cs="Arial" w:eastAsia="Arial" w:hAnsi="Arial"/>
                <w:b/>
                <w:bCs/>
                <w:color w:val="2D2D2D"/>
                <w:sz w:val="19"/>
                <w:szCs w:val="19"/>
              </w:rPr>
              <w:t xml:space="preserve">④</w:t>
            </w:r>
          </w:p>
        </w:tc>
        <w:tc>
          <w:tcPr>
            <w:tcW w:type="dxa" w:w="5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bidi/>
              <w:jc w:val="right"/>
            </w:pPr>
            <w:r>
              <w:rPr>
                <w:rFonts w:ascii="Arial" w:cs="Arial" w:eastAsia="Arial" w:hAnsi="Arial"/>
                <w:b w:val="false"/>
                <w:bCs w:val="false"/>
                <w:color w:val="2D2D2D"/>
                <w:sz w:val="19"/>
                <w:szCs w:val="19"/>
              </w:rPr>
              <w:t xml:space="preserve">الممولون يرون محفظة فواتير موثقة — يرفعون حجم التمويل المتاح</w:t>
            </w:r>
          </w:p>
        </w:tc>
        <w:tc>
          <w:tcPr>
            <w:tcW w:type="dxa" w:w="3638"/>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bidi/>
              <w:jc w:val="right"/>
            </w:pPr>
            <w:r>
              <w:rPr>
                <w:rFonts w:ascii="Arial" w:cs="Arial" w:eastAsia="Arial" w:hAnsi="Arial"/>
                <w:b w:val="false"/>
                <w:bCs w:val="false"/>
                <w:color w:val="2D2D2D"/>
                <w:sz w:val="19"/>
                <w:szCs w:val="19"/>
              </w:rPr>
              <w:t xml:space="preserve">قيمة مالية إضافية تجذب المزيد</w:t>
            </w:r>
          </w:p>
        </w:tc>
      </w:tr>
      <w:tr>
        <w:tc>
          <w:tcPr>
            <w:tcW w:type="dxa" w:w="8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pPr>
              <w:bidi/>
              <w:jc w:val="right"/>
            </w:pPr>
            <w:r>
              <w:rPr>
                <w:rFonts w:ascii="Arial" w:cs="Arial" w:eastAsia="Arial" w:hAnsi="Arial"/>
                <w:b/>
                <w:bCs/>
                <w:color w:val="2D2D2D"/>
                <w:sz w:val="19"/>
                <w:szCs w:val="19"/>
              </w:rPr>
              <w:t xml:space="preserve">⑤</w:t>
            </w:r>
          </w:p>
        </w:tc>
        <w:tc>
          <w:tcPr>
            <w:tcW w:type="dxa" w:w="52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pPr>
              <w:bidi/>
              <w:jc w:val="right"/>
            </w:pPr>
            <w:r>
              <w:rPr>
                <w:rFonts w:ascii="Arial" w:cs="Arial" w:eastAsia="Arial" w:hAnsi="Arial"/>
                <w:b w:val="false"/>
                <w:bCs w:val="false"/>
                <w:color w:val="2D2D2D"/>
                <w:sz w:val="19"/>
                <w:szCs w:val="19"/>
              </w:rPr>
              <w:t xml:space="preserve">محايد يصبح معياراً في القطاع — من ليس عليه يُعتبر مخاطرة</w:t>
            </w:r>
          </w:p>
        </w:tc>
        <w:tc>
          <w:tcPr>
            <w:tcW w:type="dxa" w:w="3638"/>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pPr>
              <w:bidi/>
              <w:jc w:val="right"/>
            </w:pPr>
            <w:r>
              <w:rPr>
                <w:rFonts w:ascii="Arial" w:cs="Arial" w:eastAsia="Arial" w:hAnsi="Arial"/>
                <w:b w:val="false"/>
                <w:bCs w:val="false"/>
                <w:color w:val="2D2D2D"/>
                <w:sz w:val="19"/>
                <w:szCs w:val="19"/>
              </w:rPr>
              <w:t xml:space="preserve">Network Effect يحمي الأسواق المكتسبة</w:t>
            </w:r>
          </w:p>
        </w:tc>
      </w:tr>
    </w:tbl>
    <w:p>
      <w:pPr>
        <w:spacing w:after="0" w:before="0"/>
      </w:pPr>
      <w:r>
        <w:t xml:space="preserve"/>
      </w:r>
    </w:p>
    <w:p>
      <w:pPr>
        <w:spacing w:after="0" w:before="0"/>
      </w:pPr>
      <w:r>
        <w:t xml:space="preserve"/>
      </w:r>
    </w:p>
    <w:p>
      <w:pPr>
        <w:pBdr>
          <w:top w:val="single" w:color="E8771A" w:sz="6"/>
        </w:pBdr>
        <w:bidi/>
        <w:spacing w:after="120" w:before="240"/>
        <w:jc w:val="right"/>
      </w:pPr>
      <w:r>
        <w:rPr>
          <w:rFonts w:ascii="Arial" w:cs="Arial" w:eastAsia="Arial" w:hAnsi="Arial"/>
          <w:b/>
          <w:bCs/>
          <w:color w:val="1A1A1A"/>
          <w:sz w:val="28"/>
          <w:szCs w:val="28"/>
        </w:rPr>
        <w:t xml:space="preserve">محايد | MUHIDE</w:t>
      </w:r>
      <w:r>
        <w:rPr>
          <w:rFonts w:ascii="Arial" w:cs="Arial" w:eastAsia="Arial" w:hAnsi="Arial"/>
          <w:i/>
          <w:iCs/>
          <w:color w:val="555555"/>
          <w:sz w:val="22"/>
          <w:szCs w:val="22"/>
        </w:rPr>
        <w:t xml:space="preserve">   ·   الثقة في كل معاملة</w:t>
      </w:r>
    </w:p>
    <w:p>
      <w:pPr>
        <w:bidi/>
        <w:spacing w:after="0" w:before="60"/>
        <w:jc w:val="right"/>
      </w:pPr>
      <w:r>
        <w:rPr>
          <w:rFonts w:ascii="Arial" w:cs="Arial" w:eastAsia="Arial" w:hAnsi="Arial"/>
          <w:color w:val="555555"/>
          <w:sz w:val="18"/>
          <w:szCs w:val="18"/>
        </w:rPr>
        <w:t xml:space="preserve">muhide.com  ·  info@muhide.com  ·  9200-31-651  ·  برج الرئيس، جدة — المملكة العربية السعودية</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771A" w:sz="4"/>
      </w:pBdr>
      <w:bidi/>
      <w:spacing w:after="0" w:before="80"/>
      <w:jc w:val="right"/>
    </w:pPr>
    <w:r>
      <w:rPr>
        <w:rFonts w:ascii="Arial" w:cs="Arial" w:eastAsia="Arial" w:hAnsi="Arial"/>
        <w:color w:val="555555"/>
        <w:sz w:val="16"/>
        <w:szCs w:val="16"/>
      </w:rPr>
      <w:t xml:space="preserve">محايد — الثقة في كل معاملة</w:t>
    </w:r>
    <w:r>
      <w:rPr>
        <w:rFonts w:ascii="Arial" w:cs="Arial" w:eastAsia="Arial" w:hAnsi="Arial"/>
        <w:color w:val="555555"/>
        <w:sz w:val="16"/>
        <w:szCs w:val="16"/>
      </w:rPr>
      <w:t xml:space="preserve">   صفحة </w:t>
    </w:r>
    <w:r>
      <w:rPr>
        <w:rFonts w:ascii="Arial" w:cs="Arial" w:eastAsia="Arial" w:hAnsi="Arial"/>
        <w:b/>
        <w:bCs/>
        <w:color w:val="E8771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771A" w:sz="6"/>
      </w:pBdr>
      <w:tabs>
        <w:tab w:val="left" w:pos="0"/>
      </w:tabs>
      <w:bidi/>
      <w:spacing w:after="80" w:before="0"/>
      <w:jc w:val="right"/>
    </w:pPr>
    <w:r>
      <w:rPr>
        <w:rFonts w:ascii="Arial" w:cs="Arial" w:eastAsia="Arial" w:hAnsi="Arial"/>
        <w:i/>
        <w:iCs/>
        <w:color w:val="555555"/>
        <w:sz w:val="16"/>
        <w:szCs w:val="16"/>
      </w:rPr>
      <w:t xml:space="preserve">سري — للاستخدام التنفيذي</w:t>
    </w:r>
    <w:r>
      <w:rPr>
        <w:rFonts w:ascii="Arial" w:cs="Arial" w:eastAsia="Arial" w:hAnsi="Arial"/>
        <w:b/>
        <w:bCs/>
        <w:color w:val="1A1A1A"/>
        <w:sz w:val="18"/>
        <w:szCs w:val="18"/>
      </w:rPr>
      <w:t xml:space="preserve">     محايد | MUHIDE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bidi/>
        <w:ind w:left="280" w:right="480"/>
      </w:pPr>
      <w:rPr>
        <w:rFonts w:ascii="Arial" w:cs="Arial" w:eastAsia="Arial" w:hAnsi="Arial"/>
        <w:color w:val="E8771A"/>
        <w:sz w:val="21"/>
        <w:szCs w:val="21"/>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4248f8df3ffab50782c084835046816720a1b7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2026-03-30T02:45:24.774Z</dcterms:created>
  <dcterms:modified xsi:type="dcterms:W3CDTF">2026-03-30T02:45:24.774Z</dcterms:modified>
</cp:coreProperties>
</file>

<file path=docProps/custom.xml><?xml version="1.0" encoding="utf-8"?>
<Properties xmlns="http://schemas.openxmlformats.org/officeDocument/2006/custom-properties" xmlns:vt="http://schemas.openxmlformats.org/officeDocument/2006/docPropsVTypes"/>
</file>