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hd w:fill="1A1A1A" w:val="clear"/>
        <w:spacing w:after="0" w:before="0"/>
        <w:jc w:val="center"/>
      </w:pPr>
      <w:r>
        <w:drawing>
          <wp:inline distT="0" distB="0" distL="0" distR="0">
            <wp:extent cx="571500" cy="1143000"/>
            <wp:effectExtent t="0" r="0" b="0" l="0"/>
            <wp:docPr id="1" name="Logo" descr="MUHIDE Logo" title="MU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1143000"/>
                    </a:xfrm>
                    <a:prstGeom prst="rect">
                      <a:avLst/>
                    </a:prstGeom>
                  </pic:spPr>
                </pic:pic>
              </a:graphicData>
            </a:graphic>
          </wp:inline>
        </w:drawing>
      </w:r>
    </w:p>
    <w:p>
      <w:pPr>
        <w:shd w:fill="1A1A1A" w:val="clear"/>
        <w:spacing w:after="0" w:before="0"/>
        <w:jc w:val="center"/>
      </w:pPr>
      <w:r>
        <w:rPr>
          <w:rFonts w:ascii="Arial" w:cs="Arial" w:eastAsia="Arial" w:hAnsi="Arial"/>
          <w:b/>
          <w:bCs/>
          <w:color w:val="E8771A"/>
          <w:sz w:val="52"/>
          <w:szCs w:val="52"/>
        </w:rPr>
        <w:t xml:space="preserve">MUHIDE  |  محايد</w:t>
      </w:r>
    </w:p>
    <w:p>
      <w:pPr>
        <w:shd w:fill="1A1A1A" w:val="clear"/>
        <w:spacing w:after="0" w:before="0"/>
        <w:jc w:val="center"/>
      </w:pPr>
      <w:r>
        <w:rPr>
          <w:rFonts w:ascii="Arial" w:cs="Arial" w:eastAsia="Arial" w:hAnsi="Arial"/>
          <w:b/>
          <w:bCs/>
          <w:color w:val="FFFFFF"/>
          <w:sz w:val="32"/>
          <w:szCs w:val="32"/>
        </w:rPr>
        <w:t xml:space="preserve">Comprehensive Strategic Analysis</w:t>
      </w:r>
    </w:p>
    <w:p>
      <w:pPr>
        <w:shd w:fill="1A1A1A" w:val="clear"/>
        <w:spacing w:after="0" w:before="0"/>
        <w:jc w:val="center"/>
      </w:pPr>
      <w:r>
        <w:rPr>
          <w:rFonts w:ascii="Arial" w:cs="Arial" w:eastAsia="Arial" w:hAnsi="Arial"/>
          <w:b/>
          <w:bCs/>
          <w:color w:val="AAAAAA"/>
          <w:sz w:val="24"/>
          <w:szCs w:val="24"/>
        </w:rPr>
        <w:t xml:space="preserve">Supplier  ·  Buyer  ·  Comparison  ·  Flywheel</w:t>
      </w:r>
    </w:p>
    <w:p>
      <w:pPr>
        <w:shd w:fill="1A1A1A" w:val="clear"/>
        <w:spacing w:after="0" w:before="0"/>
        <w:jc w:val="center"/>
      </w:pPr>
      <w:r>
        <w:rPr>
          <w:rFonts w:ascii="Arial" w:cs="Arial" w:eastAsia="Arial" w:hAnsi="Arial"/>
          <w:b/>
          <w:bCs/>
          <w:color w:val="888888"/>
          <w:sz w:val="20"/>
          <w:szCs w:val="20"/>
        </w:rPr>
        <w:t xml:space="preserve">ICP  ·  GTM  ·  IFRS 9  ·  Order for Payment  ·  SGS Partnership</w:t>
      </w:r>
    </w:p>
    <w:p>
      <w:pPr>
        <w:spacing w:after="0" w:before="0"/>
      </w:pPr>
      <w:r>
        <w:t xml:space="preserve"/>
      </w:r>
    </w:p>
    <w:p>
      <w:pPr>
        <w:shd w:fill="1A1A1A" w:val="clear"/>
        <w:spacing w:after="0" w:before="0"/>
        <w:jc w:val="center"/>
      </w:pPr>
      <w:r>
        <w:rPr>
          <w:rFonts w:ascii="Arial" w:cs="Arial" w:eastAsia="Arial" w:hAnsi="Arial"/>
          <w:b/>
          <w:bCs/>
          <w:color w:val="444444"/>
          <w:sz w:val="20"/>
          <w:szCs w:val="20"/>
        </w:rPr>
        <w:t xml:space="preserve">─────────────────────────────────────────────</w:t>
      </w:r>
    </w:p>
    <w:p>
      <w:pPr>
        <w:shd w:fill="1A1A1A" w:val="clear"/>
        <w:spacing w:after="0" w:before="0"/>
        <w:jc w:val="center"/>
      </w:pPr>
      <w:r>
        <w:rPr>
          <w:rFonts w:ascii="Arial" w:cs="Arial" w:eastAsia="Arial" w:hAnsi="Arial"/>
          <w:b/>
          <w:bCs/>
          <w:color w:val="E8771A"/>
          <w:sz w:val="22"/>
          <w:szCs w:val="22"/>
        </w:rPr>
        <w:t xml:space="preserve">CONFIDENTIAL — Executive Use Only</w:t>
      </w:r>
    </w:p>
    <w:p>
      <w:pPr>
        <w:shd w:fill="1A1A1A" w:val="clear"/>
        <w:spacing w:after="0" w:before="0"/>
        <w:jc w:val="center"/>
      </w:pPr>
      <w:r>
        <w:rPr>
          <w:rFonts w:ascii="Arial" w:cs="Arial" w:eastAsia="Arial" w:hAnsi="Arial"/>
          <w:b/>
          <w:bCs/>
          <w:color w:val="777777"/>
          <w:sz w:val="18"/>
          <w:szCs w:val="18"/>
        </w:rPr>
        <w:t xml:space="preserve">muhide.com  ·  info@muhide.com  ·  9200-31-651</w:t>
      </w:r>
    </w:p>
    <w:p>
      <w:pPr>
        <w:spacing w:after="0" w:before="0"/>
      </w:pPr>
      <w:r>
        <w:t xml:space="preserve"/>
      </w:r>
    </w:p>
    <w:p>
      <w:pPr>
        <w:spacing w:after="0" w:before="0"/>
      </w:pPr>
      <w:r>
        <w:t xml:space="preserve"/>
      </w:r>
    </w:p>
    <w:p>
      <w:pPr>
        <w:spacing w:after="0" w:before="0"/>
      </w:pPr>
      <w:r>
        <w:t xml:space="preserve"/>
      </w:r>
    </w:p>
    <w:p>
      <w:r>
        <w:br w:type="page"/>
      </w:r>
    </w:p>
    <w:p>
      <w:pPr>
        <w:pageBreakBefore/>
        <w:pBdr>
          <w:left w:val="thick" w:color="E8771A" w:sz="24"/>
        </w:pBdr>
        <w:shd w:fill="1A1A1A" w:val="clear"/>
        <w:spacing w:after="240" w:before="0"/>
        <w:ind w:left="240"/>
        <w:jc w:val="left"/>
      </w:pPr>
      <w:r>
        <w:rPr>
          <w:rFonts w:ascii="Arial" w:cs="Arial" w:eastAsia="Arial" w:hAnsi="Arial"/>
          <w:b/>
          <w:bCs/>
          <w:color w:val="FFFFFF"/>
          <w:sz w:val="36"/>
          <w:szCs w:val="36"/>
        </w:rPr>
        <w:t xml:space="preserve">PART 1 — SUPPLIER</w:t>
      </w:r>
    </w:p>
    <w:p>
      <w:pPr>
        <w:pBdr>
          <w:bottom w:val="single" w:color="E8771A" w:sz="6"/>
        </w:pBdr>
        <w:spacing w:after="120" w:before="360"/>
      </w:pPr>
      <w:r>
        <w:rPr>
          <w:rFonts w:ascii="Arial" w:cs="Arial" w:eastAsia="Arial" w:hAnsi="Arial"/>
          <w:b/>
          <w:bCs/>
          <w:color w:val="1A1A1A"/>
          <w:sz w:val="28"/>
          <w:szCs w:val="28"/>
        </w:rPr>
        <w:t xml:space="preserve">1. Current State Analysis</w:t>
      </w:r>
    </w:p>
    <w:p>
      <w:pPr>
        <w:spacing w:after="60" w:before="60"/>
        <w:ind w:left="0"/>
      </w:pPr>
      <w:r>
        <w:rPr>
          <w:rFonts w:ascii="Arial" w:cs="Arial" w:eastAsia="Arial" w:hAnsi="Arial"/>
          <w:b w:val="false"/>
          <w:bCs w:val="false"/>
          <w:color w:val="2D2D2D"/>
          <w:sz w:val="21"/>
          <w:szCs w:val="21"/>
        </w:rPr>
        <w:t xml:space="preserve">The Saudi B2B supplier operates within a commercial ecosystem where personal trust is the only guarantee. No single binding legal document links the sale, delivery, and payment into one integrated, enforceable framework.</w:t>
      </w:r>
    </w:p>
    <w:p>
      <w:pPr>
        <w:pBdr>
          <w:left w:val="thick" w:color="E8771A" w:sz="12"/>
        </w:pBdr>
        <w:spacing w:after="80" w:before="280"/>
        <w:ind w:left="200"/>
      </w:pPr>
      <w:r>
        <w:rPr>
          <w:rFonts w:ascii="Arial" w:cs="Arial" w:eastAsia="Arial" w:hAnsi="Arial"/>
          <w:b/>
          <w:bCs/>
          <w:color w:val="2D2D2D"/>
          <w:sz w:val="24"/>
          <w:szCs w:val="24"/>
        </w:rPr>
        <w:t xml:space="preserve">How Suppliers Sell on Open Credit Today</w:t>
      </w:r>
    </w:p>
    <w:p>
      <w:pPr>
        <w:pStyle w:val="ListParagraph"/>
        <w:numPr>
          <w:ilvl w:val="0"/>
          <w:numId w:val="2"/>
        </w:numPr>
        <w:spacing w:after="40" w:before="40"/>
      </w:pPr>
      <w:r>
        <w:rPr>
          <w:rFonts w:ascii="Arial" w:cs="Arial" w:eastAsia="Arial" w:hAnsi="Arial"/>
          <w:color w:val="2D2D2D"/>
          <w:sz w:val="21"/>
          <w:szCs w:val="21"/>
        </w:rPr>
        <w:t xml:space="preserve">Agreements initiated via WhatsApp or phone — no binding contract</w:t>
      </w:r>
    </w:p>
    <w:p>
      <w:pPr>
        <w:pStyle w:val="ListParagraph"/>
        <w:numPr>
          <w:ilvl w:val="0"/>
          <w:numId w:val="2"/>
        </w:numPr>
        <w:spacing w:after="40" w:before="40"/>
      </w:pPr>
      <w:r>
        <w:rPr>
          <w:rFonts w:ascii="Arial" w:cs="Arial" w:eastAsia="Arial" w:hAnsi="Arial"/>
          <w:color w:val="2D2D2D"/>
          <w:sz w:val="21"/>
          <w:szCs w:val="21"/>
        </w:rPr>
        <w:t xml:space="preserve">PDF invoice sent by email — unsigned, legally unenforceable</w:t>
      </w:r>
    </w:p>
    <w:p>
      <w:pPr>
        <w:pStyle w:val="ListParagraph"/>
        <w:numPr>
          <w:ilvl w:val="0"/>
          <w:numId w:val="2"/>
        </w:numPr>
        <w:spacing w:after="40" w:before="40"/>
      </w:pPr>
      <w:r>
        <w:rPr>
          <w:rFonts w:ascii="Arial" w:cs="Arial" w:eastAsia="Arial" w:hAnsi="Arial"/>
          <w:color w:val="2D2D2D"/>
          <w:sz w:val="21"/>
          <w:szCs w:val="21"/>
        </w:rPr>
        <w:t xml:space="preserve">Delivery acknowledged by paper signature — easily lost or denied</w:t>
      </w:r>
    </w:p>
    <w:p>
      <w:pPr>
        <w:pStyle w:val="ListParagraph"/>
        <w:numPr>
          <w:ilvl w:val="0"/>
          <w:numId w:val="2"/>
        </w:numPr>
        <w:spacing w:after="40" w:before="40"/>
      </w:pPr>
      <w:r>
        <w:rPr>
          <w:rFonts w:ascii="Arial" w:cs="Arial" w:eastAsia="Arial" w:hAnsi="Arial"/>
          <w:color w:val="2D2D2D"/>
          <w:sz w:val="21"/>
          <w:szCs w:val="21"/>
        </w:rPr>
        <w:t xml:space="preserve">Payment depends on 'the relationship', not a legal obligation</w:t>
      </w:r>
    </w:p>
    <w:p>
      <w:pPr>
        <w:pStyle w:val="ListParagraph"/>
        <w:numPr>
          <w:ilvl w:val="0"/>
          <w:numId w:val="2"/>
        </w:numPr>
        <w:spacing w:after="40" w:before="40"/>
      </w:pPr>
      <w:r>
        <w:rPr>
          <w:rFonts w:ascii="Arial" w:cs="Arial" w:eastAsia="Arial" w:hAnsi="Arial"/>
          <w:color w:val="2D2D2D"/>
          <w:sz w:val="21"/>
          <w:szCs w:val="21"/>
        </w:rPr>
        <w:t xml:space="preserve">Real credit terms stretch 60–180+ days beyond stated terms</w:t>
      </w:r>
    </w:p>
    <w:p>
      <w:pPr>
        <w:pBdr>
          <w:left w:val="thick" w:color="E8771A" w:sz="12"/>
        </w:pBdr>
        <w:spacing w:after="80" w:before="280"/>
        <w:ind w:left="200"/>
      </w:pPr>
      <w:r>
        <w:rPr>
          <w:rFonts w:ascii="Arial" w:cs="Arial" w:eastAsia="Arial" w:hAnsi="Arial"/>
          <w:b/>
          <w:bCs/>
          <w:color w:val="2D2D2D"/>
          <w:sz w:val="24"/>
          <w:szCs w:val="24"/>
        </w:rPr>
        <w:t xml:space="preserve">Operational Risk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Risk Category</w:t>
            </w:r>
          </w:p>
        </w:tc>
        <w:tc>
          <w:tcPr>
            <w:tcW w:type="dxa" w:w="72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Collection Risk</w:t>
            </w:r>
          </w:p>
        </w:tc>
        <w:tc>
          <w:tcPr>
            <w:tcW w:type="dxa" w:w="72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Buyers delay payment by disputing delivery — supplier has no conclusive digital evidence. Default rates on undocumented open credit exceed 20–30% in some sectors.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Dispute Risk</w:t>
            </w:r>
          </w:p>
        </w:tc>
        <w:tc>
          <w:tcPr>
            <w:tcW w:type="dxa" w:w="72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Any disagreement on quantities or specs becomes a 'you said / I said' battle. The supplier loses even when right — because he has no digital proof.</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IFRS 9 Provision Risk</w:t>
            </w:r>
          </w:p>
        </w:tc>
        <w:tc>
          <w:tcPr>
            <w:tcW w:type="dxa" w:w="72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Overdue receivables migrate from Stage 1 → Stage 2/3, forcing provision increases that compress net profit and distort the balance sheet.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Liquidity Pressure</w:t>
            </w:r>
          </w:p>
        </w:tc>
        <w:tc>
          <w:tcPr>
            <w:tcW w:type="dxa" w:w="72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Receivables lock working capital. Banks reject undocumented invoices as collateral — the supplier cannot convert his portfolio into cash.</w:t>
            </w:r>
          </w:p>
        </w:tc>
      </w:tr>
    </w:tbl>
    <w:p>
      <w:pPr>
        <w:pBdr>
          <w:bottom w:val="single" w:color="E8771A" w:sz="6"/>
        </w:pBdr>
        <w:spacing w:after="120" w:before="360"/>
      </w:pPr>
      <w:r>
        <w:rPr>
          <w:rFonts w:ascii="Arial" w:cs="Arial" w:eastAsia="Arial" w:hAnsi="Arial"/>
          <w:b/>
          <w:bCs/>
          <w:color w:val="1A1A1A"/>
          <w:sz w:val="28"/>
          <w:szCs w:val="28"/>
        </w:rPr>
        <w:t xml:space="preserve">2. The Real Pain — Where the Supplier Bleeds</w:t>
      </w:r>
    </w:p>
    <w:p>
      <w:pPr>
        <w:pBdr>
          <w:left w:val="thick" w:color="E8771A" w:sz="8"/>
        </w:pBdr>
        <w:shd w:fill="FFF8F0" w:val="clear"/>
        <w:spacing w:after="80" w:before="120"/>
        <w:ind w:left="200" w:right="200"/>
      </w:pPr>
      <w:r>
        <w:rPr>
          <w:rFonts w:ascii="Arial" w:cs="Arial" w:eastAsia="Arial" w:hAnsi="Arial"/>
          <w:i/>
          <w:iCs/>
          <w:color w:val="2D2D2D"/>
          <w:sz w:val="20"/>
          <w:szCs w:val="20"/>
        </w:rPr>
        <w:t xml:space="preserve">Most suppliers believe their problem is 'bad customers'. The truth: the problem is the absence of a legal structure that makes payment mandatory from Day 1.</w:t>
      </w:r>
    </w:p>
    <w:p>
      <w:pPr>
        <w:pStyle w:val="ListParagraph"/>
        <w:numPr>
          <w:ilvl w:val="0"/>
          <w:numId w:val="2"/>
        </w:numPr>
        <w:spacing w:after="40" w:before="40"/>
      </w:pPr>
      <w:r>
        <w:rPr>
          <w:rFonts w:ascii="Arial" w:cs="Arial" w:eastAsia="Arial" w:hAnsi="Arial"/>
          <w:color w:val="2D2D2D"/>
          <w:sz w:val="21"/>
          <w:szCs w:val="21"/>
        </w:rPr>
        <w:t xml:space="preserve">Direct loss: debts he cannot prove in court — written off as bad debt.</w:t>
      </w:r>
    </w:p>
    <w:p>
      <w:pPr>
        <w:pStyle w:val="ListParagraph"/>
        <w:numPr>
          <w:ilvl w:val="0"/>
          <w:numId w:val="2"/>
        </w:numPr>
        <w:spacing w:after="40" w:before="40"/>
      </w:pPr>
      <w:r>
        <w:rPr>
          <w:rFonts w:ascii="Arial" w:cs="Arial" w:eastAsia="Arial" w:hAnsi="Arial"/>
          <w:color w:val="2D2D2D"/>
          <w:sz w:val="21"/>
          <w:szCs w:val="21"/>
        </w:rPr>
        <w:t xml:space="preserve">Hidden loss: legal fees and management hours consumed by disputes that could have been prevented.</w:t>
      </w:r>
    </w:p>
    <w:p>
      <w:pPr>
        <w:pStyle w:val="ListParagraph"/>
        <w:numPr>
          <w:ilvl w:val="0"/>
          <w:numId w:val="2"/>
        </w:numPr>
        <w:spacing w:after="40" w:before="40"/>
      </w:pPr>
      <w:r>
        <w:rPr>
          <w:rFonts w:ascii="Arial" w:cs="Arial" w:eastAsia="Arial" w:hAnsi="Arial"/>
          <w:color w:val="2D2D2D"/>
          <w:sz w:val="21"/>
          <w:szCs w:val="21"/>
        </w:rPr>
        <w:t xml:space="preserve">Opportunity loss: refusing to grow with new customers out of fear of default.</w:t>
      </w:r>
    </w:p>
    <w:p>
      <w:pPr>
        <w:pStyle w:val="ListParagraph"/>
        <w:numPr>
          <w:ilvl w:val="0"/>
          <w:numId w:val="2"/>
        </w:numPr>
        <w:spacing w:after="40" w:before="40"/>
      </w:pPr>
      <w:r>
        <w:rPr>
          <w:rFonts w:ascii="Arial" w:cs="Arial" w:eastAsia="Arial" w:hAnsi="Arial"/>
          <w:color w:val="2D2D2D"/>
          <w:sz w:val="21"/>
          <w:szCs w:val="21"/>
        </w:rPr>
        <w:t xml:space="preserve">Financing loss: if he could convert his receivables to immediate liquidity, he could buy inventory at a cash discount.</w:t>
      </w:r>
    </w:p>
    <w:p>
      <w:pPr>
        <w:pBdr>
          <w:left w:val="thick" w:color="E8771A" w:sz="12"/>
        </w:pBdr>
        <w:spacing w:after="80" w:before="280"/>
        <w:ind w:left="200"/>
      </w:pPr>
      <w:r>
        <w:rPr>
          <w:rFonts w:ascii="Arial" w:cs="Arial" w:eastAsia="Arial" w:hAnsi="Arial"/>
          <w:b/>
          <w:bCs/>
          <w:color w:val="2D2D2D"/>
          <w:sz w:val="24"/>
          <w:szCs w:val="24"/>
        </w:rPr>
        <w:t xml:space="preserve">IFRS 9 — How Receivables Hurt Accounting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738"/>
      </w:tblGrid>
      <w:tr>
        <w:trPr>
          <w:tblHeader/>
        </w:trPr>
        <w:tc>
          <w:tcPr>
            <w:tcW w:type="dxa" w:w="21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IFRS 9 Stage</w:t>
            </w:r>
          </w:p>
        </w:tc>
        <w:tc>
          <w:tcPr>
            <w:tcW w:type="dxa" w:w="3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Trigger</w:t>
            </w:r>
          </w:p>
        </w:tc>
        <w:tc>
          <w:tcPr>
            <w:tcW w:type="dxa" w:w="37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Accounting Impact</w:t>
            </w:r>
          </w:p>
        </w:tc>
      </w:tr>
      <w:tr>
        <w:tc>
          <w:tcPr>
            <w:tcW w:type="dxa" w:w="21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Stage 1</w:t>
            </w:r>
          </w:p>
        </w:tc>
        <w:tc>
          <w:tcPr>
            <w:tcW w:type="dxa" w:w="3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Less than 30 days overdue</w:t>
            </w:r>
          </w:p>
        </w:tc>
        <w:tc>
          <w:tcPr>
            <w:tcW w:type="dxa" w:w="37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12-month ECL only — limited P&amp;L pressure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Stage 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30–90 days or significant credit risk increase</w:t>
            </w:r>
          </w:p>
        </w:tc>
        <w:tc>
          <w:tcPr>
            <w:tcW w:type="dxa" w:w="37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Lifetime ECL — sharp provision increase, visible P&amp;L hit</w:t>
            </w:r>
          </w:p>
        </w:tc>
      </w:tr>
      <w:tr>
        <w:tc>
          <w:tcPr>
            <w:tcW w:type="dxa" w:w="21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Stage 3</w:t>
            </w:r>
          </w:p>
        </w:tc>
        <w:tc>
          <w:tcPr>
            <w:tcW w:type="dxa" w:w="3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90+ days or actual credit event</w:t>
            </w:r>
          </w:p>
        </w:tc>
        <w:tc>
          <w:tcPr>
            <w:tcW w:type="dxa" w:w="37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Full or partial write-off — direct loss to profit and cash flow</w:t>
            </w:r>
          </w:p>
        </w:tc>
      </w:tr>
    </w:tbl>
    <w:p>
      <w:pPr>
        <w:pBdr>
          <w:left w:val="thick" w:color="E8771A" w:sz="8"/>
        </w:pBdr>
        <w:shd w:fill="FFF8F0" w:val="clear"/>
        <w:spacing w:after="80" w:before="120"/>
        <w:ind w:left="200" w:right="200"/>
      </w:pPr>
      <w:r>
        <w:rPr>
          <w:rFonts w:ascii="Arial" w:cs="Arial" w:eastAsia="Arial" w:hAnsi="Arial"/>
          <w:i/>
          <w:iCs/>
          <w:color w:val="2D2D2D"/>
          <w:sz w:val="20"/>
          <w:szCs w:val="20"/>
        </w:rPr>
        <w:t xml:space="preserve">⚠ Critical Point: A supplier who cannot prove delivery cannot defend Stage 1 classification to the auditor — and is forced to increase provision even if the customer intends to pay.</w:t>
      </w:r>
    </w:p>
    <w:p>
      <w:pPr>
        <w:pBdr>
          <w:bottom w:val="single" w:color="E8771A" w:sz="6"/>
        </w:pBdr>
        <w:spacing w:after="120" w:before="360"/>
      </w:pPr>
      <w:r>
        <w:rPr>
          <w:rFonts w:ascii="Arial" w:cs="Arial" w:eastAsia="Arial" w:hAnsi="Arial"/>
          <w:b/>
          <w:bCs/>
          <w:color w:val="1A1A1A"/>
          <w:sz w:val="28"/>
          <w:szCs w:val="28"/>
        </w:rPr>
        <w:t xml:space="preserve">3. How the Supplier Perceives MUHIDE</w:t>
      </w:r>
    </w:p>
    <w:p>
      <w:pPr>
        <w:spacing w:after="60" w:before="60"/>
        <w:ind w:left="0"/>
      </w:pPr>
      <w:r>
        <w:rPr>
          <w:rFonts w:ascii="Arial" w:cs="Arial" w:eastAsia="Arial" w:hAnsi="Arial"/>
          <w:b/>
          <w:bCs/>
          <w:color w:val="2D2D2D"/>
          <w:sz w:val="21"/>
          <w:szCs w:val="21"/>
        </w:rPr>
        <w:t xml:space="preserve">This is the pivot question — the wrong answer here kills the deal.</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138"/>
      </w:tblGrid>
      <w:tr>
        <w:trPr>
          <w:tblHeader/>
        </w:trPr>
        <w:tc>
          <w:tcPr>
            <w:tcW w:type="dxa" w:w="26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Perception</w:t>
            </w:r>
          </w:p>
        </w:tc>
        <w:tc>
          <w:tcPr>
            <w:tcW w:type="dxa" w:w="3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Who Holds This View</w:t>
            </w:r>
          </w:p>
        </w:tc>
        <w:tc>
          <w:tcPr>
            <w:tcW w:type="dxa" w:w="31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The Right Reframe</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Collection Tool</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who has already suffered a bad debt loss — wants an immediate solution</w:t>
            </w:r>
          </w:p>
        </w:tc>
        <w:tc>
          <w:tcPr>
            <w:tcW w:type="dxa" w:w="31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Correct — but it also prevents disputes before they occur, not just resolves them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Control Tool over Buyers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Larger supplier who wants discipline in trade relationships</w:t>
            </w:r>
          </w:p>
        </w:tc>
        <w:tc>
          <w:tcPr>
            <w:tcW w:type="dxa" w:w="31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Correct — and it strengthens his negotiating position and elevates his profile</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Operational Burden</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Small/medium supplier who fears complexity</w:t>
            </w:r>
          </w:p>
        </w:tc>
        <w:tc>
          <w:tcPr>
            <w:tcW w:type="dxa" w:w="31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MUHIDE digitizes what already exists. Setup takes hours, not weeks.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Gateway to Finance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The sophisticated supplier who needs working capital</w:t>
            </w:r>
          </w:p>
        </w:tc>
        <w:tc>
          <w:tcPr>
            <w:tcW w:type="dxa" w:w="31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This is the deepest insight — yet the least marketed value proposition</w:t>
            </w:r>
          </w:p>
        </w:tc>
      </w:tr>
    </w:tbl>
    <w:p>
      <w:pPr>
        <w:pBdr>
          <w:bottom w:val="single" w:color="E8771A" w:sz="6"/>
        </w:pBdr>
        <w:spacing w:after="120" w:before="360"/>
      </w:pPr>
      <w:r>
        <w:rPr>
          <w:rFonts w:ascii="Arial" w:cs="Arial" w:eastAsia="Arial" w:hAnsi="Arial"/>
          <w:b/>
          <w:bCs/>
          <w:color w:val="1A1A1A"/>
          <w:sz w:val="28"/>
          <w:szCs w:val="28"/>
        </w:rPr>
        <w:t xml:space="preserve">4. The Real Value of MUHIDE for the Supplier</w:t>
      </w:r>
    </w:p>
    <w:p>
      <w:pPr>
        <w:pBdr>
          <w:left w:val="thick" w:color="E8771A" w:sz="12"/>
        </w:pBdr>
        <w:spacing w:after="80" w:before="280"/>
        <w:ind w:left="200"/>
      </w:pPr>
      <w:r>
        <w:rPr>
          <w:rFonts w:ascii="Arial" w:cs="Arial" w:eastAsia="Arial" w:hAnsi="Arial"/>
          <w:b/>
          <w:bCs/>
          <w:color w:val="2D2D2D"/>
          <w:sz w:val="24"/>
          <w:szCs w:val="24"/>
        </w:rPr>
        <w:t xml:space="preserve">Order for Payment — From Transaction to Court Order in Days</w:t>
      </w:r>
    </w:p>
    <w:p>
      <w:pPr>
        <w:spacing w:after="60" w:before="60"/>
        <w:ind w:left="0"/>
      </w:pPr>
      <w:r>
        <w:rPr>
          <w:rFonts w:ascii="Arial" w:cs="Arial" w:eastAsia="Arial" w:hAnsi="Arial"/>
          <w:b w:val="false"/>
          <w:bCs w:val="false"/>
          <w:color w:val="2D2D2D"/>
          <w:sz w:val="21"/>
          <w:szCs w:val="21"/>
        </w:rPr>
        <w:t xml:space="preserve">Every MUHIDE transaction satisfies all four Order for Payment conditions:  Debt is written ✓  |  Debt is due ✓  |  Debt is specific ✓  |  No dispute ✓</w:t>
      </w:r>
    </w:p>
    <w:p>
      <w:pPr>
        <w:pStyle w:val="ListParagraph"/>
        <w:numPr>
          <w:ilvl w:val="0"/>
          <w:numId w:val="2"/>
        </w:numPr>
        <w:spacing w:after="40" w:before="40"/>
      </w:pPr>
      <w:r>
        <w:rPr>
          <w:rFonts w:ascii="Arial" w:cs="Arial" w:eastAsia="Arial" w:hAnsi="Arial"/>
          <w:color w:val="2D2D2D"/>
          <w:sz w:val="21"/>
          <w:szCs w:val="21"/>
        </w:rPr>
        <w:t xml:space="preserve">Without MUHIDE: proving debt in Saudi court takes 6–18 months and significant legal cost</w:t>
      </w:r>
    </w:p>
    <w:p>
      <w:pPr>
        <w:pStyle w:val="ListParagraph"/>
        <w:numPr>
          <w:ilvl w:val="0"/>
          <w:numId w:val="2"/>
        </w:numPr>
        <w:spacing w:after="40" w:before="40"/>
      </w:pPr>
      <w:r>
        <w:rPr>
          <w:rFonts w:ascii="Arial" w:cs="Arial" w:eastAsia="Arial" w:hAnsi="Arial"/>
          <w:color w:val="2D2D2D"/>
          <w:sz w:val="21"/>
          <w:szCs w:val="21"/>
        </w:rPr>
        <w:t xml:space="preserve">With MUHIDE: the Order for Payment file is ready from Day 1 — judgment in weeks</w:t>
      </w:r>
    </w:p>
    <w:p>
      <w:pPr>
        <w:pStyle w:val="ListParagraph"/>
        <w:numPr>
          <w:ilvl w:val="0"/>
          <w:numId w:val="2"/>
        </w:numPr>
        <w:spacing w:after="40" w:before="40"/>
      </w:pPr>
      <w:r>
        <w:rPr>
          <w:rFonts w:ascii="Arial" w:cs="Arial" w:eastAsia="Arial" w:hAnsi="Arial"/>
          <w:color w:val="2D2D2D"/>
          <w:sz w:val="21"/>
          <w:szCs w:val="21"/>
        </w:rPr>
        <w:t xml:space="preserve">The supplier transforms from 'aggrieved party' to 'structured creditor' before the judiciary</w:t>
      </w:r>
    </w:p>
    <w:p>
      <w:pPr>
        <w:pBdr>
          <w:left w:val="thick" w:color="E8771A" w:sz="12"/>
        </w:pBdr>
        <w:spacing w:after="80" w:before="280"/>
        <w:ind w:left="200"/>
      </w:pPr>
      <w:r>
        <w:rPr>
          <w:rFonts w:ascii="Arial" w:cs="Arial" w:eastAsia="Arial" w:hAnsi="Arial"/>
          <w:b/>
          <w:bCs/>
          <w:color w:val="2D2D2D"/>
          <w:sz w:val="24"/>
          <w:szCs w:val="24"/>
        </w:rPr>
        <w:t xml:space="preserve">IFRS 9 — Provision Reduction With Auditable Support</w:t>
      </w:r>
    </w:p>
    <w:p>
      <w:pPr>
        <w:pStyle w:val="ListParagraph"/>
        <w:numPr>
          <w:ilvl w:val="0"/>
          <w:numId w:val="2"/>
        </w:numPr>
        <w:spacing w:after="40" w:before="40"/>
      </w:pPr>
      <w:r>
        <w:rPr>
          <w:rFonts w:ascii="Arial" w:cs="Arial" w:eastAsia="Arial" w:hAnsi="Arial"/>
          <w:color w:val="2D2D2D"/>
          <w:sz w:val="21"/>
          <w:szCs w:val="21"/>
        </w:rPr>
        <w:t xml:space="preserve">Delivery authentication (OTP + GPS + multimedia) reduces probability of Stage 2 migration</w:t>
      </w:r>
    </w:p>
    <w:p>
      <w:pPr>
        <w:pStyle w:val="ListParagraph"/>
        <w:numPr>
          <w:ilvl w:val="0"/>
          <w:numId w:val="2"/>
        </w:numPr>
        <w:spacing w:after="40" w:before="40"/>
      </w:pPr>
      <w:r>
        <w:rPr>
          <w:rFonts w:ascii="Arial" w:cs="Arial" w:eastAsia="Arial" w:hAnsi="Arial"/>
          <w:color w:val="2D2D2D"/>
          <w:sz w:val="21"/>
          <w:szCs w:val="21"/>
        </w:rPr>
        <w:t xml:space="preserve">Legally binding e-agreement reduces Probability of Default (PD)</w:t>
      </w:r>
    </w:p>
    <w:p>
      <w:pPr>
        <w:pStyle w:val="ListParagraph"/>
        <w:numPr>
          <w:ilvl w:val="0"/>
          <w:numId w:val="2"/>
        </w:numPr>
        <w:spacing w:after="40" w:before="40"/>
      </w:pPr>
      <w:r>
        <w:rPr>
          <w:rFonts w:ascii="Arial" w:cs="Arial" w:eastAsia="Arial" w:hAnsi="Arial"/>
          <w:color w:val="2D2D2D"/>
          <w:sz w:val="21"/>
          <w:szCs w:val="21"/>
        </w:rPr>
        <w:t xml:space="preserve">Legal enforceability increases recovery rate, reducing Loss Given Default (LGD)</w:t>
      </w:r>
    </w:p>
    <w:p>
      <w:pPr>
        <w:pStyle w:val="ListParagraph"/>
        <w:numPr>
          <w:ilvl w:val="0"/>
          <w:numId w:val="2"/>
        </w:numPr>
        <w:spacing w:after="40" w:before="40"/>
      </w:pPr>
      <w:r>
        <w:rPr>
          <w:rFonts w:ascii="Arial" w:cs="Arial" w:eastAsia="Arial" w:hAnsi="Arial"/>
          <w:color w:val="2D2D2D"/>
          <w:sz w:val="21"/>
          <w:szCs w:val="21"/>
        </w:rPr>
        <w:t xml:space="preserve">Result: lower ECL → lower provision → higher reported profit</w:t>
      </w:r>
    </w:p>
    <w:p>
      <w:pPr>
        <w:pBdr>
          <w:left w:val="thick" w:color="E8771A" w:sz="8"/>
        </w:pBdr>
        <w:shd w:fill="FFF8F0" w:val="clear"/>
        <w:spacing w:after="80" w:before="120"/>
        <w:ind w:left="200" w:right="200"/>
      </w:pPr>
      <w:r>
        <w:rPr>
          <w:rFonts w:ascii="Arial" w:cs="Arial" w:eastAsia="Arial" w:hAnsi="Arial"/>
          <w:i/>
          <w:iCs/>
          <w:color w:val="2D2D2D"/>
          <w:sz w:val="20"/>
          <w:szCs w:val="20"/>
        </w:rPr>
        <w:t xml:space="preserve">⚠ Auditor Note: Any provision reduction must be supported by actual portfolio performance data and validated ECL model inputs per IFRS 9 paragraphs 5.5.1–5.5.20.</w:t>
      </w:r>
    </w:p>
    <w:p>
      <w:pPr>
        <w:pBdr>
          <w:left w:val="thick" w:color="E8771A" w:sz="12"/>
        </w:pBdr>
        <w:spacing w:after="80" w:before="280"/>
        <w:ind w:left="200"/>
      </w:pPr>
      <w:r>
        <w:rPr>
          <w:rFonts w:ascii="Arial" w:cs="Arial" w:eastAsia="Arial" w:hAnsi="Arial"/>
          <w:b/>
          <w:bCs/>
          <w:color w:val="2D2D2D"/>
          <w:sz w:val="24"/>
          <w:szCs w:val="24"/>
        </w:rPr>
        <w:t xml:space="preserve">Liquidity &amp; Working Capital Liberation</w:t>
      </w:r>
    </w:p>
    <w:p>
      <w:pPr>
        <w:pStyle w:val="ListParagraph"/>
        <w:numPr>
          <w:ilvl w:val="0"/>
          <w:numId w:val="2"/>
        </w:numPr>
        <w:spacing w:after="40" w:before="40"/>
      </w:pPr>
      <w:r>
        <w:rPr>
          <w:rFonts w:ascii="Arial" w:cs="Arial" w:eastAsia="Arial" w:hAnsi="Arial"/>
          <w:color w:val="2D2D2D"/>
          <w:sz w:val="21"/>
          <w:szCs w:val="21"/>
        </w:rPr>
        <w:t xml:space="preserve">Every authenticated MUHIDE invoice = a financeable asset</w:t>
      </w:r>
    </w:p>
    <w:p>
      <w:pPr>
        <w:pStyle w:val="ListParagraph"/>
        <w:numPr>
          <w:ilvl w:val="0"/>
          <w:numId w:val="2"/>
        </w:numPr>
        <w:spacing w:after="40" w:before="40"/>
      </w:pPr>
      <w:r>
        <w:rPr>
          <w:rFonts w:ascii="Arial" w:cs="Arial" w:eastAsia="Arial" w:hAnsi="Arial"/>
          <w:color w:val="2D2D2D"/>
          <w:sz w:val="21"/>
          <w:szCs w:val="21"/>
        </w:rPr>
        <w:t xml:space="preserve">Banks and financiers accept Blockchain-verified invoices as real collateral</w:t>
      </w:r>
    </w:p>
    <w:p>
      <w:pPr>
        <w:pStyle w:val="ListParagraph"/>
        <w:numPr>
          <w:ilvl w:val="0"/>
          <w:numId w:val="2"/>
        </w:numPr>
        <w:spacing w:after="40" w:before="40"/>
      </w:pPr>
      <w:r>
        <w:rPr>
          <w:rFonts w:ascii="Arial" w:cs="Arial" w:eastAsia="Arial" w:hAnsi="Arial"/>
          <w:color w:val="2D2D2D"/>
          <w:sz w:val="21"/>
          <w:szCs w:val="21"/>
        </w:rPr>
        <w:t xml:space="preserve">Supplier converts 90-day wait → same-day liquidity post-delivery</w:t>
      </w:r>
    </w:p>
    <w:p>
      <w:pPr>
        <w:pStyle w:val="ListParagraph"/>
        <w:numPr>
          <w:ilvl w:val="0"/>
          <w:numId w:val="2"/>
        </w:numPr>
        <w:spacing w:after="40" w:before="40"/>
      </w:pPr>
      <w:r>
        <w:rPr>
          <w:rFonts w:ascii="Arial" w:cs="Arial" w:eastAsia="Arial" w:hAnsi="Arial"/>
          <w:color w:val="2D2D2D"/>
          <w:sz w:val="21"/>
          <w:szCs w:val="21"/>
        </w:rPr>
        <w:t xml:space="preserve">Trade credit insurance becomes available on a documented receivables portfolio</w:t>
      </w:r>
    </w:p>
    <w:p>
      <w:pPr>
        <w:pBdr>
          <w:left w:val="thick" w:color="E8771A" w:sz="12"/>
        </w:pBdr>
        <w:spacing w:after="80" w:before="280"/>
        <w:ind w:left="200"/>
      </w:pPr>
      <w:r>
        <w:rPr>
          <w:rFonts w:ascii="Arial" w:cs="Arial" w:eastAsia="Arial" w:hAnsi="Arial"/>
          <w:b/>
          <w:bCs/>
          <w:color w:val="2D2D2D"/>
          <w:sz w:val="24"/>
          <w:szCs w:val="24"/>
        </w:rPr>
        <w:t xml:space="preserve">Confident Growth — Strategic Enabler</w:t>
      </w:r>
    </w:p>
    <w:p>
      <w:pPr>
        <w:pStyle w:val="ListParagraph"/>
        <w:numPr>
          <w:ilvl w:val="0"/>
          <w:numId w:val="2"/>
        </w:numPr>
        <w:spacing w:after="40" w:before="40"/>
      </w:pPr>
      <w:r>
        <w:rPr>
          <w:rFonts w:ascii="Arial" w:cs="Arial" w:eastAsia="Arial" w:hAnsi="Arial"/>
          <w:color w:val="2D2D2D"/>
          <w:sz w:val="21"/>
          <w:szCs w:val="21"/>
        </w:rPr>
        <w:t xml:space="preserve">Supplier can sell to unknown new customers without bearing unquantified risk</w:t>
      </w:r>
    </w:p>
    <w:p>
      <w:pPr>
        <w:pStyle w:val="ListParagraph"/>
        <w:numPr>
          <w:ilvl w:val="0"/>
          <w:numId w:val="2"/>
        </w:numPr>
        <w:spacing w:after="40" w:before="40"/>
      </w:pPr>
      <w:r>
        <w:rPr>
          <w:rFonts w:ascii="Arial" w:cs="Arial" w:eastAsia="Arial" w:hAnsi="Arial"/>
          <w:color w:val="2D2D2D"/>
          <w:sz w:val="21"/>
          <w:szCs w:val="21"/>
        </w:rPr>
        <w:t xml:space="preserve">Credit limits can be raised because risk is governed and measurable</w:t>
      </w:r>
    </w:p>
    <w:p>
      <w:pPr>
        <w:pStyle w:val="ListParagraph"/>
        <w:numPr>
          <w:ilvl w:val="0"/>
          <w:numId w:val="2"/>
        </w:numPr>
        <w:spacing w:after="40" w:before="40"/>
      </w:pPr>
      <w:r>
        <w:rPr>
          <w:rFonts w:ascii="Arial" w:cs="Arial" w:eastAsia="Arial" w:hAnsi="Arial"/>
          <w:color w:val="2D2D2D"/>
          <w:sz w:val="21"/>
          <w:szCs w:val="21"/>
        </w:rPr>
        <w:t xml:space="preserve">Strategic outcome: scale revenue without scaling risk exposure</w:t>
      </w:r>
    </w:p>
    <w:p>
      <w:pPr>
        <w:pBdr>
          <w:bottom w:val="single" w:color="E8771A" w:sz="6"/>
        </w:pBdr>
        <w:spacing w:after="120" w:before="360"/>
      </w:pPr>
      <w:r>
        <w:rPr>
          <w:rFonts w:ascii="Arial" w:cs="Arial" w:eastAsia="Arial" w:hAnsi="Arial"/>
          <w:b/>
          <w:bCs/>
          <w:color w:val="1A1A1A"/>
          <w:sz w:val="28"/>
          <w:szCs w:val="28"/>
        </w:rPr>
        <w:t xml:space="preserve">5. SGS Partnership — Inspection &amp; Certification Services</w:t>
      </w:r>
    </w:p>
    <w:p>
      <w:pPr>
        <w:spacing w:after="60" w:before="60"/>
        <w:ind w:left="0"/>
      </w:pPr>
      <w:r>
        <w:rPr>
          <w:rFonts w:ascii="Arial" w:cs="Arial" w:eastAsia="Arial" w:hAnsi="Arial"/>
          <w:b/>
          <w:bCs/>
          <w:color w:val="2D2D2D"/>
          <w:sz w:val="21"/>
          <w:szCs w:val="21"/>
        </w:rPr>
        <w:t xml:space="preserve">MUHIDE now offers inspection, verification, testing, and certification services through SGS, providing exclusive preferential terms and added payment protection for MUHIDE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Service</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c>
          <w:tcPr>
            <w:tcW w:type="dxa" w:w="31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Key Benefit</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Physical Inspection</w:t>
            </w:r>
          </w:p>
        </w:tc>
        <w:tc>
          <w:tcPr>
            <w:tcW w:type="dxa" w:w="4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On-site verification of shipment: visual inspection of product ID, packing, quality, quantity, and full container sealing.</w:t>
            </w:r>
          </w:p>
        </w:tc>
        <w:tc>
          <w:tcPr>
            <w:tcW w:type="dxa" w:w="31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Irrefutable delivery evidence — dispute-proof from Day 1</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Virtual Inspection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Real-time visual inspection of product ID, packing, marks, quality, and quantity per AQL sampling plan via live video/images.</w:t>
            </w:r>
          </w:p>
        </w:tc>
        <w:tc>
          <w:tcPr>
            <w:tcW w:type="dxa" w:w="31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Remote authentication at scale — lower cost, same protection</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Golden Verified Supplier</w:t>
            </w:r>
          </w:p>
        </w:tc>
        <w:tc>
          <w:tcPr>
            <w:tcW w:type="dxa" w:w="4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In-depth factory audits + official 'SGS Golden Verified Supplier' mark. Proof of top reliability and transparency.</w:t>
            </w:r>
          </w:p>
        </w:tc>
        <w:tc>
          <w:tcPr>
            <w:tcW w:type="dxa" w:w="31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Premium credibility badge — boosts buyer trust and closes sales faster</w:t>
            </w:r>
          </w:p>
        </w:tc>
      </w:tr>
    </w:tbl>
    <w:p>
      <w:pPr>
        <w:pStyle w:val="ListParagraph"/>
        <w:numPr>
          <w:ilvl w:val="0"/>
          <w:numId w:val="2"/>
        </w:numPr>
        <w:spacing w:after="40" w:before="40"/>
      </w:pPr>
      <w:r>
        <w:rPr>
          <w:rFonts w:ascii="Arial" w:cs="Arial" w:eastAsia="Arial" w:hAnsi="Arial"/>
          <w:color w:val="2D2D2D"/>
          <w:sz w:val="21"/>
          <w:szCs w:val="21"/>
        </w:rPr>
        <w:t xml:space="preserve">Adds an extra layer of transparency to every delivery</w:t>
      </w:r>
    </w:p>
    <w:p>
      <w:pPr>
        <w:pStyle w:val="ListParagraph"/>
        <w:numPr>
          <w:ilvl w:val="0"/>
          <w:numId w:val="2"/>
        </w:numPr>
        <w:spacing w:after="40" w:before="40"/>
      </w:pPr>
      <w:r>
        <w:rPr>
          <w:rFonts w:ascii="Arial" w:cs="Arial" w:eastAsia="Arial" w:hAnsi="Arial"/>
          <w:color w:val="2D2D2D"/>
          <w:sz w:val="21"/>
          <w:szCs w:val="21"/>
        </w:rPr>
        <w:t xml:space="preserve">Reduces the risk of commercial disputes from delivery-related claims</w:t>
      </w:r>
    </w:p>
    <w:p>
      <w:pPr>
        <w:pStyle w:val="ListParagraph"/>
        <w:numPr>
          <w:ilvl w:val="0"/>
          <w:numId w:val="2"/>
        </w:numPr>
        <w:spacing w:after="40" w:before="40"/>
      </w:pPr>
      <w:r>
        <w:rPr>
          <w:rFonts w:ascii="Arial" w:cs="Arial" w:eastAsia="Arial" w:hAnsi="Arial"/>
          <w:color w:val="2D2D2D"/>
          <w:sz w:val="21"/>
          <w:szCs w:val="21"/>
        </w:rPr>
        <w:t xml:space="preserve">Protects your business from costly disputes caused by third-party logistics handling</w:t>
      </w:r>
    </w:p>
    <w:p>
      <w:pPr>
        <w:pStyle w:val="ListParagraph"/>
        <w:numPr>
          <w:ilvl w:val="0"/>
          <w:numId w:val="2"/>
        </w:numPr>
        <w:spacing w:after="40" w:before="40"/>
      </w:pPr>
      <w:r>
        <w:rPr>
          <w:rFonts w:ascii="Arial" w:cs="Arial" w:eastAsia="Arial" w:hAnsi="Arial"/>
          <w:color w:val="2D2D2D"/>
          <w:sz w:val="21"/>
          <w:szCs w:val="21"/>
        </w:rPr>
        <w:t xml:space="preserve">Boost sales by becoming a certified, trusted SGS-verified supplier</w:t>
      </w:r>
    </w:p>
    <w:p>
      <w:pPr>
        <w:pBdr>
          <w:left w:val="thick" w:color="E8771A" w:sz="8"/>
        </w:pBdr>
        <w:shd w:fill="FFF8F0" w:val="clear"/>
        <w:spacing w:after="80" w:before="120"/>
        <w:ind w:left="200" w:right="200"/>
      </w:pPr>
      <w:r>
        <w:rPr>
          <w:rFonts w:ascii="Arial" w:cs="Arial" w:eastAsia="Arial" w:hAnsi="Arial"/>
          <w:i/>
          <w:iCs/>
          <w:color w:val="2D2D2D"/>
          <w:sz w:val="20"/>
          <w:szCs w:val="20"/>
        </w:rPr>
        <w:t xml:space="preserve">To apply for SGS inspection or verification: muhide.com  ·  info@muhide.com  ·  9200-31-651</w:t>
      </w:r>
    </w:p>
    <w:p>
      <w:pPr>
        <w:pBdr>
          <w:bottom w:val="single" w:color="E8771A" w:sz="6"/>
        </w:pBdr>
        <w:spacing w:after="120" w:before="360"/>
      </w:pPr>
      <w:r>
        <w:rPr>
          <w:rFonts w:ascii="Arial" w:cs="Arial" w:eastAsia="Arial" w:hAnsi="Arial"/>
          <w:b/>
          <w:bCs/>
          <w:color w:val="1A1A1A"/>
          <w:sz w:val="28"/>
          <w:szCs w:val="28"/>
        </w:rPr>
        <w:t xml:space="preserve">6. Supplier ICP — The Ideal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Criterion</w:t>
            </w:r>
          </w:p>
        </w:tc>
        <w:tc>
          <w:tcPr>
            <w:tcW w:type="dxa" w:w="6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Priority Sectors</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Automotive service equipment | Medical &amp; aesthetic devices | Industrial supplies &amp; spare parts | Construction materials | F&amp;B supply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Revenue Size</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SAR 20M – 150M annually</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 Open Credit Sales</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40% or more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Receivables Portfolio</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SAR 10M – 80M</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Company Type</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Private or listed on Nomu — not government or semi-government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Supplier Power Over Buyer</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has a product the buyer needs — can mandate platform use</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Decision Makers</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CEO + CFO together — deal does not close with one person alone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Annual Invoice Volume</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120 – 600 invoices</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Purchase Trigger</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Prior financial loss | Governance pressure | Financing need | Expansion to new customers</w:t>
            </w:r>
          </w:p>
        </w:tc>
      </w:tr>
    </w:tbl>
    <w:p>
      <w:pPr>
        <w:pBdr>
          <w:left w:val="thick" w:color="E8771A" w:sz="12"/>
        </w:pBdr>
        <w:spacing w:after="80" w:before="280"/>
        <w:ind w:left="200"/>
      </w:pPr>
      <w:r>
        <w:rPr>
          <w:rFonts w:ascii="Arial" w:cs="Arial" w:eastAsia="Arial" w:hAnsi="Arial"/>
          <w:b/>
          <w:bCs/>
          <w:color w:val="2D2D2D"/>
          <w:sz w:val="24"/>
          <w:szCs w:val="24"/>
        </w:rPr>
        <w:t xml:space="preserve">Anti-ICP — Avoid These</w:t>
      </w:r>
    </w:p>
    <w:p>
      <w:pPr>
        <w:pStyle w:val="ListParagraph"/>
        <w:numPr>
          <w:ilvl w:val="0"/>
          <w:numId w:val="2"/>
        </w:numPr>
        <w:spacing w:after="40" w:before="40"/>
      </w:pPr>
      <w:r>
        <w:rPr>
          <w:rFonts w:ascii="Arial" w:cs="Arial" w:eastAsia="Arial" w:hAnsi="Arial"/>
          <w:color w:val="2D2D2D"/>
          <w:sz w:val="21"/>
          <w:szCs w:val="21"/>
        </w:rPr>
        <w:t xml:space="preserve">Government or semi-government entities — complex procurement, committee decisions</w:t>
      </w:r>
    </w:p>
    <w:p>
      <w:pPr>
        <w:pStyle w:val="ListParagraph"/>
        <w:numPr>
          <w:ilvl w:val="0"/>
          <w:numId w:val="2"/>
        </w:numPr>
        <w:spacing w:after="40" w:before="40"/>
      </w:pPr>
      <w:r>
        <w:rPr>
          <w:rFonts w:ascii="Arial" w:cs="Arial" w:eastAsia="Arial" w:hAnsi="Arial"/>
          <w:color w:val="2D2D2D"/>
          <w:sz w:val="21"/>
          <w:szCs w:val="21"/>
        </w:rPr>
        <w:t xml:space="preserve">Revenue below SAR 5M — operate on personal trust, no process infrastructure</w:t>
      </w:r>
    </w:p>
    <w:p>
      <w:pPr>
        <w:pStyle w:val="ListParagraph"/>
        <w:numPr>
          <w:ilvl w:val="0"/>
          <w:numId w:val="2"/>
        </w:numPr>
        <w:spacing w:after="40" w:before="40"/>
      </w:pPr>
      <w:r>
        <w:rPr>
          <w:rFonts w:ascii="Arial" w:cs="Arial" w:eastAsia="Arial" w:hAnsi="Arial"/>
          <w:color w:val="2D2D2D"/>
          <w:sz w:val="21"/>
          <w:szCs w:val="21"/>
        </w:rPr>
        <w:t xml:space="preserve">100% cash sales — no problem to solve</w:t>
      </w:r>
    </w:p>
    <w:p>
      <w:pPr>
        <w:pStyle w:val="ListParagraph"/>
        <w:numPr>
          <w:ilvl w:val="0"/>
          <w:numId w:val="2"/>
        </w:numPr>
        <w:spacing w:after="40" w:before="40"/>
      </w:pPr>
      <w:r>
        <w:rPr>
          <w:rFonts w:ascii="Arial" w:cs="Arial" w:eastAsia="Arial" w:hAnsi="Arial"/>
          <w:color w:val="2D2D2D"/>
          <w:sz w:val="21"/>
          <w:szCs w:val="21"/>
        </w:rPr>
        <w:t xml:space="preserve">Supplier weaker than buyer — cannot mandate platform use; activation will be zero</w:t>
      </w:r>
    </w:p>
    <w:p>
      <w:pPr>
        <w:pBdr>
          <w:bottom w:val="single" w:color="E8771A" w:sz="6"/>
        </w:pBdr>
        <w:spacing w:after="120" w:before="360"/>
      </w:pPr>
      <w:r>
        <w:rPr>
          <w:rFonts w:ascii="Arial" w:cs="Arial" w:eastAsia="Arial" w:hAnsi="Arial"/>
          <w:b/>
          <w:bCs/>
          <w:color w:val="1A1A1A"/>
          <w:sz w:val="28"/>
          <w:szCs w:val="28"/>
        </w:rPr>
        <w:t xml:space="preserve">7. Supplier Go-To-Market</w:t>
      </w:r>
    </w:p>
    <w:p>
      <w:pPr>
        <w:shd w:fill="1A1A1A" w:val="clear"/>
        <w:spacing w:after="120" w:before="160"/>
        <w:ind w:left="280" w:right="280"/>
      </w:pPr>
      <w:r>
        <w:rPr>
          <w:rFonts w:ascii="Arial" w:cs="Arial" w:eastAsia="Arial" w:hAnsi="Arial"/>
          <w:b/>
          <w:bCs/>
          <w:color w:val="FFFFFF"/>
          <w:sz w:val="22"/>
          <w:szCs w:val="22"/>
        </w:rPr>
        <w:t xml:space="preserve">"Sell on credit with the security of cash — and convert your receivables into immediate liquidity."</w:t>
      </w:r>
    </w:p>
    <w:p>
      <w:pPr>
        <w:pBdr>
          <w:left w:val="thick" w:color="E8771A" w:sz="12"/>
        </w:pBdr>
        <w:spacing w:after="80" w:before="280"/>
        <w:ind w:left="200"/>
      </w:pPr>
      <w:r>
        <w:rPr>
          <w:rFonts w:ascii="Arial" w:cs="Arial" w:eastAsia="Arial" w:hAnsi="Arial"/>
          <w:b/>
          <w:bCs/>
          <w:color w:val="2D2D2D"/>
          <w:sz w:val="24"/>
          <w:szCs w:val="24"/>
        </w:rPr>
        <w:t xml:space="preserve">Financial Angle vs Legal Angle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pPr>
              <w:spacing w:after="60" w:before="60"/>
            </w:pPr>
            <w:r>
              <w:rPr>
                <w:rFonts w:ascii="Arial" w:cs="Arial" w:eastAsia="Arial" w:hAnsi="Arial"/>
                <w:color w:val="FFFFFF"/>
                <w:sz w:val="19"/>
                <w:szCs w:val="19"/>
              </w:rPr>
              <w:t xml:space="preserve">Financial Angle — For the CFO</w:t>
            </w:r>
          </w:p>
          <w:p>
            <w:pPr>
              <w:spacing w:after="60" w:before="60"/>
            </w:pPr>
            <w:r>
              <w:rPr>
                <w:rFonts w:ascii="Arial" w:cs="Arial" w:eastAsia="Arial" w:hAnsi="Arial"/>
                <w:color w:val="FFFFFF"/>
                <w:sz w:val="19"/>
                <w:szCs w:val="19"/>
              </w:rPr>
              <w:t xml:space="preserve"/>
            </w:r>
          </w:p>
          <w:p>
            <w:pPr>
              <w:spacing w:after="60" w:before="60"/>
            </w:pPr>
            <w:r>
              <w:rPr>
                <w:rFonts w:ascii="Arial" w:cs="Arial" w:eastAsia="Arial" w:hAnsi="Arial"/>
                <w:color w:val="FFFFFF"/>
                <w:sz w:val="19"/>
                <w:szCs w:val="19"/>
              </w:rPr>
              <w:t xml:space="preserve">How large is your receivables portfolio?</w:t>
            </w:r>
          </w:p>
          <w:p>
            <w:pPr>
              <w:spacing w:after="60" w:before="60"/>
            </w:pPr>
            <w:r>
              <w:rPr>
                <w:rFonts w:ascii="Arial" w:cs="Arial" w:eastAsia="Arial" w:hAnsi="Arial"/>
                <w:color w:val="FFFFFF"/>
                <w:sz w:val="19"/>
                <w:szCs w:val="19"/>
              </w:rPr>
              <w:t xml:space="preserve">Every MUHIDE invoice = an immediate financing right.</w:t>
            </w:r>
          </w:p>
          <w:p>
            <w:pPr>
              <w:spacing w:after="60" w:before="60"/>
            </w:pPr>
            <w:r>
              <w:rPr>
                <w:rFonts w:ascii="Arial" w:cs="Arial" w:eastAsia="Arial" w:hAnsi="Arial"/>
                <w:color w:val="FFFFFF"/>
                <w:sz w:val="19"/>
                <w:szCs w:val="19"/>
              </w:rPr>
              <w:t xml:space="preserve">Every documented delay = an auditor-supported provision reduction.</w:t>
            </w:r>
          </w:p>
        </w:tc>
        <w:tc>
          <w:tcPr>
            <w:tcW w:type="dxa" w:w="4700"/>
            <w:tcBorders>
              <w:top w:val="single" w:color="DDDDDD" w:sz="1"/>
              <w:left w:val="single" w:color="DDDDDD" w:sz="1"/>
              <w:bottom w:val="single" w:color="DDDDDD" w:sz="1"/>
              <w:right w:val="single" w:color="DDDDDD" w:sz="1"/>
            </w:tcBorders>
            <w:shd w:fill="F2F2F2" w:val="clear"/>
            <w:tcMar>
              <w:top w:type="dxa" w:w="120"/>
              <w:left w:type="dxa" w:w="200"/>
              <w:bottom w:type="dxa" w:w="120"/>
              <w:right w:type="dxa" w:w="200"/>
            </w:tcMar>
          </w:tcPr>
          <w:p>
            <w:pPr>
              <w:spacing w:after="60" w:before="60"/>
            </w:pPr>
            <w:r>
              <w:rPr>
                <w:rFonts w:ascii="Arial" w:cs="Arial" w:eastAsia="Arial" w:hAnsi="Arial"/>
                <w:color w:val="2D2D2D"/>
                <w:sz w:val="19"/>
                <w:szCs w:val="19"/>
              </w:rPr>
              <w:t xml:space="preserve">Legal Angle — For CEO &amp; Legal</w:t>
            </w:r>
          </w:p>
          <w:p>
            <w:pPr>
              <w:spacing w:after="60" w:before="60"/>
            </w:pPr>
            <w:r>
              <w:rPr>
                <w:rFonts w:ascii="Arial" w:cs="Arial" w:eastAsia="Arial" w:hAnsi="Arial"/>
                <w:color w:val="2D2D2D"/>
                <w:sz w:val="19"/>
                <w:szCs w:val="19"/>
              </w:rPr>
              <w:t xml:space="preserve"/>
            </w:r>
          </w:p>
          <w:p>
            <w:pPr>
              <w:spacing w:after="60" w:before="60"/>
            </w:pPr>
            <w:r>
              <w:rPr>
                <w:rFonts w:ascii="Arial" w:cs="Arial" w:eastAsia="Arial" w:hAnsi="Arial"/>
                <w:color w:val="2D2D2D"/>
                <w:sz w:val="19"/>
                <w:szCs w:val="19"/>
              </w:rPr>
              <w:t xml:space="preserve">In any dispute — your Order for Payment file is ready.</w:t>
            </w:r>
          </w:p>
          <w:p>
            <w:pPr>
              <w:spacing w:after="60" w:before="60"/>
            </w:pPr>
            <w:r>
              <w:rPr>
                <w:rFonts w:ascii="Arial" w:cs="Arial" w:eastAsia="Arial" w:hAnsi="Arial"/>
                <w:color w:val="2D2D2D"/>
                <w:sz w:val="19"/>
                <w:szCs w:val="19"/>
              </w:rPr>
              <w:t xml:space="preserve">The agreement is accepted before Saudi commercial courts.</w:t>
            </w:r>
          </w:p>
          <w:p>
            <w:pPr>
              <w:spacing w:after="60" w:before="60"/>
            </w:pPr>
            <w:r>
              <w:rPr>
                <w:rFonts w:ascii="Arial" w:cs="Arial" w:eastAsia="Arial" w:hAnsi="Arial"/>
                <w:color w:val="2D2D2D"/>
                <w:sz w:val="19"/>
                <w:szCs w:val="19"/>
              </w:rPr>
              <w:t xml:space="preserve">Documents are Blockchain-protected — cannot be denied.</w:t>
            </w:r>
          </w:p>
        </w:tc>
      </w:tr>
    </w:tbl>
    <w:p>
      <w:pPr>
        <w:pBdr>
          <w:left w:val="thick" w:color="E8771A" w:sz="12"/>
        </w:pBdr>
        <w:spacing w:after="80" w:before="280"/>
        <w:ind w:left="200"/>
      </w:pPr>
      <w:r>
        <w:rPr>
          <w:rFonts w:ascii="Arial" w:cs="Arial" w:eastAsia="Arial" w:hAnsi="Arial"/>
          <w:b/>
          <w:bCs/>
          <w:color w:val="2D2D2D"/>
          <w:sz w:val="24"/>
          <w:szCs w:val="24"/>
        </w:rPr>
        <w:t xml:space="preserve">Sales Motion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7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1 — Reach</w:t>
            </w:r>
          </w:p>
        </w:tc>
        <w:tc>
          <w:tcPr>
            <w:tcW w:type="dxa" w:w="7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Warm outreach via accounting firms (RSM etc.), trade chambers, or sector exhibitions. Open with: 'How large is your outstanding receivables portfolio?'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2 — Discovery</w:t>
            </w:r>
          </w:p>
        </w:tc>
        <w:tc>
          <w:tcPr>
            <w:tcW w:type="dxa" w:w="7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Meeting with no pitch. Two questions only: What's your receivables size? Have you ever lost money on an open credit sale?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3 — Demo</w:t>
            </w:r>
          </w:p>
        </w:tc>
        <w:tc>
          <w:tcPr>
            <w:tcW w:type="dxa" w:w="7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Demo using a real scenario from their sector — show exactly how their last problem would have been resolved if it had been documented on MUHIDE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4 — Legal Package</w:t>
            </w:r>
          </w:p>
        </w:tc>
        <w:tc>
          <w:tcPr>
            <w:tcW w:type="dxa" w:w="7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Deliver the pre-prepared legal review package. Don't wait to be asked. This compresses legal review from weeks to days.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5 — Close</w:t>
            </w:r>
          </w:p>
        </w:tc>
        <w:tc>
          <w:tcPr>
            <w:tcW w:type="dxa" w:w="7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Close with CEO + CFO present. Do not attempt single-person close — the deal requires both signatures on the decision.</w:t>
            </w:r>
          </w:p>
        </w:tc>
      </w:tr>
    </w:tbl>
    <w:p>
      <w:pPr>
        <w:pBdr>
          <w:left w:val="thick" w:color="E8771A" w:sz="12"/>
        </w:pBdr>
        <w:spacing w:after="80" w:before="280"/>
        <w:ind w:left="200"/>
      </w:pPr>
      <w:r>
        <w:rPr>
          <w:rFonts w:ascii="Arial" w:cs="Arial" w:eastAsia="Arial" w:hAnsi="Arial"/>
          <w:b/>
          <w:bCs/>
          <w:color w:val="2D2D2D"/>
          <w:sz w:val="24"/>
          <w:szCs w:val="24"/>
        </w:rPr>
        <w:t xml:space="preserve">Expected Sales Cycle</w:t>
      </w:r>
    </w:p>
    <w:p>
      <w:pPr>
        <w:pStyle w:val="ListParagraph"/>
        <w:numPr>
          <w:ilvl w:val="0"/>
          <w:numId w:val="2"/>
        </w:numPr>
        <w:spacing w:after="40" w:before="40"/>
      </w:pPr>
      <w:r>
        <w:rPr>
          <w:rFonts w:ascii="Arial" w:cs="Arial" w:eastAsia="Arial" w:hAnsi="Arial"/>
          <w:color w:val="2D2D2D"/>
          <w:sz w:val="21"/>
          <w:szCs w:val="21"/>
        </w:rPr>
        <w:t xml:space="preserve">Average sales cycle: 45–90 days</w:t>
      </w:r>
    </w:p>
    <w:p>
      <w:pPr>
        <w:pStyle w:val="ListParagraph"/>
        <w:numPr>
          <w:ilvl w:val="0"/>
          <w:numId w:val="2"/>
        </w:numPr>
        <w:spacing w:after="40" w:before="40"/>
      </w:pPr>
      <w:r>
        <w:rPr>
          <w:rFonts w:ascii="Arial" w:cs="Arial" w:eastAsia="Arial" w:hAnsi="Arial"/>
          <w:color w:val="2D2D2D"/>
          <w:sz w:val="21"/>
          <w:szCs w:val="21"/>
        </w:rPr>
        <w:t xml:space="preserve">The legal review phase is the longest stage — shortened with the pre-prepared package</w:t>
      </w:r>
    </w:p>
    <w:p>
      <w:pPr>
        <w:pStyle w:val="ListParagraph"/>
        <w:numPr>
          <w:ilvl w:val="0"/>
          <w:numId w:val="2"/>
        </w:numPr>
        <w:spacing w:after="40" w:before="40"/>
      </w:pPr>
      <w:r>
        <w:rPr>
          <w:rFonts w:ascii="Arial" w:cs="Arial" w:eastAsia="Arial" w:hAnsi="Arial"/>
          <w:color w:val="2D2D2D"/>
          <w:sz w:val="21"/>
          <w:szCs w:val="21"/>
        </w:rPr>
        <w:t xml:space="preserve">Supplier who previously suffered a financial loss: shorter cycle (30–45 days)</w:t>
      </w:r>
    </w:p>
    <w:p>
      <w:pPr>
        <w:pageBreakBefore/>
        <w:pBdr>
          <w:left w:val="thick" w:color="E8771A" w:sz="24"/>
        </w:pBdr>
        <w:shd w:fill="1A1A1A" w:val="clear"/>
        <w:spacing w:after="240" w:before="0"/>
        <w:ind w:left="240"/>
        <w:jc w:val="left"/>
      </w:pPr>
      <w:r>
        <w:rPr>
          <w:rFonts w:ascii="Arial" w:cs="Arial" w:eastAsia="Arial" w:hAnsi="Arial"/>
          <w:b/>
          <w:bCs/>
          <w:color w:val="FFFFFF"/>
          <w:sz w:val="36"/>
          <w:szCs w:val="36"/>
        </w:rPr>
        <w:t xml:space="preserve">PART 2 — BUYER</w:t>
      </w:r>
    </w:p>
    <w:p>
      <w:pPr>
        <w:pBdr>
          <w:bottom w:val="single" w:color="E8771A" w:sz="6"/>
        </w:pBdr>
        <w:spacing w:after="120" w:before="360"/>
      </w:pPr>
      <w:r>
        <w:rPr>
          <w:rFonts w:ascii="Arial" w:cs="Arial" w:eastAsia="Arial" w:hAnsi="Arial"/>
          <w:b/>
          <w:bCs/>
          <w:color w:val="1A1A1A"/>
          <w:sz w:val="28"/>
          <w:szCs w:val="28"/>
        </w:rPr>
        <w:t xml:space="preserve">1. Current State Analysis</w:t>
      </w:r>
    </w:p>
    <w:p>
      <w:pPr>
        <w:spacing w:after="60" w:before="60"/>
        <w:ind w:left="0"/>
      </w:pPr>
      <w:r>
        <w:rPr>
          <w:rFonts w:ascii="Arial" w:cs="Arial" w:eastAsia="Arial" w:hAnsi="Arial"/>
          <w:b w:val="false"/>
          <w:bCs w:val="false"/>
          <w:color w:val="2D2D2D"/>
          <w:sz w:val="21"/>
          <w:szCs w:val="21"/>
        </w:rPr>
        <w:t xml:space="preserve">The Saudi B2B buyer lives under the illusion of control. He believes he manages supplier relationships because he holds the purchase decision. In reality, the absence of documentation exposes him to hidden risks he absorbs without awareness.</w:t>
      </w:r>
    </w:p>
    <w:p>
      <w:pPr>
        <w:pBdr>
          <w:left w:val="thick" w:color="E8771A" w:sz="12"/>
        </w:pBdr>
        <w:spacing w:after="80" w:before="280"/>
        <w:ind w:left="200"/>
      </w:pPr>
      <w:r>
        <w:rPr>
          <w:rFonts w:ascii="Arial" w:cs="Arial" w:eastAsia="Arial" w:hAnsi="Arial"/>
          <w:b/>
          <w:bCs/>
          <w:color w:val="2D2D2D"/>
          <w:sz w:val="24"/>
          <w:szCs w:val="24"/>
        </w:rPr>
        <w:t xml:space="preserve">How Buyers Purchase on Open Credit Today</w:t>
      </w:r>
    </w:p>
    <w:p>
      <w:pPr>
        <w:pStyle w:val="ListParagraph"/>
        <w:numPr>
          <w:ilvl w:val="0"/>
          <w:numId w:val="2"/>
        </w:numPr>
        <w:spacing w:after="40" w:before="40"/>
      </w:pPr>
      <w:r>
        <w:rPr>
          <w:rFonts w:ascii="Arial" w:cs="Arial" w:eastAsia="Arial" w:hAnsi="Arial"/>
          <w:color w:val="2D2D2D"/>
          <w:sz w:val="21"/>
          <w:szCs w:val="21"/>
        </w:rPr>
        <w:t xml:space="preserve">Terms agreed verbally or over WhatsApp — no binding commitment</w:t>
      </w:r>
    </w:p>
    <w:p>
      <w:pPr>
        <w:pStyle w:val="ListParagraph"/>
        <w:numPr>
          <w:ilvl w:val="0"/>
          <w:numId w:val="2"/>
        </w:numPr>
        <w:spacing w:after="40" w:before="40"/>
      </w:pPr>
      <w:r>
        <w:rPr>
          <w:rFonts w:ascii="Arial" w:cs="Arial" w:eastAsia="Arial" w:hAnsi="Arial"/>
          <w:color w:val="2D2D2D"/>
          <w:sz w:val="21"/>
          <w:szCs w:val="21"/>
        </w:rPr>
        <w:t xml:space="preserve">Goods received and signed via paper — document lost or later denied</w:t>
      </w:r>
    </w:p>
    <w:p>
      <w:pPr>
        <w:pStyle w:val="ListParagraph"/>
        <w:numPr>
          <w:ilvl w:val="0"/>
          <w:numId w:val="2"/>
        </w:numPr>
        <w:spacing w:after="40" w:before="40"/>
      </w:pPr>
      <w:r>
        <w:rPr>
          <w:rFonts w:ascii="Arial" w:cs="Arial" w:eastAsia="Arial" w:hAnsi="Arial"/>
          <w:color w:val="2D2D2D"/>
          <w:sz w:val="21"/>
          <w:szCs w:val="21"/>
        </w:rPr>
        <w:t xml:space="preserve">Payment made in 30–90 days based on 'custom', not contract</w:t>
      </w:r>
    </w:p>
    <w:p>
      <w:pPr>
        <w:pStyle w:val="ListParagraph"/>
        <w:numPr>
          <w:ilvl w:val="0"/>
          <w:numId w:val="2"/>
        </w:numPr>
        <w:spacing w:after="40" w:before="40"/>
      </w:pPr>
      <w:r>
        <w:rPr>
          <w:rFonts w:ascii="Arial" w:cs="Arial" w:eastAsia="Arial" w:hAnsi="Arial"/>
          <w:color w:val="2D2D2D"/>
          <w:sz w:val="21"/>
          <w:szCs w:val="21"/>
        </w:rPr>
        <w:t xml:space="preserve">If goods are short or defective — phone negotiation begins</w:t>
      </w:r>
    </w:p>
    <w:p>
      <w:pPr>
        <w:pBdr>
          <w:left w:val="thick" w:color="E8771A" w:sz="12"/>
        </w:pBdr>
        <w:spacing w:after="80" w:before="280"/>
        <w:ind w:left="200"/>
      </w:pPr>
      <w:r>
        <w:rPr>
          <w:rFonts w:ascii="Arial" w:cs="Arial" w:eastAsia="Arial" w:hAnsi="Arial"/>
          <w:b/>
          <w:bCs/>
          <w:color w:val="2D2D2D"/>
          <w:sz w:val="24"/>
          <w:szCs w:val="24"/>
        </w:rPr>
        <w:t xml:space="preserve">How Buyers Manage Suppliers</w:t>
      </w:r>
    </w:p>
    <w:p>
      <w:pPr>
        <w:pStyle w:val="ListParagraph"/>
        <w:numPr>
          <w:ilvl w:val="0"/>
          <w:numId w:val="2"/>
        </w:numPr>
        <w:spacing w:after="40" w:before="40"/>
      </w:pPr>
      <w:r>
        <w:rPr>
          <w:rFonts w:ascii="Arial" w:cs="Arial" w:eastAsia="Arial" w:hAnsi="Arial"/>
          <w:color w:val="2D2D2D"/>
          <w:sz w:val="21"/>
          <w:szCs w:val="21"/>
        </w:rPr>
        <w:t xml:space="preserve">Approved vendor list — but no documented performance standards</w:t>
      </w:r>
    </w:p>
    <w:p>
      <w:pPr>
        <w:pStyle w:val="ListParagraph"/>
        <w:numPr>
          <w:ilvl w:val="0"/>
          <w:numId w:val="2"/>
        </w:numPr>
        <w:spacing w:after="40" w:before="40"/>
      </w:pPr>
      <w:r>
        <w:rPr>
          <w:rFonts w:ascii="Arial" w:cs="Arial" w:eastAsia="Arial" w:hAnsi="Arial"/>
          <w:color w:val="2D2D2D"/>
          <w:sz w:val="21"/>
          <w:szCs w:val="21"/>
        </w:rPr>
        <w:t xml:space="preserve">Supplier evaluation based on team memory, not data</w:t>
      </w:r>
    </w:p>
    <w:p>
      <w:pPr>
        <w:pStyle w:val="ListParagraph"/>
        <w:numPr>
          <w:ilvl w:val="0"/>
          <w:numId w:val="2"/>
        </w:numPr>
        <w:spacing w:after="40" w:before="40"/>
      </w:pPr>
      <w:r>
        <w:rPr>
          <w:rFonts w:ascii="Arial" w:cs="Arial" w:eastAsia="Arial" w:hAnsi="Arial"/>
          <w:color w:val="2D2D2D"/>
          <w:sz w:val="21"/>
          <w:szCs w:val="21"/>
        </w:rPr>
        <w:t xml:space="preserve">Personal preference often overrides performance in selection</w:t>
      </w:r>
    </w:p>
    <w:p>
      <w:pPr>
        <w:pStyle w:val="ListParagraph"/>
        <w:numPr>
          <w:ilvl w:val="0"/>
          <w:numId w:val="2"/>
        </w:numPr>
        <w:spacing w:after="40" w:before="40"/>
      </w:pPr>
      <w:r>
        <w:rPr>
          <w:rFonts w:ascii="Arial" w:cs="Arial" w:eastAsia="Arial" w:hAnsi="Arial"/>
          <w:color w:val="2D2D2D"/>
          <w:sz w:val="21"/>
          <w:szCs w:val="21"/>
        </w:rPr>
        <w:t xml:space="preserve">No centralized record of delivery history and disputes</w:t>
      </w:r>
    </w:p>
    <w:p>
      <w:pPr>
        <w:pBdr>
          <w:bottom w:val="single" w:color="E8771A" w:sz="6"/>
        </w:pBdr>
        <w:spacing w:after="120" w:before="360"/>
      </w:pPr>
      <w:r>
        <w:rPr>
          <w:rFonts w:ascii="Arial" w:cs="Arial" w:eastAsia="Arial" w:hAnsi="Arial"/>
          <w:b/>
          <w:bCs/>
          <w:color w:val="1A1A1A"/>
          <w:sz w:val="28"/>
          <w:szCs w:val="28"/>
        </w:rPr>
        <w:t xml:space="preserve">2. The Real Pain — The Buyer's Hidden Costs</w:t>
      </w:r>
    </w:p>
    <w:p>
      <w:pPr>
        <w:pBdr>
          <w:left w:val="thick" w:color="E8771A" w:sz="8"/>
        </w:pBdr>
        <w:shd w:fill="FFF8F0" w:val="clear"/>
        <w:spacing w:after="80" w:before="120"/>
        <w:ind w:left="200" w:right="200"/>
      </w:pPr>
      <w:r>
        <w:rPr>
          <w:rFonts w:ascii="Arial" w:cs="Arial" w:eastAsia="Arial" w:hAnsi="Arial"/>
          <w:i/>
          <w:iCs/>
          <w:color w:val="2D2D2D"/>
          <w:sz w:val="20"/>
          <w:szCs w:val="20"/>
        </w:rPr>
        <w:t xml:space="preserve">The buyer doesn't think he has a problem — and that is the biggest problem. His pain is buried in invisible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Pain Area</w:t>
            </w:r>
          </w:p>
        </w:tc>
        <w:tc>
          <w:tcPr>
            <w:tcW w:type="dxa" w:w="72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The Real Detail</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Delivery Shortfalls</w:t>
            </w:r>
          </w:p>
        </w:tc>
        <w:tc>
          <w:tcPr>
            <w:tcW w:type="dxa" w:w="72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delivers short quantities and claims full delivery. Without OTP and GPS, the buyer cannot prove otherwise — he pays for goods he didn't receive.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Dispute Drain</w:t>
            </w:r>
          </w:p>
        </w:tc>
        <w:tc>
          <w:tcPr>
            <w:tcW w:type="dxa" w:w="72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Every small dispute consumes hours from procurement, finance, and management teams. The hidden cost of each dispute exceeds its monetary value multiple times over.</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Loss of Control</w:t>
            </w:r>
          </w:p>
        </w:tc>
        <w:tc>
          <w:tcPr>
            <w:tcW w:type="dxa" w:w="72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The supplier knows the buyer has no documentary proof — and gradually relaxes on quality and timelines. Absence of accountability breeds performance decline.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Operational Chaos</w:t>
            </w:r>
          </w:p>
        </w:tc>
        <w:tc>
          <w:tcPr>
            <w:tcW w:type="dxa" w:w="72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Different teams deal with the same supplier in different ways. No centralized data. Procurement decisions built on incomplete information.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Audit Weakness</w:t>
            </w:r>
          </w:p>
        </w:tc>
        <w:tc>
          <w:tcPr>
            <w:tcW w:type="dxa" w:w="72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Auditor requests delivery documentation — staff searches through drawers and email threads. Documentation gaps = audit findings = management pressure.</w:t>
            </w:r>
          </w:p>
        </w:tc>
      </w:tr>
    </w:tbl>
    <w:p>
      <w:pPr>
        <w:pBdr>
          <w:bottom w:val="single" w:color="E8771A" w:sz="6"/>
        </w:pBdr>
        <w:spacing w:after="120" w:before="360"/>
      </w:pPr>
      <w:r>
        <w:rPr>
          <w:rFonts w:ascii="Arial" w:cs="Arial" w:eastAsia="Arial" w:hAnsi="Arial"/>
          <w:b/>
          <w:bCs/>
          <w:color w:val="1A1A1A"/>
          <w:sz w:val="28"/>
          <w:szCs w:val="28"/>
        </w:rPr>
        <w:t xml:space="preserve">3. How the Buyer Perceives MUHIDE</w:t>
      </w:r>
    </w:p>
    <w:p>
      <w:pPr>
        <w:spacing w:after="60" w:before="60"/>
        <w:ind w:left="0"/>
      </w:pPr>
      <w:r>
        <w:rPr>
          <w:rFonts w:ascii="Arial" w:cs="Arial" w:eastAsia="Arial" w:hAnsi="Arial"/>
          <w:b/>
          <w:bCs/>
          <w:color w:val="2D2D2D"/>
          <w:sz w:val="21"/>
          <w:szCs w:val="21"/>
        </w:rPr>
        <w:t xml:space="preserve">This is the largest obstacle. The buyer doesn't pay — but he can resist joining with intensity.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Perception</w:t>
            </w:r>
          </w:p>
        </w:tc>
        <w:tc>
          <w:tcPr>
            <w:tcW w:type="dxa" w:w="3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 He Fears It</w:t>
            </w:r>
          </w:p>
        </w:tc>
        <w:tc>
          <w:tcPr>
            <w:tcW w:type="dxa" w:w="39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The Right Reframe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A Threat</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The platform makes him definitively accountable — he can no longer deny after the fact</w:t>
            </w:r>
          </w:p>
        </w:tc>
        <w:tc>
          <w:tcPr>
            <w:tcW w:type="dxa" w:w="39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Correct — but it also protects him from suppliers who claim delivery without actually delivering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A Restriction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He believes he'll lose flexibility to negotiate in disputes</w:t>
            </w:r>
          </w:p>
        </w:tc>
        <w:tc>
          <w:tcPr>
            <w:tcW w:type="dxa" w:w="39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Real flexibility is owning the evidence — whoever has proof negotiates from strength</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Added Complexity</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New procedures will slow operations</w:t>
            </w:r>
          </w:p>
        </w:tc>
        <w:tc>
          <w:tcPr>
            <w:tcW w:type="dxa" w:w="39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The delivery step takes two minutes. The alternative is hours of dispute resolution later.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Imposed Structure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The supplier brought him in — he feels he had no choice</w:t>
            </w:r>
          </w:p>
        </w:tc>
        <w:tc>
          <w:tcPr>
            <w:tcW w:type="dxa" w:w="39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In reality he gains: documentation in his favor, protection of his rights, and sometimes cheaper financing</w:t>
            </w:r>
          </w:p>
        </w:tc>
      </w:tr>
    </w:tbl>
    <w:p>
      <w:pPr>
        <w:pBdr>
          <w:bottom w:val="single" w:color="E8771A" w:sz="6"/>
        </w:pBdr>
        <w:spacing w:after="120" w:before="360"/>
      </w:pPr>
      <w:r>
        <w:rPr>
          <w:rFonts w:ascii="Arial" w:cs="Arial" w:eastAsia="Arial" w:hAnsi="Arial"/>
          <w:b/>
          <w:bCs/>
          <w:color w:val="1A1A1A"/>
          <w:sz w:val="28"/>
          <w:szCs w:val="28"/>
        </w:rPr>
        <w:t xml:space="preserve">4. The Real Value of MUHIDE for the Buyer</w:t>
      </w:r>
    </w:p>
    <w:p>
      <w:pPr>
        <w:pBdr>
          <w:left w:val="thick" w:color="E8771A" w:sz="12"/>
        </w:pBdr>
        <w:spacing w:after="80" w:before="280"/>
        <w:ind w:left="200"/>
      </w:pPr>
      <w:r>
        <w:rPr>
          <w:rFonts w:ascii="Arial" w:cs="Arial" w:eastAsia="Arial" w:hAnsi="Arial"/>
          <w:b/>
          <w:bCs/>
          <w:color w:val="2D2D2D"/>
          <w:sz w:val="24"/>
          <w:szCs w:val="24"/>
        </w:rPr>
        <w:t xml:space="preserve">Supplier Control — From Relationship to Performance</w:t>
      </w:r>
    </w:p>
    <w:p>
      <w:pPr>
        <w:pStyle w:val="ListParagraph"/>
        <w:numPr>
          <w:ilvl w:val="0"/>
          <w:numId w:val="2"/>
        </w:numPr>
        <w:spacing w:after="40" w:before="40"/>
      </w:pPr>
      <w:r>
        <w:rPr>
          <w:rFonts w:ascii="Arial" w:cs="Arial" w:eastAsia="Arial" w:hAnsi="Arial"/>
          <w:color w:val="2D2D2D"/>
          <w:sz w:val="21"/>
          <w:szCs w:val="21"/>
        </w:rPr>
        <w:t xml:space="preserve">Every authenticated delivery = cumulative performance data on that supplier</w:t>
      </w:r>
    </w:p>
    <w:p>
      <w:pPr>
        <w:pStyle w:val="ListParagraph"/>
        <w:numPr>
          <w:ilvl w:val="0"/>
          <w:numId w:val="2"/>
        </w:numPr>
        <w:spacing w:after="40" w:before="40"/>
      </w:pPr>
      <w:r>
        <w:rPr>
          <w:rFonts w:ascii="Arial" w:cs="Arial" w:eastAsia="Arial" w:hAnsi="Arial"/>
          <w:color w:val="2D2D2D"/>
          <w:sz w:val="21"/>
          <w:szCs w:val="21"/>
        </w:rPr>
        <w:t xml:space="preserve">Supplier knows every shortfall or delay is recorded — behavior improves automatically</w:t>
      </w:r>
    </w:p>
    <w:p>
      <w:pPr>
        <w:pStyle w:val="ListParagraph"/>
        <w:numPr>
          <w:ilvl w:val="0"/>
          <w:numId w:val="2"/>
        </w:numPr>
        <w:spacing w:after="40" w:before="40"/>
      </w:pPr>
      <w:r>
        <w:rPr>
          <w:rFonts w:ascii="Arial" w:cs="Arial" w:eastAsia="Arial" w:hAnsi="Arial"/>
          <w:color w:val="2D2D2D"/>
          <w:sz w:val="21"/>
          <w:szCs w:val="21"/>
        </w:rPr>
        <w:t xml:space="preserve">Buyer can compare supplier performance with numbers, not impressions</w:t>
      </w:r>
    </w:p>
    <w:p>
      <w:pPr>
        <w:pBdr>
          <w:left w:val="thick" w:color="E8771A" w:sz="12"/>
        </w:pBdr>
        <w:spacing w:after="80" w:before="280"/>
        <w:ind w:left="200"/>
      </w:pPr>
      <w:r>
        <w:rPr>
          <w:rFonts w:ascii="Arial" w:cs="Arial" w:eastAsia="Arial" w:hAnsi="Arial"/>
          <w:b/>
          <w:bCs/>
          <w:color w:val="2D2D2D"/>
          <w:sz w:val="24"/>
          <w:szCs w:val="24"/>
        </w:rPr>
        <w:t xml:space="preserve">Dispute Reduction — From Negotiation to Evidence</w:t>
      </w:r>
    </w:p>
    <w:p>
      <w:pPr>
        <w:pStyle w:val="ListParagraph"/>
        <w:numPr>
          <w:ilvl w:val="0"/>
          <w:numId w:val="2"/>
        </w:numPr>
        <w:spacing w:after="40" w:before="40"/>
      </w:pPr>
      <w:r>
        <w:rPr>
          <w:rFonts w:ascii="Arial" w:cs="Arial" w:eastAsia="Arial" w:hAnsi="Arial"/>
          <w:color w:val="2D2D2D"/>
          <w:sz w:val="21"/>
          <w:szCs w:val="21"/>
        </w:rPr>
        <w:t xml:space="preserve">OTP + GPS + photos = irrefutable fact, not opinion</w:t>
      </w:r>
    </w:p>
    <w:p>
      <w:pPr>
        <w:pStyle w:val="ListParagraph"/>
        <w:numPr>
          <w:ilvl w:val="0"/>
          <w:numId w:val="2"/>
        </w:numPr>
        <w:spacing w:after="40" w:before="40"/>
      </w:pPr>
      <w:r>
        <w:rPr>
          <w:rFonts w:ascii="Arial" w:cs="Arial" w:eastAsia="Arial" w:hAnsi="Arial"/>
          <w:color w:val="2D2D2D"/>
          <w:sz w:val="21"/>
          <w:szCs w:val="21"/>
        </w:rPr>
        <w:t xml:space="preserve">Buyer formally rejects short delivery on the platform — no phone negotiation needed</w:t>
      </w:r>
    </w:p>
    <w:p>
      <w:pPr>
        <w:pStyle w:val="ListParagraph"/>
        <w:numPr>
          <w:ilvl w:val="0"/>
          <w:numId w:val="2"/>
        </w:numPr>
        <w:spacing w:after="40" w:before="40"/>
      </w:pPr>
      <w:r>
        <w:rPr>
          <w:rFonts w:ascii="Arial" w:cs="Arial" w:eastAsia="Arial" w:hAnsi="Arial"/>
          <w:color w:val="2D2D2D"/>
          <w:sz w:val="21"/>
          <w:szCs w:val="21"/>
        </w:rPr>
        <w:t xml:space="preserve">Supplier knows rejection is documented — avoids the violation in the first place</w:t>
      </w:r>
    </w:p>
    <w:p>
      <w:pPr>
        <w:pBdr>
          <w:left w:val="thick" w:color="E8771A" w:sz="12"/>
        </w:pBdr>
        <w:spacing w:after="80" w:before="280"/>
        <w:ind w:left="200"/>
      </w:pPr>
      <w:r>
        <w:rPr>
          <w:rFonts w:ascii="Arial" w:cs="Arial" w:eastAsia="Arial" w:hAnsi="Arial"/>
          <w:b/>
          <w:bCs/>
          <w:color w:val="2D2D2D"/>
          <w:sz w:val="24"/>
          <w:szCs w:val="24"/>
        </w:rPr>
        <w:t xml:space="preserve">Governance &amp; Audit Strength</w:t>
      </w:r>
    </w:p>
    <w:p>
      <w:pPr>
        <w:pStyle w:val="ListParagraph"/>
        <w:numPr>
          <w:ilvl w:val="0"/>
          <w:numId w:val="2"/>
        </w:numPr>
        <w:spacing w:after="40" w:before="40"/>
      </w:pPr>
      <w:r>
        <w:rPr>
          <w:rFonts w:ascii="Arial" w:cs="Arial" w:eastAsia="Arial" w:hAnsi="Arial"/>
          <w:color w:val="2D2D2D"/>
          <w:sz w:val="21"/>
          <w:szCs w:val="21"/>
        </w:rPr>
        <w:t xml:space="preserve">Every transaction = a complete digital record ready for the auditor in seconds</w:t>
      </w:r>
    </w:p>
    <w:p>
      <w:pPr>
        <w:pStyle w:val="ListParagraph"/>
        <w:numPr>
          <w:ilvl w:val="0"/>
          <w:numId w:val="2"/>
        </w:numPr>
        <w:spacing w:after="40" w:before="40"/>
      </w:pPr>
      <w:r>
        <w:rPr>
          <w:rFonts w:ascii="Arial" w:cs="Arial" w:eastAsia="Arial" w:hAnsi="Arial"/>
          <w:color w:val="2D2D2D"/>
          <w:sz w:val="21"/>
          <w:szCs w:val="21"/>
        </w:rPr>
        <w:t xml:space="preserve">No searching through drawers and email chains — documents are centralized and organized</w:t>
      </w:r>
    </w:p>
    <w:p>
      <w:pPr>
        <w:pStyle w:val="ListParagraph"/>
        <w:numPr>
          <w:ilvl w:val="0"/>
          <w:numId w:val="2"/>
        </w:numPr>
        <w:spacing w:after="40" w:before="40"/>
      </w:pPr>
      <w:r>
        <w:rPr>
          <w:rFonts w:ascii="Arial" w:cs="Arial" w:eastAsia="Arial" w:hAnsi="Arial"/>
          <w:color w:val="2D2D2D"/>
          <w:sz w:val="21"/>
          <w:szCs w:val="21"/>
        </w:rPr>
        <w:t xml:space="preserve">Reduces audit findings related to procurement and delivery documentation</w:t>
      </w:r>
    </w:p>
    <w:p>
      <w:pPr>
        <w:pBdr>
          <w:left w:val="thick" w:color="E8771A" w:sz="12"/>
        </w:pBdr>
        <w:spacing w:after="80" w:before="280"/>
        <w:ind w:left="200"/>
      </w:pPr>
      <w:r>
        <w:rPr>
          <w:rFonts w:ascii="Arial" w:cs="Arial" w:eastAsia="Arial" w:hAnsi="Arial"/>
          <w:b/>
          <w:bCs/>
          <w:color w:val="2D2D2D"/>
          <w:sz w:val="24"/>
          <w:szCs w:val="24"/>
        </w:rPr>
        <w:t xml:space="preserve">The Hidden Financial Value — Trade Finance</w:t>
      </w:r>
    </w:p>
    <w:p>
      <w:pPr>
        <w:spacing w:after="60" w:before="60"/>
        <w:ind w:left="0"/>
      </w:pPr>
      <w:r>
        <w:rPr>
          <w:rFonts w:ascii="Arial" w:cs="Arial" w:eastAsia="Arial" w:hAnsi="Arial"/>
          <w:b w:val="false"/>
          <w:bCs w:val="false"/>
          <w:color w:val="2D2D2D"/>
          <w:sz w:val="21"/>
          <w:szCs w:val="21"/>
        </w:rPr>
        <w:t xml:space="preserve">A buyer purchasing from MUHIDE-connected suppliers can access trade financing at better rates — because the authenticated invoice is stronger collateral.</w:t>
      </w:r>
    </w:p>
    <w:p>
      <w:pPr>
        <w:pBdr>
          <w:bottom w:val="single" w:color="E8771A" w:sz="6"/>
        </w:pBdr>
        <w:spacing w:after="120" w:before="360"/>
      </w:pPr>
      <w:r>
        <w:rPr>
          <w:rFonts w:ascii="Arial" w:cs="Arial" w:eastAsia="Arial" w:hAnsi="Arial"/>
          <w:b/>
          <w:bCs/>
          <w:color w:val="1A1A1A"/>
          <w:sz w:val="28"/>
          <w:szCs w:val="28"/>
        </w:rPr>
        <w:t xml:space="preserve">5. Buyer ICP</w:t>
      </w:r>
    </w:p>
    <w:p>
      <w:pPr>
        <w:pBdr>
          <w:left w:val="thick" w:color="E8771A" w:sz="8"/>
        </w:pBdr>
        <w:shd w:fill="FFF8F0" w:val="clear"/>
        <w:spacing w:after="80" w:before="120"/>
        <w:ind w:left="200" w:right="200"/>
      </w:pPr>
      <w:r>
        <w:rPr>
          <w:rFonts w:ascii="Arial" w:cs="Arial" w:eastAsia="Arial" w:hAnsi="Arial"/>
          <w:i/>
          <w:iCs/>
          <w:color w:val="2D2D2D"/>
          <w:sz w:val="20"/>
          <w:szCs w:val="20"/>
        </w:rPr>
        <w:t xml:space="preserve">The buyer does not pay — but precise targeting of buyer profiles determines how quickly the supplier deal closes and activates.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Criterion</w:t>
            </w:r>
          </w:p>
        </w:tc>
        <w:tc>
          <w:tcPr>
            <w:tcW w:type="dxa" w:w="6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Priority Sectors</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Automotive workshops | Hotels &amp; restaurants | Private hospitals &amp; clinics | Contractors | Distribution agents | Real estate developers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Relationship to Supplier</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Buys regularly and needs the supplier — the supplier holds negotiating leverage</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Financial Profile</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Experiences liquidity pressure — wants to finance open credit purchases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Company Size</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SAR 50M – 500M revenue</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Decision Maker</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CFO, Finance Director, or Procurement Manager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Best Entry Trigger</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mandates platform | OR financing offer at better rates presented</w:t>
            </w:r>
          </w:p>
        </w:tc>
      </w:tr>
    </w:tbl>
    <w:p>
      <w:pPr>
        <w:pBdr>
          <w:left w:val="thick" w:color="E8771A" w:sz="12"/>
        </w:pBdr>
        <w:spacing w:after="80" w:before="280"/>
        <w:ind w:left="200"/>
      </w:pPr>
      <w:r>
        <w:rPr>
          <w:rFonts w:ascii="Arial" w:cs="Arial" w:eastAsia="Arial" w:hAnsi="Arial"/>
          <w:b/>
          <w:bCs/>
          <w:color w:val="2D2D2D"/>
          <w:sz w:val="24"/>
          <w:szCs w:val="24"/>
        </w:rPr>
        <w:t xml:space="preserve">Anti-ICP — Avoid These</w:t>
      </w:r>
    </w:p>
    <w:p>
      <w:pPr>
        <w:pStyle w:val="ListParagraph"/>
        <w:numPr>
          <w:ilvl w:val="0"/>
          <w:numId w:val="2"/>
        </w:numPr>
        <w:spacing w:after="40" w:before="40"/>
      </w:pPr>
      <w:r>
        <w:rPr>
          <w:rFonts w:ascii="Arial" w:cs="Arial" w:eastAsia="Arial" w:hAnsi="Arial"/>
          <w:color w:val="2D2D2D"/>
          <w:sz w:val="21"/>
          <w:szCs w:val="21"/>
        </w:rPr>
        <w:t xml:space="preserve">Government entities — different procurement regulations and long cycles</w:t>
      </w:r>
    </w:p>
    <w:p>
      <w:pPr>
        <w:pStyle w:val="ListParagraph"/>
        <w:numPr>
          <w:ilvl w:val="0"/>
          <w:numId w:val="2"/>
        </w:numPr>
        <w:spacing w:after="40" w:before="40"/>
      </w:pPr>
      <w:r>
        <w:rPr>
          <w:rFonts w:ascii="Arial" w:cs="Arial" w:eastAsia="Arial" w:hAnsi="Arial"/>
          <w:color w:val="2D2D2D"/>
          <w:sz w:val="21"/>
          <w:szCs w:val="21"/>
        </w:rPr>
        <w:t xml:space="preserve">Buyer with stronger negotiating position than supplier — will refuse to join</w:t>
      </w:r>
    </w:p>
    <w:p>
      <w:pPr>
        <w:pStyle w:val="ListParagraph"/>
        <w:numPr>
          <w:ilvl w:val="0"/>
          <w:numId w:val="2"/>
        </w:numPr>
        <w:spacing w:after="40" w:before="40"/>
      </w:pPr>
      <w:r>
        <w:rPr>
          <w:rFonts w:ascii="Arial" w:cs="Arial" w:eastAsia="Arial" w:hAnsi="Arial"/>
          <w:color w:val="2D2D2D"/>
          <w:sz w:val="21"/>
          <w:szCs w:val="21"/>
        </w:rPr>
        <w:t xml:space="preserve">One-time or irregular purchaser — no accumulated value</w:t>
      </w:r>
    </w:p>
    <w:p>
      <w:pPr>
        <w:pBdr>
          <w:bottom w:val="single" w:color="E8771A" w:sz="6"/>
        </w:pBdr>
        <w:spacing w:after="120" w:before="360"/>
      </w:pPr>
      <w:r>
        <w:rPr>
          <w:rFonts w:ascii="Arial" w:cs="Arial" w:eastAsia="Arial" w:hAnsi="Arial"/>
          <w:b/>
          <w:bCs/>
          <w:color w:val="1A1A1A"/>
          <w:sz w:val="28"/>
          <w:szCs w:val="28"/>
        </w:rPr>
        <w:t xml:space="preserve">6. Buyer Go-To-Market</w:t>
      </w:r>
    </w:p>
    <w:p>
      <w:pPr>
        <w:shd w:fill="1A1A1A" w:val="clear"/>
        <w:spacing w:after="120" w:before="160"/>
        <w:ind w:left="280" w:right="280"/>
      </w:pPr>
      <w:r>
        <w:rPr>
          <w:rFonts w:ascii="Arial" w:cs="Arial" w:eastAsia="Arial" w:hAnsi="Arial"/>
          <w:b/>
          <w:bCs/>
          <w:color w:val="FFFFFF"/>
          <w:sz w:val="22"/>
          <w:szCs w:val="22"/>
        </w:rPr>
        <w:t xml:space="preserve">"Join the platform — protect your rights and finance your purchases simultaneously."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Channel</w:t>
            </w:r>
          </w:p>
        </w:tc>
        <w:tc>
          <w:tcPr>
            <w:tcW w:type="dxa" w:w="68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It Works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Via Supplier (Strongest)</w:t>
            </w:r>
          </w:p>
        </w:tc>
        <w:tc>
          <w:tcPr>
            <w:tcW w:type="dxa" w:w="6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tells buyer: 'Open credit is now exclusively through MUHIDE.' Our team handles onboarding. Average activation: one month.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Via Financing Gateway</w:t>
            </w:r>
          </w:p>
        </w:tc>
        <w:tc>
          <w:tcPr>
            <w:tcW w:type="dxa" w:w="68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Target CFOs under liquidity pressure. Message: 'Finance your open credit purchases at better rates.' Buyer joins with self-motivation.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Via Financiers &amp; Banks</w:t>
            </w:r>
          </w:p>
        </w:tc>
        <w:tc>
          <w:tcPr>
            <w:tcW w:type="dxa" w:w="6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If the financier accepts MUHIDE invoices, he conditions his clients: 'Suppliers must be on the platform.' Roles reverse — buyer pulls supplier.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Via Governance &amp; Audit</w:t>
            </w:r>
          </w:p>
        </w:tc>
        <w:tc>
          <w:tcPr>
            <w:tcW w:type="dxa" w:w="68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Target audit and finance directors at large listed companies. Message: 'Transform your audit file from a burden into a strength.'</w:t>
            </w:r>
          </w:p>
        </w:tc>
      </w:tr>
    </w:tbl>
    <w:p>
      <w:pPr>
        <w:pageBreakBefore/>
        <w:pBdr>
          <w:left w:val="thick" w:color="E8771A" w:sz="24"/>
        </w:pBdr>
        <w:shd w:fill="1A1A1A" w:val="clear"/>
        <w:spacing w:after="240" w:before="0"/>
        <w:ind w:left="240"/>
        <w:jc w:val="left"/>
      </w:pPr>
      <w:r>
        <w:rPr>
          <w:rFonts w:ascii="Arial" w:cs="Arial" w:eastAsia="Arial" w:hAnsi="Arial"/>
          <w:b/>
          <w:bCs/>
          <w:color w:val="FFFFFF"/>
          <w:sz w:val="36"/>
          <w:szCs w:val="36"/>
        </w:rPr>
        <w:t xml:space="preserve">PART 3 — STRATEGIC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Dimension</w:t>
            </w:r>
          </w:p>
        </w:tc>
        <w:tc>
          <w:tcPr>
            <w:tcW w:type="dxa" w:w="3319"/>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Supplier</w:t>
            </w:r>
          </w:p>
        </w:tc>
        <w:tc>
          <w:tcPr>
            <w:tcW w:type="dxa" w:w="3319"/>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Buyer</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Does He Pay?</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Yes — annual subscription</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No — joins for free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Primary Driver</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Protect receivables + liquidity + legal enforcement</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Finance purchases + protect his rights</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Biggest Risk</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Financial loss on undocumented debts</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Paying for goods not fully received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Deepest Value</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Converting dormant receivables into financeable assets</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performance data + real negotiating power</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Change Resistance</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Fear of operational complexity + buyer reluctance</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Fear of accountability + losing ability to deny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Decision Maker</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CEO + CFO together</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CFO + Procurement Manager</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Persuasion Cycle</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45–90 days</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2 weeks – 1 month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Strongest Closing Tool</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Real-scenario demo + pre-prepared legal package</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Financing offer + quick demo</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Where Deals Are Lost</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Extended legal review phase</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Rejection before understanding the 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Core Message</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Sell on credit with the security of cash</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Protect your rights and finance your purchases</w:t>
            </w:r>
          </w:p>
        </w:tc>
      </w:tr>
    </w:tbl>
    <w:p>
      <w:pPr>
        <w:pageBreakBefore/>
        <w:pBdr>
          <w:left w:val="thick" w:color="E8771A" w:sz="24"/>
        </w:pBdr>
        <w:shd w:fill="1A1A1A" w:val="clear"/>
        <w:spacing w:after="240" w:before="0"/>
        <w:ind w:left="240"/>
        <w:jc w:val="left"/>
      </w:pPr>
      <w:r>
        <w:rPr>
          <w:rFonts w:ascii="Arial" w:cs="Arial" w:eastAsia="Arial" w:hAnsi="Arial"/>
          <w:b/>
          <w:bCs/>
          <w:color w:val="FFFFFF"/>
          <w:sz w:val="36"/>
          <w:szCs w:val="36"/>
        </w:rPr>
        <w:t xml:space="preserve">PART 4 — DEEP INSIGHTS</w:t>
      </w:r>
    </w:p>
    <w:p>
      <w:pPr>
        <w:pBdr>
          <w:bottom w:val="single" w:color="E8771A" w:sz="6"/>
        </w:pBdr>
        <w:spacing w:after="120" w:before="360"/>
      </w:pPr>
      <w:r>
        <w:rPr>
          <w:rFonts w:ascii="Arial" w:cs="Arial" w:eastAsia="Arial" w:hAnsi="Arial"/>
          <w:b/>
          <w:bCs/>
          <w:color w:val="1A1A1A"/>
          <w:sz w:val="28"/>
          <w:szCs w:val="28"/>
        </w:rPr>
        <w:t xml:space="preserve">The Most Important Non-Obvious Insight</w:t>
      </w:r>
    </w:p>
    <w:p>
      <w:pPr>
        <w:shd w:fill="1A1A1A" w:val="clear"/>
        <w:spacing w:after="120" w:before="160"/>
        <w:ind w:left="280" w:right="280"/>
      </w:pPr>
      <w:r>
        <w:rPr>
          <w:rFonts w:ascii="Arial" w:cs="Arial" w:eastAsia="Arial" w:hAnsi="Arial"/>
          <w:b/>
          <w:bCs/>
          <w:color w:val="FFFFFF"/>
          <w:sz w:val="22"/>
          <w:szCs w:val="22"/>
        </w:rPr>
        <w:t xml:space="preserve">MUHIDE doesn't sell to the buyer — it sells to the supplier 'the ability to compel his buyer'. A supplier without that negotiating leverage is a hidden Anti-ICP regardless of how much pain he has.</w:t>
      </w:r>
    </w:p>
    <w:p>
      <w:pPr>
        <w:spacing w:after="60" w:before="60"/>
        <w:ind w:left="0"/>
      </w:pPr>
      <w:r>
        <w:rPr>
          <w:rFonts w:ascii="Arial" w:cs="Arial" w:eastAsia="Arial" w:hAnsi="Arial"/>
          <w:b w:val="false"/>
          <w:bCs w:val="false"/>
          <w:color w:val="2D2D2D"/>
          <w:sz w:val="21"/>
          <w:szCs w:val="21"/>
        </w:rPr>
        <w:t xml:space="preserve">Most adoption failures come from suppliers who subscribe but don't have sufficient leverage over their buyers. The solution: before selling, ask one question — 'Does your buyer need you more than you need him?'</w:t>
      </w:r>
    </w:p>
    <w:p>
      <w:pPr>
        <w:pBdr>
          <w:bottom w:val="single" w:color="E8771A" w:sz="6"/>
        </w:pBdr>
        <w:spacing w:after="120" w:before="360"/>
      </w:pPr>
      <w:r>
        <w:rPr>
          <w:rFonts w:ascii="Arial" w:cs="Arial" w:eastAsia="Arial" w:hAnsi="Arial"/>
          <w:b/>
          <w:bCs/>
          <w:color w:val="1A1A1A"/>
          <w:sz w:val="28"/>
          <w:szCs w:val="28"/>
        </w:rPr>
        <w:t xml:space="preserve">Where Deals Are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Deal Killer</w:t>
            </w:r>
          </w:p>
        </w:tc>
        <w:tc>
          <w:tcPr>
            <w:tcW w:type="dxa" w:w="6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Root Cause and Fix</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Legal review drags on</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Legal team starts from scratch on every deal. Fix: pre-prepared legal package delivered with the proposal — before they ask.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Buyer refuses to join</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Value was never explained — he sees MUHIDE as a constraint. Fix: present the financing and protection benefits before any talk of procedures.</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CFO is unconvinced</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He wants numbers, not promises. Fix: bring a real client case with receivables portfolio size and liquidity improvement data.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Usage drops after subscription</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Supplier subscribed but didn't compel buyer to join. Fix: dedicated Customer Success coverage in the first 60 days — zero exceptions.</w:t>
            </w:r>
          </w:p>
        </w:tc>
      </w:tr>
    </w:tbl>
    <w:p>
      <w:pPr>
        <w:pBdr>
          <w:bottom w:val="single" w:color="E8771A" w:sz="6"/>
        </w:pBdr>
        <w:spacing w:after="120" w:before="360"/>
      </w:pPr>
      <w:r>
        <w:rPr>
          <w:rFonts w:ascii="Arial" w:cs="Arial" w:eastAsia="Arial" w:hAnsi="Arial"/>
          <w:b/>
          <w:bCs/>
          <w:color w:val="1A1A1A"/>
          <w:sz w:val="28"/>
          <w:szCs w:val="28"/>
        </w:rPr>
        <w:t xml:space="preserve">Who to Persuade First?</w:t>
      </w:r>
    </w:p>
    <w:p>
      <w:pPr>
        <w:spacing w:after="60" w:before="60"/>
        <w:ind w:left="0"/>
      </w:pPr>
      <w:r>
        <w:rPr>
          <w:rFonts w:ascii="Arial" w:cs="Arial" w:eastAsia="Arial" w:hAnsi="Arial"/>
          <w:b w:val="false"/>
          <w:bCs w:val="false"/>
          <w:color w:val="2D2D2D"/>
          <w:sz w:val="21"/>
          <w:szCs w:val="21"/>
        </w:rPr>
        <w:t xml:space="preserve">The obvious answer: the supplier first — he pays, and he is the one who brings the buyer in.</w:t>
      </w:r>
    </w:p>
    <w:p>
      <w:pPr>
        <w:shd w:fill="1A1A1A" w:val="clear"/>
        <w:spacing w:after="120" w:before="160"/>
        <w:ind w:left="280" w:right="280"/>
      </w:pPr>
      <w:r>
        <w:rPr>
          <w:rFonts w:ascii="Arial" w:cs="Arial" w:eastAsia="Arial" w:hAnsi="Arial"/>
          <w:b/>
          <w:bCs/>
          <w:color w:val="FFFFFF"/>
          <w:sz w:val="22"/>
          <w:szCs w:val="22"/>
        </w:rPr>
        <w:t xml:space="preserve">The deeper answer: start with the supplier who already has a buyer ready to join — not the isolated supplier. One deal with real activation is worth ten subscriptions with zero usage.</w:t>
      </w:r>
    </w:p>
    <w:p>
      <w:pPr>
        <w:pBdr>
          <w:bottom w:val="single" w:color="E8771A" w:sz="6"/>
        </w:pBdr>
        <w:spacing w:after="120" w:before="360"/>
      </w:pPr>
      <w:r>
        <w:rPr>
          <w:rFonts w:ascii="Arial" w:cs="Arial" w:eastAsia="Arial" w:hAnsi="Arial"/>
          <w:b/>
          <w:bCs/>
          <w:color w:val="1A1A1A"/>
          <w:sz w:val="28"/>
          <w:szCs w:val="28"/>
        </w:rPr>
        <w:t xml:space="preserve">The Flywheel — How to Build Compounding Growth</w:t>
      </w:r>
    </w:p>
    <w:p>
      <w:pPr>
        <w:spacing w:after="60" w:before="60"/>
        <w:ind w:left="0"/>
      </w:pPr>
      <w:r>
        <w:rPr>
          <w:rFonts w:ascii="Arial" w:cs="Arial" w:eastAsia="Arial" w:hAnsi="Arial"/>
          <w:b/>
          <w:bCs/>
          <w:color w:val="2D2D2D"/>
          <w:sz w:val="21"/>
          <w:szCs w:val="21"/>
        </w:rPr>
        <w:t xml:space="preserve">Don't sell individual customers — sell entire supply chains. One strong supplier + multiple buyers = the nucleus of an entire sector.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838"/>
      </w:tblGrid>
      <w:tr>
        <w:trPr>
          <w:tblHeader/>
        </w:trPr>
        <w:tc>
          <w:tcPr>
            <w:tcW w:type="dxa" w:w="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Cycle</w:t>
            </w:r>
          </w:p>
        </w:tc>
        <w:tc>
          <w:tcPr>
            <w:tcW w:type="dxa" w:w="5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Happens</w:t>
            </w:r>
          </w:p>
        </w:tc>
        <w:tc>
          <w:tcPr>
            <w:tcW w:type="dxa" w:w="38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Effect</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①</w:t>
            </w:r>
          </w:p>
        </w:tc>
        <w:tc>
          <w:tcPr>
            <w:tcW w:type="dxa" w:w="5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A strong supplier in a specific sector joins and mandates his buyers onto the platform</w:t>
            </w:r>
          </w:p>
        </w:tc>
        <w:tc>
          <w:tcPr>
            <w:tcW w:type="dxa" w:w="3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Real two-sided activation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②</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Buyers discover the value of documentation and protection — they ask other suppliers to join</w:t>
            </w:r>
          </w:p>
        </w:tc>
        <w:tc>
          <w:tcPr>
            <w:tcW w:type="dxa" w:w="38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Organic spread within the supply chain</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③</w:t>
            </w:r>
          </w:p>
        </w:tc>
        <w:tc>
          <w:tcPr>
            <w:tcW w:type="dxa" w:w="5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New suppliers bring their buyers — who in turn bring other suppliers</w:t>
            </w:r>
          </w:p>
        </w:tc>
        <w:tc>
          <w:tcPr>
            <w:tcW w:type="dxa" w:w="3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Zero-CAC growth loop</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④</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Financiers see a verified, Blockchain-secured invoice portfolio — raise available financing</w:t>
            </w:r>
          </w:p>
        </w:tc>
        <w:tc>
          <w:tcPr>
            <w:tcW w:type="dxa" w:w="38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19"/>
                <w:szCs w:val="19"/>
              </w:rPr>
              <w:t xml:space="preserve">Additional financial value drives further adoption</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2D2D2D"/>
                <w:sz w:val="19"/>
                <w:szCs w:val="19"/>
              </w:rPr>
              <w:t xml:space="preserve">⑤</w:t>
            </w:r>
          </w:p>
        </w:tc>
        <w:tc>
          <w:tcPr>
            <w:tcW w:type="dxa" w:w="5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MUHIDE becomes the sector standard — those not on it are perceived as higher risk</w:t>
            </w:r>
          </w:p>
        </w:tc>
        <w:tc>
          <w:tcPr>
            <w:tcW w:type="dxa" w:w="3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val="false"/>
                <w:bCs w:val="false"/>
                <w:color w:val="2D2D2D"/>
                <w:sz w:val="19"/>
                <w:szCs w:val="19"/>
              </w:rPr>
              <w:t xml:space="preserve">Network effect protects acquired markets</w:t>
            </w:r>
          </w:p>
        </w:tc>
      </w:tr>
    </w:tbl>
    <w:p>
      <w:pPr>
        <w:spacing w:after="0" w:before="0"/>
      </w:pPr>
      <w:r>
        <w:t xml:space="preserve"/>
      </w:r>
    </w:p>
    <w:p>
      <w:pPr>
        <w:spacing w:after="0" w:before="0"/>
      </w:pPr>
      <w:r>
        <w:t xml:space="preserve"/>
      </w:r>
    </w:p>
    <w:p>
      <w:pPr>
        <w:pBdr>
          <w:top w:val="single" w:color="E8771A" w:sz="6"/>
        </w:pBdr>
        <w:spacing w:after="120" w:before="240"/>
        <w:jc w:val="center"/>
      </w:pPr>
      <w:r>
        <w:rPr>
          <w:rFonts w:ascii="Arial" w:cs="Arial" w:eastAsia="Arial" w:hAnsi="Arial"/>
          <w:b/>
          <w:bCs/>
          <w:color w:val="1A1A1A"/>
          <w:sz w:val="28"/>
          <w:szCs w:val="28"/>
        </w:rPr>
        <w:t xml:space="preserve">MUHIDE | محايد</w:t>
      </w:r>
      <w:r>
        <w:rPr>
          <w:rFonts w:ascii="Arial" w:cs="Arial" w:eastAsia="Arial" w:hAnsi="Arial"/>
          <w:i/>
          <w:iCs/>
          <w:color w:val="555555"/>
          <w:sz w:val="22"/>
          <w:szCs w:val="22"/>
        </w:rPr>
        <w:t xml:space="preserve">   ·   Trust in Every Transaction</w:t>
      </w:r>
    </w:p>
    <w:p>
      <w:pPr>
        <w:spacing w:after="0" w:before="60"/>
        <w:jc w:val="center"/>
      </w:pPr>
      <w:r>
        <w:rPr>
          <w:rFonts w:ascii="Arial" w:cs="Arial" w:eastAsia="Arial" w:hAnsi="Arial"/>
          <w:color w:val="555555"/>
          <w:sz w:val="18"/>
          <w:szCs w:val="18"/>
        </w:rPr>
        <w:t xml:space="preserve">muhide.com  ·  info@muhide.com  ·  9200-31-651  ·  Chairman Plaza, Jeddah — KSA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1A" w:sz="4"/>
      </w:pBdr>
      <w:tabs>
        <w:tab w:val="right" w:pos="9638"/>
      </w:tabs>
      <w:spacing w:after="0" w:before="80"/>
    </w:pPr>
    <w:r>
      <w:rPr>
        <w:rFonts w:ascii="Arial" w:cs="Arial" w:eastAsia="Arial" w:hAnsi="Arial"/>
        <w:color w:val="555555"/>
        <w:sz w:val="16"/>
        <w:szCs w:val="16"/>
      </w:rPr>
      <w:t xml:space="preserve">MUHIDE — Trust in Every Transaction</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b/>
        <w:bCs/>
        <w:color w:val="E877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1A" w:sz="6"/>
      </w:pBdr>
      <w:tabs>
        <w:tab w:val="right" w:pos="9638"/>
      </w:tabs>
      <w:spacing w:after="80" w:before="0"/>
    </w:pPr>
    <w:r>
      <w:rPr>
        <w:rFonts w:ascii="Arial" w:cs="Arial" w:eastAsia="Arial" w:hAnsi="Arial"/>
        <w:b/>
        <w:bCs/>
        <w:color w:val="1A1A1A"/>
        <w:sz w:val="18"/>
        <w:szCs w:val="18"/>
      </w:rPr>
      <w:t xml:space="preserve">MUHIDE | محايد</w:t>
    </w:r>
    <w:r>
      <w:rPr>
        <w:rFonts w:ascii="Arial" w:cs="Arial" w:eastAsia="Arial" w:hAnsi="Arial"/>
        <w:sz w:val="18"/>
        <w:szCs w:val="18"/>
      </w:rPr>
      <w:t xml:space="preserve">	</w:t>
    </w:r>
    <w:r>
      <w:rPr>
        <w:rFonts w:ascii="Arial" w:cs="Arial" w:eastAsia="Arial" w:hAnsi="Arial"/>
        <w:i/>
        <w:iCs/>
        <w:color w:val="55555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E8771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248f8df3ffab50782c084835046816720a1b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2026-03-30T02:40:31.104Z</dcterms:created>
  <dcterms:modified xsi:type="dcterms:W3CDTF">2026-03-30T02:40:31.104Z</dcterms:modified>
</cp:coreProperties>
</file>

<file path=docProps/custom.xml><?xml version="1.0" encoding="utf-8"?>
<Properties xmlns="http://schemas.openxmlformats.org/officeDocument/2006/custom-properties" xmlns:vt="http://schemas.openxmlformats.org/officeDocument/2006/docPropsVTypes"/>
</file>