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1A" w:val="clear"/>
        <w:spacing w:after="0" w:before="0"/>
      </w:pPr>
      <w:r>
        <w:rPr>
          <w:sz w:val="20"/>
          <w:szCs w:val="20"/>
        </w:rPr>
        <w:t xml:space="preserve"/>
      </w:r>
    </w:p>
    <w:p>
      <w:pPr>
        <w:shd w:fill="1A1A1A" w:val="clear"/>
        <w:spacing w:after="0" w:before="0"/>
        <w:jc w:val="center"/>
      </w:pPr>
      <w:r>
        <w:drawing>
          <wp:inline distT="0" distB="0" distL="0" distR="0">
            <wp:extent cx="762000" cy="1524000"/>
            <wp:effectExtent t="0" r="0" b="0" l="0"/>
            <wp:docPr id="1" name="logo" descr="MUHIDE Logo" title="MUH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A1A1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E8771A"/>
          <w:sz w:val="44"/>
          <w:szCs w:val="44"/>
        </w:rPr>
        <w:t xml:space="preserve">محايد | MUHIDE</w:t>
      </w:r>
    </w:p>
    <w:p>
      <w:pPr>
        <w:shd w:fill="1A1A1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  <w:rtl/>
        </w:rPr>
        <w:t xml:space="preserve">النموذج المتكامل — ٧ طبقات</w:t>
      </w:r>
    </w:p>
    <w:p>
      <w:pPr>
        <w:shd w:fill="1A1A1A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DDDDDD"/>
          <w:sz w:val="32"/>
          <w:szCs w:val="32"/>
        </w:rPr>
        <w:t xml:space="preserve">The 7-Layer Integrated Model</w:t>
      </w:r>
    </w:p>
    <w:p>
      <w:pPr>
        <w:shd w:fill="1A1A1A" w:val="clear"/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color w:val="E8771A"/>
          <w:sz w:val="22"/>
          <w:szCs w:val="22"/>
          <w:rtl/>
        </w:rPr>
        <w:t xml:space="preserve">من الفوضى التجارية إلى بنية تحتية قانونية ومالية متكاملة</w:t>
      </w:r>
    </w:p>
    <w:p>
      <w:pPr>
        <w:shd w:fill="1A1A1A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DDDDDD"/>
          <w:sz w:val="20"/>
          <w:szCs w:val="20"/>
        </w:rPr>
        <w:t xml:space="preserve">From Commercial Chaos to Integrated Legal &amp; Financial Infrastructure</w:t>
      </w:r>
    </w:p>
    <w:p>
      <w:pPr>
        <w:shd w:fill="1A1A1A" w:val="clear"/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color w:val="DDDDDD"/>
          <w:sz w:val="19"/>
          <w:szCs w:val="19"/>
          <w:rtl/>
        </w:rPr>
        <w:t xml:space="preserve">التشغيل • القانون • أمر الأداء • IFRS 9 • الامتثال • التدقيق • الأثر النهائي</w:t>
      </w:r>
    </w:p>
    <w:p>
      <w:pPr>
        <w:shd w:fill="1A1A1A" w:val="clear"/>
        <w:spacing w:after="0" w:before="0"/>
        <w:jc w:val="center"/>
      </w:pPr>
      <w:r>
        <w:rPr>
          <w:sz w:val="20"/>
          <w:szCs w:val="20"/>
        </w:rPr>
        <w:t xml:space="preserve"/>
      </w:r>
    </w:p>
    <w:p>
      <w:pPr>
        <w:shd w:fill="E8771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سري — للاستخدام التنفيذي  |  CONFIDENTIAL — Executive Use Only</w:t>
      </w:r>
    </w:p>
    <w:p>
      <w:r>
        <w:br w:type="page"/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Bdr>
          <w:bottom w:val="single" w:color="E8771A" w:sz="6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السياق: من الفوضى إلى البنية  |  Context: From Chaos to Infrastructure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  <w:rtl/>
        </w:rPr>
        <w:t xml:space="preserve">السوق السعودي B2B يعمل على الثقة لا على الإثبات — وهذا يولّد سلسلة خطر متراكمة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The Saudi B2B market operates on trust, not proof — generating a compounding risk chain.</w:t>
      </w:r>
    </w:p>
    <w:p>
      <w:pPr>
        <w:spacing w:after="120" w:before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بدون محايد — سلسلة الخطر
Without MUHIDE — Risk Chain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77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مع محايد — ٧ طبقات للحل
With MUHIDE — 7 Layers Solution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color w:val="CC2222"/>
                <w:sz w:val="17"/>
                <w:szCs w:val="17"/>
              </w:rPr>
              <w:t xml:space="preserve">✗  لا نظام موحد / No Unified System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C2222"/>
                <w:sz w:val="17"/>
                <w:szCs w:val="17"/>
              </w:rPr>
              <w:t xml:space="preserve">✗  توثيق ضعيف / Weak Documentation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C2222"/>
                <w:sz w:val="17"/>
                <w:szCs w:val="17"/>
              </w:rPr>
              <w:t xml:space="preserve">✗  تسليم غير موثق / Unverified Delivery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C2222"/>
                <w:sz w:val="17"/>
                <w:szCs w:val="17"/>
              </w:rPr>
              <w:t xml:space="preserve">✗  نزاعات / Disputes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C2222"/>
                <w:sz w:val="17"/>
                <w:szCs w:val="17"/>
              </w:rPr>
              <w:t xml:space="preserve">✗  غياب التنفيذ / No Enforceability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C2222"/>
                <w:sz w:val="17"/>
                <w:szCs w:val="17"/>
              </w:rPr>
              <w:t xml:space="preserve">✗  تأخر السداد / Delayed Payment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C2222"/>
                <w:sz w:val="17"/>
                <w:szCs w:val="17"/>
              </w:rPr>
              <w:t xml:space="preserve">✗  استحالة التمويل / No Financing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C2222"/>
                <w:sz w:val="17"/>
                <w:szCs w:val="17"/>
              </w:rPr>
              <w:t xml:space="preserve">✗  ECL مرتفع / High ECL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C2222"/>
                <w:sz w:val="17"/>
                <w:szCs w:val="17"/>
              </w:rPr>
              <w:t xml:space="preserve">✗  مخصصات مرتفعة / High Provisions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color w:val="1A7A3A"/>
                <w:sz w:val="17"/>
                <w:szCs w:val="17"/>
              </w:rPr>
              <w:t xml:space="preserve">✓  منصة موحدة / Unified Platform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7A3A"/>
                <w:sz w:val="17"/>
                <w:szCs w:val="17"/>
              </w:rPr>
              <w:t xml:space="preserve">✓  اتفاقية ملزمة / Binding Agreement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7A3A"/>
                <w:sz w:val="17"/>
                <w:szCs w:val="17"/>
              </w:rPr>
              <w:t xml:space="preserve">✓  توثيق بلوك تشين / Blockchain Docs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7A3A"/>
                <w:sz w:val="17"/>
                <w:szCs w:val="17"/>
              </w:rPr>
              <w:t xml:space="preserve">✓  تسليم موثق / Authenticated Delivery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7A3A"/>
                <w:sz w:val="17"/>
                <w:szCs w:val="17"/>
              </w:rPr>
              <w:t xml:space="preserve">✓  أدوات الإثبات / Evidentiary Tools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7A3A"/>
                <w:sz w:val="17"/>
                <w:szCs w:val="17"/>
              </w:rPr>
              <w:t xml:space="preserve">✓  تمويل وتأمين / Finance &amp; Insurance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7A3A"/>
                <w:sz w:val="17"/>
                <w:szCs w:val="17"/>
              </w:rPr>
              <w:t xml:space="preserve">✓  فحص SGS / SGS Inspection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7A3A"/>
                <w:sz w:val="17"/>
                <w:szCs w:val="17"/>
              </w:rPr>
              <w:t xml:space="preserve">✓  ECL منخفض / Low ECL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7A3A"/>
                <w:sz w:val="17"/>
                <w:szCs w:val="17"/>
              </w:rPr>
              <w:t xml:space="preserve">✓  مخصصات منخفضة / Low Provisions</w:t>
            </w:r>
          </w:p>
        </w:tc>
      </w:tr>
    </w:tbl>
    <w:p>
      <w:pPr>
        <w:spacing w:after="60" w:before="160"/>
      </w:pPr>
    </w:p>
    <w:p>
      <w:pPr>
        <w:pBdr>
          <w:left w:val="thick" w:color="E8771A" w:sz="16"/>
        </w:pBdr>
        <w:spacing w:after="0" w:before="0"/>
        <w:ind w:left="160"/>
      </w:pPr>
      <w:r>
        <w:rPr>
          <w:rFonts w:ascii="Arial" w:cs="Arial" w:eastAsia="Arial" w:hAnsi="Arial"/>
          <w:b/>
          <w:bCs/>
          <w:color w:val="2D2D2D"/>
          <w:sz w:val="18"/>
          <w:szCs w:val="18"/>
          <w:rtl w:val="false"/>
        </w:rPr>
        <w:t xml:space="preserve">كل طبقة تحل مشكلة محددة وتبني على ما قبلها — النموذج كلٌّ متكامل لا يُجزّأ  |  Each layer solves a specific problem and builds on the previous — an integrated whole</w:t>
      </w:r>
    </w:p>
    <w:p>
      <w:pPr>
        <w:pageBreakBefore/>
        <w:pBdr>
          <w:left w:val="thick" w:color="E8771A" w:sz="24"/>
        </w:pBdr>
        <w:shd w:fill="1A1A1A" w:val="clear"/>
        <w:spacing w:after="200" w:before="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الجدول المتكامل — ٧ طبقات  |  7-Layer Integrated Analysis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  <w:rtl/>
        </w:rPr>
        <w:t xml:space="preserve">كل طبقة تُضاف فوق ما سبقها. النموذج كلٌّ متكامل — حذف أي طبقة يضعف الكل.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Each layer compounds the previous. Removing any layer weakens all others.</w:t>
      </w:r>
    </w:p>
    <w:p>
      <w:pPr>
        <w:spacing w:after="100" w:before="10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50"/>
        <w:gridCol w:w="2050"/>
        <w:gridCol w:w="2050"/>
        <w:gridCol w:w="1950"/>
        <w:gridCol w:w="1800"/>
        <w:gridCol w:w="1700"/>
        <w:gridCol w:w="19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 الطبقة
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ماذا يحل تشغيلياً
Operational Problem Solved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الأثر القانوني
Legal Impact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أمر الأداء
Order for Payment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IFRS 9 — ECL Impact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الامتثال
Compliance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التدقيق
Audit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الأثر النهائي
Final Impact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thick" w:color="E8771A" w:sz="12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1A"/>
                <w:sz w:val="32"/>
                <w:szCs w:val="32"/>
              </w:rPr>
              <w:t xml:space="preserve">01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  <w:rtl/>
              </w:rPr>
              <w:t xml:space="preserve">المنصة الموحدة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4"/>
                <w:szCs w:val="14"/>
              </w:rPr>
              <w:t xml:space="preserve">Unified Platform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establishes Single Source of Truth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يوحّد قاعدة المعلومات
ويُرسي العلاقة التجارية رقمياً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Unifies information base; anchors commercial relationship digitally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يسهّل بناء ملف الدعوى
من مصدر واحد موثوق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Enables case file from one trusted source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↑ جودة البيانات
→ تحسين مدخلات نموذج ECL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↑ Data quality → improved ECL model inputs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توحيد السياسات والإجراءات
Single governance framework
Policy standardization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مصدر موحد لمراجعة كاملة
Single source for
complete audit trail</w:t>
            </w:r>
          </w:p>
        </w:tc>
        <w:tc>
          <w:tcPr>
            <w:tcBorders>
              <w:top w:val="single" w:color="DDDDDD" w:sz="1"/>
              <w:left w:val="thick" w:color="E8771A" w:sz="20"/>
              <w:bottom w:val="single" w:color="DDDDDD" w:sz="1"/>
              <w:right w:val="single" w:color="DDDDDD" w:sz="1"/>
            </w:tcBorders>
            <w:shd w:fill="FFF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  <w:rtl/>
              </w:rPr>
              <w:t xml:space="preserve">أساس الحوكمة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Governance Foundation — for all 6 layers above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thick" w:color="E8771A" w:sz="12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1A"/>
                <w:sz w:val="32"/>
                <w:szCs w:val="32"/>
              </w:rPr>
              <w:t xml:space="preserve">02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  <w:rtl/>
              </w:rPr>
              <w:t xml:space="preserve">الاتفاقية الإلكترونية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4"/>
                <w:szCs w:val="14"/>
              </w:rPr>
              <w:t xml:space="preserve">Robust E-Agreement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عقد ملزم بموجب نظام
التعاملات الإلكترونية 2007
(المعدّل 2023)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Binding contract under Saudi ETL 2007; buyer pre-acknowledges debt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يحقق شرط 'ثابت بالكتابة'
الركيزة الأولى لأمر الأداء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Satisfies 'written debt' condition — first pillar of Order for Payment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↓ PD: وضوح تعاقدي
يقلل احتمالية التعثر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↓ PD: contractual clarity reduces dispute-driven default probability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امتثال كامل: ETL،
معايير التوقيع الإلكتروني،
حماية البيانات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عقد قابل للمراجعة
E-signature chain
auditable &amp; verifiable</w:t>
            </w:r>
          </w:p>
        </w:tc>
        <w:tc>
          <w:tcPr>
            <w:tcBorders>
              <w:top w:val="single" w:color="DDDDDD" w:sz="1"/>
              <w:left w:val="thick" w:color="E8771A" w:sz="20"/>
              <w:bottom w:val="single" w:color="DDDDDD" w:sz="1"/>
              <w:right w:val="single" w:color="DDDDDD" w:sz="1"/>
            </w:tcBorders>
            <w:shd w:fill="FFF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  <w:rtl/>
              </w:rPr>
              <w:t xml:space="preserve">تثبيت الالتزام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Obligation Lock-in — every transaction starts as enforceable obligation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thick" w:color="E8771A" w:sz="12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1A"/>
                <w:sz w:val="32"/>
                <w:szCs w:val="32"/>
              </w:rPr>
              <w:t xml:space="preserve">03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  <w:rtl/>
              </w:rPr>
              <w:t xml:space="preserve">توثيق البلوك تشين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4"/>
                <w:szCs w:val="14"/>
              </w:rPr>
              <w:t xml:space="preserve">Blockchain Docs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eliminates ex-post manipulation risk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مستندات غير قابلة للتعديل
عقود ذكية مقبولة دليلاً قاطعاً
أمام المحاكم السعودية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Non-modifiable smart contracts; conclusive evidence in Saudi courts (Clause 6)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يُغلق باب الطعن في الأدلة
لا مجال للإنكار أو التزوير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Eliminates evidence contestability — no basis for denial or forgery claims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↓ LGD: موثوقية الأدلة
ترفع معدل الاسترداد المتوقع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↓ LGD: evidence reliability raises expected recovery rate in ECL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سلامة البيانات بأعلى
معايير الحوكمة
Immutability = best-in-class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Hash-verified integrity
Zero manipulation risk
Tamper-evident records</w:t>
            </w:r>
          </w:p>
        </w:tc>
        <w:tc>
          <w:tcPr>
            <w:tcBorders>
              <w:top w:val="single" w:color="DDDDDD" w:sz="1"/>
              <w:left w:val="thick" w:color="E8771A" w:sz="20"/>
              <w:bottom w:val="single" w:color="DDDDDD" w:sz="1"/>
              <w:right w:val="single" w:color="DDDDDD" w:sz="1"/>
            </w:tcBorders>
            <w:shd w:fill="FFF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  <w:rtl/>
              </w:rPr>
              <w:t xml:space="preserve">رفع المصداقية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Maximum Evidence Weight — irrefutable legal instruments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thick" w:color="E8771A" w:sz="12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1A"/>
                <w:sz w:val="32"/>
                <w:szCs w:val="32"/>
              </w:rPr>
              <w:t xml:space="preserve">04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  <w:rtl/>
              </w:rPr>
              <w:t xml:space="preserve">التسليم الموثق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4"/>
                <w:szCs w:val="14"/>
              </w:rPr>
              <w:t xml:space="preserve">Authenticated Delivery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OTP = قبول صريح لا يُنكر
يحمي البائع حتى
عند غياب المشتري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OTP = irrefutable acceptance; Delivery Assurance Protocol protects seller on buyer no-show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يحقق شرطَي 'الدين مستحق'
و'لا نزاع قائم'
يُكمل أركان أمر الأداء الأربعة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Satisfies 'debt due' + 'no dispute' — completes all four Order for Payment pillars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↓ PD: تسليم موثق
يقلل النزاعات المحركة للتعثر
↓ LGD: سجل تسليم مُنفَّذ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↓ PD: verified delivery reduces dispute-driven defaults; ↓ LGD: strengthens recovery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GPS + OTP + وسائط =
سلسلة مساءلة كاملة
AML/KYC traceable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طوابع زمنية فورية
إحداثيات GPS مسجلة
وسائط مقبولة قضائياً</w:t>
            </w:r>
          </w:p>
        </w:tc>
        <w:tc>
          <w:tcPr>
            <w:tcBorders>
              <w:top w:val="single" w:color="DDDDDD" w:sz="1"/>
              <w:left w:val="thick" w:color="E8771A" w:sz="20"/>
              <w:bottom w:val="single" w:color="DDDDDD" w:sz="1"/>
              <w:right w:val="single" w:color="DDDDDD" w:sz="1"/>
            </w:tcBorders>
            <w:shd w:fill="FFF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  <w:rtl/>
              </w:rPr>
              <w:t xml:space="preserve">إنهاء النزاعات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Zero Dispute Enabler — buyer cannot unilaterally deny delivery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thick" w:color="E8771A" w:sz="12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1A"/>
                <w:sz w:val="32"/>
                <w:szCs w:val="32"/>
              </w:rPr>
              <w:t xml:space="preserve">05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  <w:rtl/>
              </w:rPr>
              <w:t xml:space="preserve">أدوات الإثبات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4"/>
                <w:szCs w:val="14"/>
              </w:rPr>
              <w:t xml:space="preserve">Evidentiary Tools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ملف أمر الأداء الكامل:
أمر شراء + إذن توريد
+ OTP + GPS + فاتورة تجارية
= دليل قاطع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✓ مكتوب  ✓ مستحق
✓ محدد  ✓ لا نزاع
أمر الأداء جاهز من اليوم الأول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All 4 conditions met — Order for Payment ready from Day 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↓ LGD: ملف متكامل
يرفع معدل الاسترداد جوهرياً
المدقق يدافع عن افتراضاته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↓ LGD: complete file materially raises recovery rate; auditor can defend assumptions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جاهزية قانونية كاملة
متوافق مع نظام المحاكم
التجارية السعودية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Audit-ready من اليوم الأول
حزمة أدلة كاملة
لا وثائق تكميلية مطلوبة</w:t>
            </w:r>
          </w:p>
        </w:tc>
        <w:tc>
          <w:tcPr>
            <w:tcBorders>
              <w:top w:val="single" w:color="DDDDDD" w:sz="1"/>
              <w:left w:val="thick" w:color="E8771A" w:sz="20"/>
              <w:bottom w:val="single" w:color="DDDDDD" w:sz="1"/>
              <w:right w:val="single" w:color="DDDDDD" w:sz="1"/>
            </w:tcBorders>
            <w:shd w:fill="FFF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  <w:rtl/>
              </w:rPr>
              <w:t xml:space="preserve">قابلية التنفيذ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Legal Enforceability Peak — debt transforms to court-ready instrument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thick" w:color="E8771A" w:sz="12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1A"/>
                <w:sz w:val="32"/>
                <w:szCs w:val="32"/>
              </w:rPr>
              <w:t xml:space="preserve">06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  <w:rtl/>
              </w:rPr>
              <w:t xml:space="preserve">التمويل والتأمين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4"/>
                <w:szCs w:val="14"/>
              </w:rPr>
              <w:t xml:space="preserve">Finance &amp; Insurance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المشتري يُجيز مسبقاً
تحويل الفاتورة لممول
قبل الاستحقاق (بند 18)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Buyer pre-authorizes invoice transfer to financier before maturity (Clause 18)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الفاتورة الموثقة تُقبل
ضماناً حقيقياً لدى البنوك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Authenticated invoice accepted as real collateral; increases pressure on debtor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↓ Loss Severity:
التأمين الائتماني يخفض LGD
⚠ يجب التحقق من شروط الوثيقة
per IFRS 9 §5.5.17-20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متوافق مع أطر تمويل SAMA
مطابق لمتطلبات البنوك
وشركات التأمين الائتماني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توثيق بوليصة التأمين
سجلات تحويل الذمم المدينة
تقييم إلغاء الاعتراف (IFRS 9)</w:t>
            </w:r>
          </w:p>
        </w:tc>
        <w:tc>
          <w:tcPr>
            <w:tcBorders>
              <w:top w:val="single" w:color="DDDDDD" w:sz="1"/>
              <w:left w:val="thick" w:color="E8771A" w:sz="20"/>
              <w:bottom w:val="single" w:color="DDDDDD" w:sz="1"/>
              <w:right w:val="single" w:color="DDDDDD" w:sz="1"/>
            </w:tcBorders>
            <w:shd w:fill="FFF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  <w:rtl/>
              </w:rPr>
              <w:t xml:space="preserve">تحويل الدين إلى سيولة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Working Capital Liberation — DSO reduction; growth without capital lock-up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thick" w:color="E8771A" w:sz="12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1A"/>
                <w:sz w:val="32"/>
                <w:szCs w:val="32"/>
              </w:rPr>
              <w:t xml:space="preserve">07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  <w:rtl/>
              </w:rPr>
              <w:t xml:space="preserve">فحص SGS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4"/>
                <w:szCs w:val="14"/>
              </w:rPr>
              <w:t xml:space="preserve">SGS Inspection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إثبات مادي محايد من SGS
(أكبر شركة فحص في العالم)
شارة Golden Verified Supplier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Neutral physical proof from SGS (world's largest inspection co.); cannot be challenged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يمنع رفض أمر الأداء
بسبب النزاع على الجودة
يُغلق آخر ثغرة تهرب محتملة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Prevents Order rejection on quality grounds — closes the last escape route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↓ LGD بشكل كبير:
تقارير SGS تعزز موقف الاسترداد
بشكل غير مسبوق
يقلل مخاطر Stage 3 من نزاعات الجودة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امتثال لمعايير الجودة AQL
معايير دولية معتمدة
متطلبات الاستيراد/التصدير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تقارير SGS مستقلة قابلة للتدقيق
شهادة من طرف ثالث خارجي
Zero Dispute Layer</w:t>
            </w:r>
          </w:p>
        </w:tc>
        <w:tc>
          <w:tcPr>
            <w:tcBorders>
              <w:top w:val="single" w:color="DDDDDD" w:sz="1"/>
              <w:left w:val="thick" w:color="E8771A" w:sz="20"/>
              <w:bottom w:val="single" w:color="DDDDDD" w:sz="1"/>
              <w:right w:val="single" w:color="DDDDDD" w:sz="1"/>
            </w:tcBorders>
            <w:shd w:fill="FFF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  <w:rtl/>
              </w:rPr>
              <w:t xml:space="preserve">طبقة الصفر نزاع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5"/>
                <w:szCs w:val="15"/>
              </w:rPr>
              <w:t xml:space="preserve">Zero Dispute Layer — supplier becomes SGS-certified, MUHIDE-verified, legally armored</w:t>
            </w:r>
          </w:p>
        </w:tc>
      </w:tr>
    </w:tbl>
    <w:p>
      <w:pPr>
        <w:pageBreakBefore/>
        <w:pBdr>
          <w:left w:val="thick" w:color="E8771A" w:sz="24"/>
        </w:pBdr>
        <w:shd w:fill="1A1A1A" w:val="clear"/>
        <w:spacing w:after="200" w:before="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الخلاصة التحليلية  |  Analytical Synthesis</w:t>
      </w:r>
    </w:p>
    <w:p>
      <w:pPr>
        <w:pBdr>
          <w:left w:val="thick" w:color="E8771A" w:sz="16"/>
        </w:pBdr>
        <w:spacing w:after="60" w:before="200"/>
        <w:ind w:left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مقارنة المخرجات  |  Outcome Comparison</w:t>
      </w:r>
    </w:p>
    <w:p>
      <w:pPr>
        <w:spacing w:after="80"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800"/>
        <w:gridCol w:w="1800"/>
        <w:gridCol w:w="1800"/>
        <w:gridCol w:w="1500"/>
        <w:gridCol w:w="15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المنصة
Platform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العقد والبلوك تشين
Contract + Blockchain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التسليم
Delivery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ملف الإثبات
Evidence File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السداد والتمويل
Payment + Finance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ECL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المخصصات
Provisions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C2222"/>
                <w:sz w:val="16"/>
                <w:szCs w:val="16"/>
              </w:rPr>
              <w:t xml:space="preserve">بدون محايد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لا نظام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غياب الإثبات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نزاعات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لا تنفيذ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لا سداد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C2222"/>
                <w:sz w:val="16"/>
                <w:szCs w:val="16"/>
              </w:rPr>
              <w:t xml:space="preserve">مرتفع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C2222"/>
                <w:sz w:val="16"/>
                <w:szCs w:val="16"/>
              </w:rPr>
              <w:t xml:space="preserve">مرتفعة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A3A"/>
                <w:sz w:val="16"/>
                <w:szCs w:val="16"/>
              </w:rPr>
              <w:t xml:space="preserve">مع محايد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منصة موحدة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عقد + بلوك تشين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تسليم موثق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ملف جاهز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سداد + تمويل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A3A"/>
                <w:sz w:val="16"/>
                <w:szCs w:val="16"/>
              </w:rPr>
              <w:t xml:space="preserve">منخفض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A3A"/>
                <w:sz w:val="16"/>
                <w:szCs w:val="16"/>
              </w:rPr>
              <w:t xml:space="preserve">منخفضة</w:t>
            </w:r>
          </w:p>
        </w:tc>
      </w:tr>
    </w:tbl>
    <w:p>
      <w:pPr>
        <w:spacing w:after="80" w:before="160"/>
      </w:pPr>
    </w:p>
    <w:p>
      <w:pPr>
        <w:pBdr>
          <w:left w:val="thick" w:color="E8771A" w:sz="24"/>
        </w:pBdr>
        <w:shd w:fill="1A1A1A" w:val="clear"/>
        <w:spacing w:after="0" w:before="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محايد لا يُصلح المحاسبة مباشرةً — محايد يُصلح جذر المخاطرة  |  MUHIDE does not fix accounting directly — MUHIDE fixes the root risk  </w:t>
      </w:r>
    </w:p>
    <w:p>
      <w:pPr>
        <w:pageBreakBefore/>
        <w:pBdr>
          <w:left w:val="thick" w:color="E8771A" w:sz="24"/>
        </w:pBdr>
        <w:shd w:fill="1A1A1A" w:val="clear"/>
        <w:spacing w:after="200" w:before="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قيمة كل مستفيد  |  Stakeholder Value</w:t>
      </w:r>
    </w:p>
    <w:p>
      <w:pPr>
        <w:pBdr>
          <w:left w:val="thick" w:color="E8771A" w:sz="16"/>
        </w:pBdr>
        <w:spacing w:after="60" w:before="200"/>
        <w:ind w:left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من يستفيد وكيف؟  |  Who Benefits and How?</w:t>
      </w:r>
    </w:p>
    <w:p>
      <w:pPr>
        <w:spacing w:after="80"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4200"/>
        <w:gridCol w:w="36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المستفيد
Stakeholder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القيمة الأساسية
Primary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الأثر المالي
Financial Outcome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الطبقة الأكثر أهمية
Key Layers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المورد / Supplier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بِع آجلاً بأمان النقد — وحوّل ذممك لسيولة فورية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6"/>
                <w:szCs w:val="16"/>
              </w:rPr>
              <w:t xml:space="preserve">↓ DSO  ↓ Provision  ↑ Cash Flow  ↑ Revenue</w:t>
            </w:r>
          </w:p>
        </w:tc>
        <w:tc>
          <w:tcPr>
            <w:tcBorders>
              <w:top w:val="single" w:color="DDDDDD" w:sz="1"/>
              <w:left w:val="thick" w:color="E8771A" w:sz="16"/>
              <w:bottom w:val="single" w:color="DDDDDD" w:sz="1"/>
              <w:right w:val="single" w:color="DDDDDD" w:sz="1"/>
            </w:tcBorders>
            <w:shd w:fill="FFF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1A"/>
                <w:sz w:val="17"/>
                <w:szCs w:val="17"/>
              </w:rPr>
              <w:t xml:space="preserve">04 + 05 + 06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المشتري / Buyer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احمِ حقوقك — وموّل مشترياتك بأسعار أفضل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6"/>
                <w:szCs w:val="16"/>
              </w:rPr>
              <w:t xml:space="preserve">↓ Dispute Cost  ↑ Financing Access  ↑ Governance</w:t>
            </w:r>
          </w:p>
        </w:tc>
        <w:tc>
          <w:tcPr>
            <w:tcBorders>
              <w:top w:val="single" w:color="DDDDDD" w:sz="1"/>
              <w:left w:val="thick" w:color="E8771A" w:sz="16"/>
              <w:bottom w:val="single" w:color="DDDDDD" w:sz="1"/>
              <w:right w:val="single" w:color="DDDDDD" w:sz="1"/>
            </w:tcBorders>
            <w:shd w:fill="FFF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1A"/>
                <w:sz w:val="17"/>
                <w:szCs w:val="17"/>
              </w:rPr>
              <w:t xml:space="preserve">04 + 07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المدقق الخارجي / Auditor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أدلة كاملة وغير قابلة للتغيير — تدعم حكم ECL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6"/>
                <w:szCs w:val="16"/>
              </w:rPr>
              <w:t xml:space="preserve">ECL defensible  Provision supportable  ↑ Audit</w:t>
            </w:r>
          </w:p>
        </w:tc>
        <w:tc>
          <w:tcPr>
            <w:tcBorders>
              <w:top w:val="single" w:color="DDDDDD" w:sz="1"/>
              <w:left w:val="thick" w:color="E8771A" w:sz="16"/>
              <w:bottom w:val="single" w:color="DDDDDD" w:sz="1"/>
              <w:right w:val="single" w:color="DDDDDD" w:sz="1"/>
            </w:tcBorders>
            <w:shd w:fill="FFF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1A"/>
                <w:sz w:val="17"/>
                <w:szCs w:val="17"/>
              </w:rPr>
              <w:t xml:space="preserve">02 + 03 + 05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مجلس الإدارة / 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حوكمة واجبة التنفيذ على جميع المعاملات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6"/>
                <w:szCs w:val="16"/>
              </w:rPr>
              <w:t xml:space="preserve">↓ Credit Risk  ↓ Litigation  ↑ Compliance Score</w:t>
            </w:r>
          </w:p>
        </w:tc>
        <w:tc>
          <w:tcPr>
            <w:tcBorders>
              <w:top w:val="single" w:color="DDDDDD" w:sz="1"/>
              <w:left w:val="thick" w:color="E8771A" w:sz="16"/>
              <w:bottom w:val="single" w:color="DDDDDD" w:sz="1"/>
              <w:right w:val="single" w:color="DDDDDD" w:sz="1"/>
            </w:tcBorders>
            <w:shd w:fill="FFF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1A"/>
                <w:sz w:val="17"/>
                <w:szCs w:val="17"/>
              </w:rPr>
              <w:t xml:space="preserve">01 + 02 + 07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الممولون / Financiers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  <w:rtl/>
              </w:rPr>
              <w:t xml:space="preserve">ضمانات موثقة ببلوك تشين وشهادة SGS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6"/>
                <w:szCs w:val="16"/>
              </w:rPr>
              <w:t xml:space="preserve">↑ LTV Confidence  ↓ Risk Assessment Cost</w:t>
            </w:r>
          </w:p>
        </w:tc>
        <w:tc>
          <w:tcPr>
            <w:tcBorders>
              <w:top w:val="single" w:color="DDDDDD" w:sz="1"/>
              <w:left w:val="thick" w:color="E8771A" w:sz="16"/>
              <w:bottom w:val="single" w:color="DDDDDD" w:sz="1"/>
              <w:right w:val="single" w:color="DDDDDD" w:sz="1"/>
            </w:tcBorders>
            <w:shd w:fill="FFF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1A"/>
                <w:sz w:val="17"/>
                <w:szCs w:val="17"/>
              </w:rPr>
              <w:t xml:space="preserve">03 + 06 + 07</w:t>
            </w:r>
          </w:p>
        </w:tc>
      </w:tr>
    </w:tbl>
    <w:p>
      <w:pPr>
        <w:spacing w:after="80" w:before="160"/>
      </w:pPr>
    </w:p>
    <w:p>
      <w:pPr>
        <w:shd w:fill="E8771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كل معاملة في محايد = التزام قابل للتنفيذ + سجل قابل للتدقيق + أصل قابل للتمويل + صفقة خالية من النزاع  </w:t>
      </w:r>
    </w:p>
    <w:p>
      <w:pPr>
        <w:shd w:fill="1A1A1A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DDDDDD"/>
          <w:sz w:val="18"/>
          <w:szCs w:val="18"/>
        </w:rPr>
        <w:t xml:space="preserve">  Every MUHIDE transaction = Enforceable Obligation + Auditable Record + Financeable Asset + Zero Dispute  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71A" w:sz="4"/>
      </w:pBdr>
      <w:tabs>
        <w:tab w:val="right" w:pos="14400"/>
      </w:tabs>
      <w:spacing w:after="0" w:before="80"/>
      <w:jc w:val="left"/>
    </w:pPr>
    <w:r>
      <w:rPr>
        <w:rFonts w:ascii="Arial" w:cs="Arial" w:eastAsia="Arial" w:hAnsi="Arial"/>
        <w:color w:val="2D2D2D"/>
        <w:sz w:val="15"/>
        <w:szCs w:val="15"/>
      </w:rPr>
      <w:t xml:space="preserve">محايد لا يُصلح المحاسبة مباشرةً — محايد يُصلح جذر المخاطرة  |  MUHIDE fixes the root risk, not just the accounting</w:t>
    </w:r>
    <w:r>
      <w:rPr>
        <w:rFonts w:ascii="Arial" w:cs="Arial" w:eastAsia="Arial" w:hAnsi="Arial"/>
        <w:sz w:val="15"/>
        <w:szCs w:val="15"/>
      </w:rPr>
      <w:t xml:space="preserve">	</w:t>
    </w:r>
    <w:r>
      <w:rPr>
        <w:rFonts w:ascii="Arial" w:cs="Arial" w:eastAsia="Arial" w:hAnsi="Arial"/>
        <w:color w:val="DDDDDD"/>
        <w:sz w:val="15"/>
        <w:szCs w:val="15"/>
      </w:rPr>
      <w:t xml:space="preserve">Page </w:t>
    </w:r>
    <w:r>
      <w:rPr>
        <w:rFonts w:ascii="Arial" w:cs="Arial" w:eastAsia="Arial" w:hAnsi="Arial"/>
        <w:color w:val="DDDDD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DDDDD"/>
        <w:sz w:val="15"/>
        <w:szCs w:val="15"/>
      </w:rPr>
      <w:t xml:space="preserve"> / </w:t>
    </w:r>
    <w:r>
      <w:rPr>
        <w:rFonts w:ascii="Arial" w:cs="Arial" w:eastAsia="Arial" w:hAnsi="Arial"/>
        <w:color w:val="DDDDDD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1A" w:sz="4"/>
      </w:pBdr>
      <w:tabs>
        <w:tab w:val="right" w:pos="14400"/>
      </w:tabs>
      <w:spacing w:after="80" w:before="0"/>
      <w:jc w:val="left"/>
    </w:pPr>
    <w:r>
      <w:rPr>
        <w:rFonts w:ascii="Arial" w:cs="Arial" w:eastAsia="Arial" w:hAnsi="Arial"/>
        <w:b/>
        <w:bCs/>
        <w:color w:val="E8771A"/>
        <w:sz w:val="18"/>
        <w:szCs w:val="18"/>
      </w:rPr>
      <w:t xml:space="preserve">محايد | MUHIDE</w:t>
    </w:r>
    <w:r>
      <w:rPr>
        <w:rFonts w:ascii="Arial" w:cs="Arial" w:eastAsia="Arial" w:hAnsi="Arial"/>
        <w:color w:val="2D2D2D"/>
        <w:sz w:val="17"/>
        <w:szCs w:val="17"/>
      </w:rPr>
      <w:t xml:space="preserve">   —   النموذج المتكامل: ٧ طبقات  |  7-Layer Integrated Model</w:t>
    </w:r>
    <w:r>
      <w:rPr>
        <w:rFonts w:ascii="Arial" w:cs="Arial" w:eastAsia="Arial" w:hAnsi="Arial"/>
        <w:b/>
        <w:bCs/>
        <w:color w:val="CC2222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4248f8df3ffab50782c084835046816720a1b7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2026-03-30T03:05:59.570Z</dcterms:created>
  <dcterms:modified xsi:type="dcterms:W3CDTF">2026-03-30T03:05:59.570Z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