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72"/>
        </w:rPr>
        <w:t>BRILLOPAL</w:t>
      </w:r>
    </w:p>
    <w:p>
      <w:pPr>
        <w:jc w:val="center"/>
      </w:pPr>
      <w:r>
        <w:rPr>
          <w:b/>
          <w:color w:val="F4B942"/>
          <w:sz w:val="36"/>
        </w:rPr>
        <w:t>PLAN DE NEGOCIO COMPLETO</w:t>
      </w:r>
    </w:p>
    <w:p>
      <w:pPr>
        <w:jc w:val="center"/>
      </w:pPr>
      <w:r>
        <w:rPr>
          <w:sz w:val="24"/>
        </w:rPr>
        <w:t>Servicios de Limpieza, Mantenimiento y Auxiliares</w:t>
        <w:br/>
        <w:t>Palencia y Provincia · 2026</w:t>
      </w:r>
    </w:p>
    <w:p/>
    <w:p>
      <w:pPr>
        <w:jc w:val="center"/>
      </w:pPr>
      <w:r>
        <w:rPr>
          <w:b/>
          <w:i/>
          <w:color w:val="1F3864"/>
          <w:sz w:val="26"/>
        </w:rPr>
        <w:t>"La limpieza que tu empresa merece, sin la complejidad que no necesita"</w:t>
      </w:r>
    </w:p>
    <w:p>
      <w:r>
        <w:br w:type="page"/>
      </w:r>
    </w:p>
    <w:p>
      <w:pPr>
        <w:pStyle w:val="Heading1"/>
        <w:spacing w:before="280"/>
        <w:shd w:val="clear" w:color="auto" w:fill="1F3864"/>
      </w:pPr>
      <w:r>
        <w:rPr>
          <w:color w:val="FFFFFF"/>
        </w:rPr>
        <w:t>1. RESUMEN EJECUTIVO</w:t>
      </w:r>
    </w:p>
    <w:p>
      <w:pPr>
        <w:spacing w:after="80"/>
      </w:pPr>
      <w:r>
        <w:rPr>
          <w:b w:val="0"/>
          <w:i w:val="0"/>
          <w:sz w:val="20"/>
        </w:rPr>
        <w:t>BRILLOPAL es una empresa de servicios de limpieza y mantenimiento con sede en Palencia, orientada a la subcontratación B2B (línea principal) y al servicio directo B2C (mercado complementario). Su modelo de negocio se basa en prestar un servicio de calidad superior a la media del sector, con personal propio cualificado, retribuido un 3% por encima del Convenio Colectivo provincial, y con procesos estandarizados que garantizan consistencia y cumplimiento legal.</w:t>
      </w:r>
    </w:p>
    <w:tbl>
      <w:tblPr>
        <w:tblStyle w:val="TableGrid"/>
        <w:tblW w:type="auto" w:w="0"/>
        <w:tblLook w:firstColumn="1" w:firstRow="1" w:lastColumn="0" w:lastRow="0" w:noHBand="0" w:noVBand="1" w:val="04A0"/>
      </w:tblPr>
      <w:tblGrid>
        <w:gridCol w:w="4703"/>
        <w:gridCol w:w="4703"/>
      </w:tblGrid>
      <w:tr>
        <w:tc>
          <w:tcPr>
            <w:tcW w:type="dxa" w:w="2835"/>
            <w:shd w:val="clear" w:color="auto" w:fill="1F3864"/>
          </w:tcPr>
          <w:p>
            <w:pPr>
              <w:jc w:val="center"/>
            </w:pPr>
            <w:r>
              <w:rPr>
                <w:b/>
                <w:color w:val="FFFFFF"/>
              </w:rPr>
              <w:t>Parámetro</w:t>
            </w:r>
          </w:p>
        </w:tc>
        <w:tc>
          <w:tcPr>
            <w:tcW w:type="dxa" w:w="5669"/>
            <w:shd w:val="clear" w:color="auto" w:fill="1F3864"/>
          </w:tcPr>
          <w:p>
            <w:pPr>
              <w:jc w:val="center"/>
            </w:pPr>
            <w:r>
              <w:rPr>
                <w:b/>
                <w:color w:val="FFFFFF"/>
              </w:rPr>
              <w:t>Dato</w:t>
            </w:r>
          </w:p>
        </w:tc>
      </w:tr>
      <w:tr>
        <w:tc>
          <w:tcPr>
            <w:tcW w:type="dxa" w:w="2835"/>
          </w:tcPr>
          <w:p>
            <w:r>
              <w:rPr>
                <w:sz w:val="18"/>
              </w:rPr>
              <w:t>Localización</w:t>
            </w:r>
          </w:p>
        </w:tc>
        <w:tc>
          <w:tcPr>
            <w:tcW w:type="dxa" w:w="5669"/>
          </w:tcPr>
          <w:p>
            <w:r>
              <w:rPr>
                <w:sz w:val="18"/>
              </w:rPr>
              <w:t>Palencia y provincia (radio 40 km)</w:t>
            </w:r>
          </w:p>
        </w:tc>
      </w:tr>
      <w:tr>
        <w:tc>
          <w:tcPr>
            <w:tcW w:type="dxa" w:w="2835"/>
            <w:shd w:val="clear" w:color="auto" w:fill="D6E4F0"/>
          </w:tcPr>
          <w:p>
            <w:r>
              <w:rPr>
                <w:sz w:val="18"/>
              </w:rPr>
              <w:t>Líneas de negocio</w:t>
            </w:r>
          </w:p>
        </w:tc>
        <w:tc>
          <w:tcPr>
            <w:tcW w:type="dxa" w:w="5669"/>
            <w:shd w:val="clear" w:color="auto" w:fill="D6E4F0"/>
          </w:tcPr>
          <w:p>
            <w:r>
              <w:rPr>
                <w:sz w:val="18"/>
              </w:rPr>
              <w:t>B2B (subcontratación) + B2C (particulares/microempresas)</w:t>
            </w:r>
          </w:p>
        </w:tc>
      </w:tr>
      <w:tr>
        <w:tc>
          <w:tcPr>
            <w:tcW w:type="dxa" w:w="2835"/>
          </w:tcPr>
          <w:p>
            <w:r>
              <w:rPr>
                <w:sz w:val="18"/>
              </w:rPr>
              <w:t>Convenio aplicable</w:t>
            </w:r>
          </w:p>
        </w:tc>
        <w:tc>
          <w:tcPr>
            <w:tcW w:type="dxa" w:w="5669"/>
          </w:tcPr>
          <w:p>
            <w:r>
              <w:rPr>
                <w:sz w:val="18"/>
              </w:rPr>
              <w:t>Conv. Col. Limpieza Edif. y Locales Palencia (en ultraactividad 2026)</w:t>
            </w:r>
          </w:p>
        </w:tc>
      </w:tr>
      <w:tr>
        <w:tc>
          <w:tcPr>
            <w:tcW w:type="dxa" w:w="2835"/>
            <w:shd w:val="clear" w:color="auto" w:fill="D6E4F0"/>
          </w:tcPr>
          <w:p>
            <w:r>
              <w:rPr>
                <w:sz w:val="18"/>
              </w:rPr>
              <w:t>Jornada laboral</w:t>
            </w:r>
          </w:p>
        </w:tc>
        <w:tc>
          <w:tcPr>
            <w:tcW w:type="dxa" w:w="5669"/>
            <w:shd w:val="clear" w:color="auto" w:fill="D6E4F0"/>
          </w:tcPr>
          <w:p>
            <w:r>
              <w:rPr>
                <w:sz w:val="18"/>
              </w:rPr>
              <w:t>37,5 h/semana · 1.687,5 h/año</w:t>
            </w:r>
          </w:p>
        </w:tc>
      </w:tr>
      <w:tr>
        <w:tc>
          <w:tcPr>
            <w:tcW w:type="dxa" w:w="2835"/>
          </w:tcPr>
          <w:p>
            <w:r>
              <w:rPr>
                <w:sz w:val="18"/>
              </w:rPr>
              <w:t>Salario base de referencia</w:t>
            </w:r>
          </w:p>
        </w:tc>
        <w:tc>
          <w:tcPr>
            <w:tcW w:type="dxa" w:w="5669"/>
          </w:tcPr>
          <w:p>
            <w:r>
              <w:rPr>
                <w:sz w:val="18"/>
              </w:rPr>
              <w:t>1.107,22 €/mes × 14 pagas (Limpiador/a Cat. IV, 2025)</w:t>
            </w:r>
          </w:p>
        </w:tc>
      </w:tr>
      <w:tr>
        <w:tc>
          <w:tcPr>
            <w:tcW w:type="dxa" w:w="2835"/>
            <w:shd w:val="clear" w:color="auto" w:fill="D6E4F0"/>
          </w:tcPr>
          <w:p>
            <w:r>
              <w:rPr>
                <w:sz w:val="18"/>
              </w:rPr>
              <w:t>Prima salarial BrillOPal</w:t>
            </w:r>
          </w:p>
        </w:tc>
        <w:tc>
          <w:tcPr>
            <w:tcW w:type="dxa" w:w="5669"/>
            <w:shd w:val="clear" w:color="auto" w:fill="D6E4F0"/>
          </w:tcPr>
          <w:p>
            <w:r>
              <w:rPr>
                <w:sz w:val="18"/>
              </w:rPr>
              <w:t>+3% s/tablas convenio → 1.140,44 €/mes</w:t>
            </w:r>
          </w:p>
        </w:tc>
      </w:tr>
      <w:tr>
        <w:tc>
          <w:tcPr>
            <w:tcW w:type="dxa" w:w="2835"/>
          </w:tcPr>
          <w:p>
            <w:r>
              <w:rPr>
                <w:sz w:val="18"/>
              </w:rPr>
              <w:t>Coste empresa/empleado/año</w:t>
            </w:r>
          </w:p>
        </w:tc>
        <w:tc>
          <w:tcPr>
            <w:tcW w:type="dxa" w:w="5669"/>
          </w:tcPr>
          <w:p>
            <w:r>
              <w:rPr>
                <w:sz w:val="18"/>
              </w:rPr>
              <w:t>≈ 21.042 € (salario+SS 31,78%)</w:t>
            </w:r>
          </w:p>
        </w:tc>
      </w:tr>
      <w:tr>
        <w:tc>
          <w:tcPr>
            <w:tcW w:type="dxa" w:w="2835"/>
            <w:shd w:val="clear" w:color="auto" w:fill="D6E4F0"/>
          </w:tcPr>
          <w:p>
            <w:r>
              <w:rPr>
                <w:sz w:val="18"/>
              </w:rPr>
              <w:t>Precio venta B2B/hora</w:t>
            </w:r>
          </w:p>
        </w:tc>
        <w:tc>
          <w:tcPr>
            <w:tcW w:type="dxa" w:w="5669"/>
            <w:shd w:val="clear" w:color="auto" w:fill="D6E4F0"/>
          </w:tcPr>
          <w:p>
            <w:r>
              <w:rPr>
                <w:sz w:val="18"/>
              </w:rPr>
              <w:t>≈ 20,41 €/h (s/IVA) · Margen +30% s/coste directo</w:t>
            </w:r>
          </w:p>
        </w:tc>
      </w:tr>
      <w:tr>
        <w:tc>
          <w:tcPr>
            <w:tcW w:type="dxa" w:w="2835"/>
          </w:tcPr>
          <w:p>
            <w:r>
              <w:rPr>
                <w:sz w:val="18"/>
              </w:rPr>
              <w:t>Precio venta B2C/hora</w:t>
            </w:r>
          </w:p>
        </w:tc>
        <w:tc>
          <w:tcPr>
            <w:tcW w:type="dxa" w:w="5669"/>
          </w:tcPr>
          <w:p>
            <w:r>
              <w:rPr>
                <w:sz w:val="18"/>
              </w:rPr>
              <w:t>≈ 22,50 €/h (s/IVA)</w:t>
            </w:r>
          </w:p>
        </w:tc>
      </w:tr>
      <w:tr>
        <w:tc>
          <w:tcPr>
            <w:tcW w:type="dxa" w:w="2835"/>
            <w:shd w:val="clear" w:color="auto" w:fill="D6E4F0"/>
          </w:tcPr>
          <w:p>
            <w:r>
              <w:rPr>
                <w:sz w:val="18"/>
              </w:rPr>
              <w:t>Forma jurídica recomendada</w:t>
            </w:r>
          </w:p>
        </w:tc>
        <w:tc>
          <w:tcPr>
            <w:tcW w:type="dxa" w:w="5669"/>
            <w:shd w:val="clear" w:color="auto" w:fill="D6E4F0"/>
          </w:tcPr>
          <w:p>
            <w:r>
              <w:rPr>
                <w:sz w:val="18"/>
              </w:rPr>
              <w:t>Autónomo (inicio) → SL a partir de 3 empleados</w:t>
            </w:r>
          </w:p>
        </w:tc>
      </w:tr>
      <w:tr>
        <w:tc>
          <w:tcPr>
            <w:tcW w:type="dxa" w:w="2835"/>
          </w:tcPr>
          <w:p>
            <w:r>
              <w:rPr>
                <w:sz w:val="18"/>
              </w:rPr>
              <w:t>Break-even 1 empleado</w:t>
            </w:r>
          </w:p>
        </w:tc>
        <w:tc>
          <w:tcPr>
            <w:tcW w:type="dxa" w:w="5669"/>
          </w:tcPr>
          <w:p>
            <w:r>
              <w:rPr>
                <w:sz w:val="18"/>
              </w:rPr>
              <w:t>≈ 87 h/mes facturadas</w:t>
            </w:r>
          </w:p>
        </w:tc>
      </w:tr>
      <w:tr>
        <w:tc>
          <w:tcPr>
            <w:tcW w:type="dxa" w:w="2835"/>
            <w:shd w:val="clear" w:color="auto" w:fill="D6E4F0"/>
          </w:tcPr>
          <w:p>
            <w:r>
              <w:rPr>
                <w:sz w:val="18"/>
              </w:rPr>
              <w:t>Break-even 3 empleados</w:t>
            </w:r>
          </w:p>
        </w:tc>
        <w:tc>
          <w:tcPr>
            <w:tcW w:type="dxa" w:w="5669"/>
            <w:shd w:val="clear" w:color="auto" w:fill="D6E4F0"/>
          </w:tcPr>
          <w:p>
            <w:r>
              <w:rPr>
                <w:sz w:val="18"/>
              </w:rPr>
              <w:t>≈ 200 h/mes facturadas</w:t>
            </w:r>
          </w:p>
        </w:tc>
      </w:tr>
    </w:tbl>
    <w:p>
      <w:r>
        <w:br w:type="page"/>
      </w:r>
    </w:p>
    <w:p>
      <w:pPr>
        <w:pStyle w:val="Heading1"/>
        <w:spacing w:before="280"/>
        <w:shd w:val="clear" w:color="auto" w:fill="1F3864"/>
      </w:pPr>
      <w:r>
        <w:rPr>
          <w:color w:val="FFFFFF"/>
        </w:rPr>
        <w:t>2. DESCRIPCIÓN DEL NEGOCIO</w:t>
      </w:r>
    </w:p>
    <w:p>
      <w:pPr>
        <w:pStyle w:val="Heading2"/>
      </w:pPr>
      <w:r>
        <w:rPr>
          <w:color w:val="1F3864"/>
        </w:rPr>
        <w:t>2.1 Misión y propuesta de valor</w:t>
      </w:r>
    </w:p>
    <w:p>
      <w:pPr>
        <w:spacing w:after="80"/>
      </w:pPr>
      <w:r>
        <w:rPr>
          <w:b w:val="0"/>
          <w:i w:val="0"/>
          <w:sz w:val="20"/>
        </w:rPr>
        <w:t>BRILLOPAL ofrece a empresas y particulares de Palencia servicios de limpieza, mantenimiento y auxiliares con tres pilares diferenciales:</w:t>
      </w:r>
    </w:p>
    <w:p>
      <w:pPr>
        <w:pStyle w:val="ListBullet"/>
        <w:spacing w:after="40"/>
      </w:pPr>
      <w:r>
        <w:rPr>
          <w:sz w:val="20"/>
        </w:rPr>
        <w:t>Fiabilidad contractual: servicio garantizado, sustituciones en 24h, acuerdos SLA.</w:t>
      </w:r>
    </w:p>
    <w:p>
      <w:pPr>
        <w:pStyle w:val="ListBullet"/>
        <w:spacing w:after="40"/>
      </w:pPr>
      <w:r>
        <w:rPr>
          <w:sz w:val="20"/>
        </w:rPr>
        <w:t>Transparencia total: escandallo de costes abierto, precios cerrados sin sorpresas.</w:t>
      </w:r>
    </w:p>
    <w:p>
      <w:pPr>
        <w:pStyle w:val="ListBullet"/>
        <w:spacing w:after="40"/>
      </w:pPr>
      <w:r>
        <w:rPr>
          <w:sz w:val="20"/>
        </w:rPr>
        <w:t>Cumplimiento legal pleno: PRL, CAE, subrogación, convenio actualizado.</w:t>
      </w:r>
    </w:p>
    <w:p>
      <w:pPr>
        <w:pStyle w:val="Heading2"/>
      </w:pPr>
      <w:r>
        <w:rPr>
          <w:color w:val="1F3864"/>
        </w:rPr>
        <w:t>2.2 Servicios ofrecidos</w:t>
      </w:r>
    </w:p>
    <w:tbl>
      <w:tblPr>
        <w:tblStyle w:val="TableGrid"/>
        <w:tblW w:type="auto" w:w="0"/>
        <w:tblLook w:firstColumn="1" w:firstRow="1" w:lastColumn="0" w:lastRow="0" w:noHBand="0" w:noVBand="1" w:val="04A0"/>
      </w:tblPr>
      <w:tblGrid>
        <w:gridCol w:w="2351"/>
        <w:gridCol w:w="2351"/>
        <w:gridCol w:w="2351"/>
        <w:gridCol w:w="2351"/>
      </w:tblGrid>
      <w:tr>
        <w:tc>
          <w:tcPr>
            <w:tcW w:type="dxa" w:w="850"/>
            <w:shd w:val="clear" w:color="auto" w:fill="1F3864"/>
          </w:tcPr>
          <w:p>
            <w:pPr>
              <w:jc w:val="center"/>
            </w:pPr>
            <w:r>
              <w:rPr>
                <w:b/>
                <w:color w:val="FFFFFF"/>
              </w:rPr>
              <w:t>Línea</w:t>
            </w:r>
          </w:p>
        </w:tc>
        <w:tc>
          <w:tcPr>
            <w:tcW w:type="dxa" w:w="3118"/>
            <w:shd w:val="clear" w:color="auto" w:fill="1F3864"/>
          </w:tcPr>
          <w:p>
            <w:pPr>
              <w:jc w:val="center"/>
            </w:pPr>
            <w:r>
              <w:rPr>
                <w:b/>
                <w:color w:val="FFFFFF"/>
              </w:rPr>
              <w:t>Servicio</w:t>
            </w:r>
          </w:p>
        </w:tc>
        <w:tc>
          <w:tcPr>
            <w:tcW w:type="dxa" w:w="1984"/>
            <w:shd w:val="clear" w:color="auto" w:fill="1F3864"/>
          </w:tcPr>
          <w:p>
            <w:pPr>
              <w:jc w:val="center"/>
            </w:pPr>
            <w:r>
              <w:rPr>
                <w:b/>
                <w:color w:val="FFFFFF"/>
              </w:rPr>
              <w:t>Frecuencia típica</w:t>
            </w:r>
          </w:p>
        </w:tc>
        <w:tc>
          <w:tcPr>
            <w:tcW w:type="dxa" w:w="2551"/>
            <w:shd w:val="clear" w:color="auto" w:fill="1F3864"/>
          </w:tcPr>
          <w:p>
            <w:pPr>
              <w:jc w:val="center"/>
            </w:pPr>
            <w:r>
              <w:rPr>
                <w:b/>
                <w:color w:val="FFFFFF"/>
              </w:rPr>
              <w:t>Cliente objetivo</w:t>
            </w:r>
          </w:p>
        </w:tc>
      </w:tr>
      <w:tr>
        <w:tc>
          <w:tcPr>
            <w:tcW w:type="dxa" w:w="850"/>
          </w:tcPr>
          <w:p>
            <w:r>
              <w:rPr>
                <w:sz w:val="18"/>
              </w:rPr>
              <w:t>B2B</w:t>
            </w:r>
          </w:p>
        </w:tc>
        <w:tc>
          <w:tcPr>
            <w:tcW w:type="dxa" w:w="3118"/>
          </w:tcPr>
          <w:p>
            <w:r>
              <w:rPr>
                <w:sz w:val="18"/>
              </w:rPr>
              <w:t>Limpieza de naves industriales</w:t>
            </w:r>
          </w:p>
        </w:tc>
        <w:tc>
          <w:tcPr>
            <w:tcW w:type="dxa" w:w="1984"/>
          </w:tcPr>
          <w:p>
            <w:r>
              <w:rPr>
                <w:sz w:val="18"/>
              </w:rPr>
              <w:t>Diaria / Semanal</w:t>
            </w:r>
          </w:p>
        </w:tc>
        <w:tc>
          <w:tcPr>
            <w:tcW w:type="dxa" w:w="2551"/>
          </w:tcPr>
          <w:p>
            <w:r>
              <w:rPr>
                <w:sz w:val="18"/>
              </w:rPr>
              <w:t>PYME industrial Palencia</w:t>
            </w:r>
          </w:p>
        </w:tc>
      </w:tr>
      <w:tr>
        <w:tc>
          <w:tcPr>
            <w:tcW w:type="dxa" w:w="850"/>
            <w:shd w:val="clear" w:color="auto" w:fill="D6E4F0"/>
          </w:tcPr>
          <w:p>
            <w:r>
              <w:rPr>
                <w:sz w:val="18"/>
              </w:rPr>
              <w:t>B2B</w:t>
            </w:r>
          </w:p>
        </w:tc>
        <w:tc>
          <w:tcPr>
            <w:tcW w:type="dxa" w:w="3118"/>
            <w:shd w:val="clear" w:color="auto" w:fill="D6E4F0"/>
          </w:tcPr>
          <w:p>
            <w:r>
              <w:rPr>
                <w:sz w:val="18"/>
              </w:rPr>
              <w:t>Limpieza de oficinas y despachos</w:t>
            </w:r>
          </w:p>
        </w:tc>
        <w:tc>
          <w:tcPr>
            <w:tcW w:type="dxa" w:w="1984"/>
            <w:shd w:val="clear" w:color="auto" w:fill="D6E4F0"/>
          </w:tcPr>
          <w:p>
            <w:r>
              <w:rPr>
                <w:sz w:val="18"/>
              </w:rPr>
              <w:t>Diaria / Alterna</w:t>
            </w:r>
          </w:p>
        </w:tc>
        <w:tc>
          <w:tcPr>
            <w:tcW w:type="dxa" w:w="2551"/>
            <w:shd w:val="clear" w:color="auto" w:fill="D6E4F0"/>
          </w:tcPr>
          <w:p>
            <w:r>
              <w:rPr>
                <w:sz w:val="18"/>
              </w:rPr>
              <w:t>Empresas medianas</w:t>
            </w:r>
          </w:p>
        </w:tc>
      </w:tr>
      <w:tr>
        <w:tc>
          <w:tcPr>
            <w:tcW w:type="dxa" w:w="850"/>
          </w:tcPr>
          <w:p>
            <w:r>
              <w:rPr>
                <w:sz w:val="18"/>
              </w:rPr>
              <w:t>B2B</w:t>
            </w:r>
          </w:p>
        </w:tc>
        <w:tc>
          <w:tcPr>
            <w:tcW w:type="dxa" w:w="3118"/>
          </w:tcPr>
          <w:p>
            <w:r>
              <w:rPr>
                <w:sz w:val="18"/>
              </w:rPr>
              <w:t>Limpieza de comunidades de propietarios</w:t>
            </w:r>
          </w:p>
        </w:tc>
        <w:tc>
          <w:tcPr>
            <w:tcW w:type="dxa" w:w="1984"/>
          </w:tcPr>
          <w:p>
            <w:r>
              <w:rPr>
                <w:sz w:val="18"/>
              </w:rPr>
              <w:t>Diaria / 3/sem</w:t>
            </w:r>
          </w:p>
        </w:tc>
        <w:tc>
          <w:tcPr>
            <w:tcW w:type="dxa" w:w="2551"/>
          </w:tcPr>
          <w:p>
            <w:r>
              <w:rPr>
                <w:sz w:val="18"/>
              </w:rPr>
              <w:t>Administradoras de fincas</w:t>
            </w:r>
          </w:p>
        </w:tc>
      </w:tr>
      <w:tr>
        <w:tc>
          <w:tcPr>
            <w:tcW w:type="dxa" w:w="850"/>
            <w:shd w:val="clear" w:color="auto" w:fill="D6E4F0"/>
          </w:tcPr>
          <w:p>
            <w:r>
              <w:rPr>
                <w:sz w:val="18"/>
              </w:rPr>
              <w:t>B2B</w:t>
            </w:r>
          </w:p>
        </w:tc>
        <w:tc>
          <w:tcPr>
            <w:tcW w:type="dxa" w:w="3118"/>
            <w:shd w:val="clear" w:color="auto" w:fill="D6E4F0"/>
          </w:tcPr>
          <w:p>
            <w:r>
              <w:rPr>
                <w:sz w:val="18"/>
              </w:rPr>
              <w:t>Fin de obra / limpieza post-construcción</w:t>
            </w:r>
          </w:p>
        </w:tc>
        <w:tc>
          <w:tcPr>
            <w:tcW w:type="dxa" w:w="1984"/>
            <w:shd w:val="clear" w:color="auto" w:fill="D6E4F0"/>
          </w:tcPr>
          <w:p>
            <w:r>
              <w:rPr>
                <w:sz w:val="18"/>
              </w:rPr>
              <w:t>Puntual</w:t>
            </w:r>
          </w:p>
        </w:tc>
        <w:tc>
          <w:tcPr>
            <w:tcW w:type="dxa" w:w="2551"/>
            <w:shd w:val="clear" w:color="auto" w:fill="D6E4F0"/>
          </w:tcPr>
          <w:p>
            <w:r>
              <w:rPr>
                <w:sz w:val="18"/>
              </w:rPr>
              <w:t>Constructoras / promotoras</w:t>
            </w:r>
          </w:p>
        </w:tc>
      </w:tr>
      <w:tr>
        <w:tc>
          <w:tcPr>
            <w:tcW w:type="dxa" w:w="850"/>
          </w:tcPr>
          <w:p>
            <w:r>
              <w:rPr>
                <w:sz w:val="18"/>
              </w:rPr>
              <w:t>B2B</w:t>
            </w:r>
          </w:p>
        </w:tc>
        <w:tc>
          <w:tcPr>
            <w:tcW w:type="dxa" w:w="3118"/>
          </w:tcPr>
          <w:p>
            <w:r>
              <w:rPr>
                <w:sz w:val="18"/>
              </w:rPr>
              <w:t>Servicios auxiliares (conserje, recepción)</w:t>
            </w:r>
          </w:p>
        </w:tc>
        <w:tc>
          <w:tcPr>
            <w:tcW w:type="dxa" w:w="1984"/>
          </w:tcPr>
          <w:p>
            <w:r>
              <w:rPr>
                <w:sz w:val="18"/>
              </w:rPr>
              <w:t>Jornada completa</w:t>
            </w:r>
          </w:p>
        </w:tc>
        <w:tc>
          <w:tcPr>
            <w:tcW w:type="dxa" w:w="2551"/>
          </w:tcPr>
          <w:p>
            <w:r>
              <w:rPr>
                <w:sz w:val="18"/>
              </w:rPr>
              <w:t>Empresas con sede</w:t>
            </w:r>
          </w:p>
        </w:tc>
      </w:tr>
      <w:tr>
        <w:tc>
          <w:tcPr>
            <w:tcW w:type="dxa" w:w="850"/>
            <w:shd w:val="clear" w:color="auto" w:fill="D6E4F0"/>
          </w:tcPr>
          <w:p>
            <w:r>
              <w:rPr>
                <w:sz w:val="18"/>
              </w:rPr>
              <w:t>B2C</w:t>
            </w:r>
          </w:p>
        </w:tc>
        <w:tc>
          <w:tcPr>
            <w:tcW w:type="dxa" w:w="3118"/>
            <w:shd w:val="clear" w:color="auto" w:fill="D6E4F0"/>
          </w:tcPr>
          <w:p>
            <w:r>
              <w:rPr>
                <w:sz w:val="18"/>
              </w:rPr>
              <w:t>Limpieza de hogar</w:t>
            </w:r>
          </w:p>
        </w:tc>
        <w:tc>
          <w:tcPr>
            <w:tcW w:type="dxa" w:w="1984"/>
            <w:shd w:val="clear" w:color="auto" w:fill="D6E4F0"/>
          </w:tcPr>
          <w:p>
            <w:r>
              <w:rPr>
                <w:sz w:val="18"/>
              </w:rPr>
              <w:t>Quincenal / Semanal</w:t>
            </w:r>
          </w:p>
        </w:tc>
        <w:tc>
          <w:tcPr>
            <w:tcW w:type="dxa" w:w="2551"/>
            <w:shd w:val="clear" w:color="auto" w:fill="D6E4F0"/>
          </w:tcPr>
          <w:p>
            <w:r>
              <w:rPr>
                <w:sz w:val="18"/>
              </w:rPr>
              <w:t>Familias Palencia capital</w:t>
            </w:r>
          </w:p>
        </w:tc>
      </w:tr>
      <w:tr>
        <w:tc>
          <w:tcPr>
            <w:tcW w:type="dxa" w:w="850"/>
          </w:tcPr>
          <w:p>
            <w:r>
              <w:rPr>
                <w:sz w:val="18"/>
              </w:rPr>
              <w:t>B2C</w:t>
            </w:r>
          </w:p>
        </w:tc>
        <w:tc>
          <w:tcPr>
            <w:tcW w:type="dxa" w:w="3118"/>
          </w:tcPr>
          <w:p>
            <w:r>
              <w:rPr>
                <w:sz w:val="18"/>
              </w:rPr>
              <w:t>Limpieza de pequeñas oficinas (&lt;200 m²)</w:t>
            </w:r>
          </w:p>
        </w:tc>
        <w:tc>
          <w:tcPr>
            <w:tcW w:type="dxa" w:w="1984"/>
          </w:tcPr>
          <w:p>
            <w:r>
              <w:rPr>
                <w:sz w:val="18"/>
              </w:rPr>
              <w:t>Semanal</w:t>
            </w:r>
          </w:p>
        </w:tc>
        <w:tc>
          <w:tcPr>
            <w:tcW w:type="dxa" w:w="2551"/>
          </w:tcPr>
          <w:p>
            <w:r>
              <w:rPr>
                <w:sz w:val="18"/>
              </w:rPr>
              <w:t>Autónomos / microempresas</w:t>
            </w:r>
          </w:p>
        </w:tc>
      </w:tr>
    </w:tbl>
    <w:p>
      <w:r>
        <w:br w:type="page"/>
      </w:r>
    </w:p>
    <w:p>
      <w:pPr>
        <w:pStyle w:val="Heading1"/>
        <w:spacing w:before="280"/>
        <w:shd w:val="clear" w:color="auto" w:fill="1F3864"/>
      </w:pPr>
      <w:r>
        <w:rPr>
          <w:color w:val="FFFFFF"/>
        </w:rPr>
        <w:t>3. MODELO B2B: SUBCONTRATACIÓN DE SERVICIOS</w:t>
      </w:r>
    </w:p>
    <w:p>
      <w:pPr>
        <w:pStyle w:val="Heading2"/>
      </w:pPr>
      <w:r>
        <w:rPr>
          <w:color w:val="1F3864"/>
        </w:rPr>
        <w:t>3.1 Cómo funciona la subcontratación en limpieza</w:t>
      </w:r>
    </w:p>
    <w:p>
      <w:pPr>
        <w:spacing w:after="80"/>
      </w:pPr>
      <w:r>
        <w:rPr>
          <w:b w:val="0"/>
          <w:i w:val="0"/>
          <w:sz w:val="20"/>
        </w:rPr>
        <w:t>En el modelo B2B, BRILLOPAL actúa como contratista de servicios: la empresa cliente (empresa principal) subcontrata la limpieza y externaliza la gestión del personal asociado. BRILLOPAL contrata directamente a los empleados, gestiona nóminas, SS, formación PRL y sustituciones. La empresa cliente paga una tarifa por horas de servicio y se desentiende de toda la carga laboral.</w:t>
      </w:r>
    </w:p>
    <w:p>
      <w:pPr>
        <w:pStyle w:val="Heading2"/>
      </w:pPr>
      <w:r>
        <w:rPr>
          <w:color w:val="1F3864"/>
        </w:rPr>
        <w:t>3.2 Cómo captar empresas cliente B2B</w:t>
      </w:r>
    </w:p>
    <w:p>
      <w:pPr>
        <w:pStyle w:val="ListBullet"/>
        <w:spacing w:after="40"/>
      </w:pPr>
      <w:r>
        <w:rPr>
          <w:sz w:val="20"/>
        </w:rPr>
        <w:t>Visita comercial directa a polígonos industriales de Palencia (P.I. La Mora, P.I. Villalonquéjar).</w:t>
      </w:r>
    </w:p>
    <w:p>
      <w:pPr>
        <w:pStyle w:val="ListBullet"/>
        <w:spacing w:after="40"/>
      </w:pPr>
      <w:r>
        <w:rPr>
          <w:sz w:val="20"/>
        </w:rPr>
        <w:t>Alianza con administradores de fincas colegiados (CAFI Palencia): alto volumen de comunidades.</w:t>
      </w:r>
    </w:p>
    <w:p>
      <w:pPr>
        <w:pStyle w:val="ListBullet"/>
        <w:spacing w:after="40"/>
      </w:pPr>
      <w:r>
        <w:rPr>
          <w:sz w:val="20"/>
        </w:rPr>
        <w:t>Propuesta a constructoras y promotoras locales para contratos de fin de obra.</w:t>
      </w:r>
    </w:p>
    <w:p>
      <w:pPr>
        <w:pStyle w:val="ListBullet"/>
        <w:spacing w:after="40"/>
      </w:pPr>
      <w:r>
        <w:rPr>
          <w:sz w:val="20"/>
        </w:rPr>
        <w:t>Participación en la Cámara de Comercio de Palencia y eventos FEPAC.</w:t>
      </w:r>
    </w:p>
    <w:p>
      <w:pPr>
        <w:pStyle w:val="ListBullet"/>
        <w:spacing w:after="40"/>
      </w:pPr>
      <w:r>
        <w:rPr>
          <w:sz w:val="20"/>
        </w:rPr>
        <w:t>Google My Business + web básica con formulario de solicitud de presupuesto online.</w:t>
      </w:r>
    </w:p>
    <w:p>
      <w:pPr>
        <w:pStyle w:val="ListBullet"/>
        <w:spacing w:after="40"/>
      </w:pPr>
      <w:r>
        <w:rPr>
          <w:sz w:val="20"/>
        </w:rPr>
        <w:t>Ofrecer primeros 2 días gratis de prueba a clientes B2B potenciales (coste asumible: ~160€).</w:t>
      </w:r>
    </w:p>
    <w:p>
      <w:pPr>
        <w:pStyle w:val="ListBullet"/>
        <w:spacing w:after="40"/>
      </w:pPr>
      <w:r>
        <w:rPr>
          <w:sz w:val="20"/>
        </w:rPr>
        <w:t>Referidos: bonificación 50€ por empresa cliente referida que formalice contrato.</w:t>
      </w:r>
    </w:p>
    <w:p>
      <w:pPr>
        <w:pStyle w:val="Heading2"/>
      </w:pPr>
      <w:r>
        <w:rPr>
          <w:color w:val="1F3864"/>
        </w:rPr>
        <w:t>3.3 Propuesta de valor frente a grandes empresas</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F3864"/>
          </w:tcPr>
          <w:p>
            <w:pPr>
              <w:jc w:val="center"/>
            </w:pPr>
            <w:r>
              <w:rPr>
                <w:b/>
                <w:color w:val="FFFFFF"/>
              </w:rPr>
              <w:t>Factor</w:t>
            </w:r>
          </w:p>
        </w:tc>
        <w:tc>
          <w:tcPr>
            <w:tcW w:type="dxa" w:w="3402"/>
            <w:shd w:val="clear" w:color="auto" w:fill="1F3864"/>
          </w:tcPr>
          <w:p>
            <w:pPr>
              <w:jc w:val="center"/>
            </w:pPr>
            <w:r>
              <w:rPr>
                <w:b/>
                <w:color w:val="FFFFFF"/>
              </w:rPr>
              <w:t>Grandes empresas (EULEN, ISS, Clece…)</w:t>
            </w:r>
          </w:p>
        </w:tc>
        <w:tc>
          <w:tcPr>
            <w:tcW w:type="dxa" w:w="3402"/>
            <w:shd w:val="clear" w:color="auto" w:fill="1F3864"/>
          </w:tcPr>
          <w:p>
            <w:pPr>
              <w:jc w:val="center"/>
            </w:pPr>
            <w:r>
              <w:rPr>
                <w:b/>
                <w:color w:val="FFFFFF"/>
              </w:rPr>
              <w:t>BRILLOPAL</w:t>
            </w:r>
          </w:p>
        </w:tc>
      </w:tr>
      <w:tr>
        <w:tc>
          <w:tcPr>
            <w:tcW w:type="dxa" w:w="1984"/>
          </w:tcPr>
          <w:p>
            <w:r>
              <w:rPr>
                <w:sz w:val="18"/>
              </w:rPr>
              <w:t>Agilidad</w:t>
            </w:r>
          </w:p>
        </w:tc>
        <w:tc>
          <w:tcPr>
            <w:tcW w:type="dxa" w:w="3402"/>
          </w:tcPr>
          <w:p>
            <w:r>
              <w:rPr>
                <w:sz w:val="18"/>
              </w:rPr>
              <w:t>Burocrática, procesos lentos</w:t>
            </w:r>
          </w:p>
        </w:tc>
        <w:tc>
          <w:tcPr>
            <w:tcW w:type="dxa" w:w="3402"/>
          </w:tcPr>
          <w:p>
            <w:r>
              <w:rPr>
                <w:sz w:val="18"/>
              </w:rPr>
              <w:t>Respuesta en 2h, gestor único</w:t>
            </w:r>
          </w:p>
        </w:tc>
      </w:tr>
      <w:tr>
        <w:tc>
          <w:tcPr>
            <w:tcW w:type="dxa" w:w="1984"/>
            <w:shd w:val="clear" w:color="auto" w:fill="D6E4F0"/>
          </w:tcPr>
          <w:p>
            <w:r>
              <w:rPr>
                <w:sz w:val="18"/>
              </w:rPr>
              <w:t>Proximidad</w:t>
            </w:r>
          </w:p>
        </w:tc>
        <w:tc>
          <w:tcPr>
            <w:tcW w:type="dxa" w:w="3402"/>
            <w:shd w:val="clear" w:color="auto" w:fill="D6E4F0"/>
          </w:tcPr>
          <w:p>
            <w:r>
              <w:rPr>
                <w:sz w:val="18"/>
              </w:rPr>
              <w:t>Oficina central Madrid/Barcelona</w:t>
            </w:r>
          </w:p>
        </w:tc>
        <w:tc>
          <w:tcPr>
            <w:tcW w:type="dxa" w:w="3402"/>
            <w:shd w:val="clear" w:color="auto" w:fill="D6E4F0"/>
          </w:tcPr>
          <w:p>
            <w:r>
              <w:rPr>
                <w:sz w:val="18"/>
              </w:rPr>
              <w:t>Palencia, presencia física</w:t>
            </w:r>
          </w:p>
        </w:tc>
      </w:tr>
      <w:tr>
        <w:tc>
          <w:tcPr>
            <w:tcW w:type="dxa" w:w="1984"/>
          </w:tcPr>
          <w:p>
            <w:r>
              <w:rPr>
                <w:sz w:val="18"/>
              </w:rPr>
              <w:t>Flexibilidad</w:t>
            </w:r>
          </w:p>
        </w:tc>
        <w:tc>
          <w:tcPr>
            <w:tcW w:type="dxa" w:w="3402"/>
          </w:tcPr>
          <w:p>
            <w:r>
              <w:rPr>
                <w:sz w:val="18"/>
              </w:rPr>
              <w:t>Contratos mínimos 12 meses, 40h/mes</w:t>
            </w:r>
          </w:p>
        </w:tc>
        <w:tc>
          <w:tcPr>
            <w:tcW w:type="dxa" w:w="3402"/>
          </w:tcPr>
          <w:p>
            <w:r>
              <w:rPr>
                <w:sz w:val="18"/>
              </w:rPr>
              <w:t>Desde 10h/mes, contratos 3 meses</w:t>
            </w:r>
          </w:p>
        </w:tc>
      </w:tr>
      <w:tr>
        <w:tc>
          <w:tcPr>
            <w:tcW w:type="dxa" w:w="1984"/>
            <w:shd w:val="clear" w:color="auto" w:fill="D6E4F0"/>
          </w:tcPr>
          <w:p>
            <w:r>
              <w:rPr>
                <w:sz w:val="18"/>
              </w:rPr>
              <w:t>Precio</w:t>
            </w:r>
          </w:p>
        </w:tc>
        <w:tc>
          <w:tcPr>
            <w:tcW w:type="dxa" w:w="3402"/>
            <w:shd w:val="clear" w:color="auto" w:fill="D6E4F0"/>
          </w:tcPr>
          <w:p>
            <w:r>
              <w:rPr>
                <w:sz w:val="18"/>
              </w:rPr>
              <w:t>Similar o superior por overhead corporativo</w:t>
            </w:r>
          </w:p>
        </w:tc>
        <w:tc>
          <w:tcPr>
            <w:tcW w:type="dxa" w:w="3402"/>
            <w:shd w:val="clear" w:color="auto" w:fill="D6E4F0"/>
          </w:tcPr>
          <w:p>
            <w:r>
              <w:rPr>
                <w:sz w:val="18"/>
              </w:rPr>
              <w:t>10-15% más económico s/calidad equivalente</w:t>
            </w:r>
          </w:p>
        </w:tc>
      </w:tr>
      <w:tr>
        <w:tc>
          <w:tcPr>
            <w:tcW w:type="dxa" w:w="1984"/>
          </w:tcPr>
          <w:p>
            <w:r>
              <w:rPr>
                <w:sz w:val="18"/>
              </w:rPr>
              <w:t>Subrogación</w:t>
            </w:r>
          </w:p>
        </w:tc>
        <w:tc>
          <w:tcPr>
            <w:tcW w:type="dxa" w:w="3402"/>
          </w:tcPr>
          <w:p>
            <w:r>
              <w:rPr>
                <w:sz w:val="18"/>
              </w:rPr>
              <w:t>Plantilla en distintas provincias, compleja</w:t>
            </w:r>
          </w:p>
        </w:tc>
        <w:tc>
          <w:tcPr>
            <w:tcW w:type="dxa" w:w="3402"/>
          </w:tcPr>
          <w:p>
            <w:r>
              <w:rPr>
                <w:sz w:val="18"/>
              </w:rPr>
              <w:t>Gestión local directa</w:t>
            </w:r>
          </w:p>
        </w:tc>
      </w:tr>
      <w:tr>
        <w:tc>
          <w:tcPr>
            <w:tcW w:type="dxa" w:w="1984"/>
            <w:shd w:val="clear" w:color="auto" w:fill="D6E4F0"/>
          </w:tcPr>
          <w:p>
            <w:r>
              <w:rPr>
                <w:sz w:val="18"/>
              </w:rPr>
              <w:t>Control calidad</w:t>
            </w:r>
          </w:p>
        </w:tc>
        <w:tc>
          <w:tcPr>
            <w:tcW w:type="dxa" w:w="3402"/>
            <w:shd w:val="clear" w:color="auto" w:fill="D6E4F0"/>
          </w:tcPr>
          <w:p>
            <w:r>
              <w:rPr>
                <w:sz w:val="18"/>
              </w:rPr>
              <w:t>Supervisor visita 1/mes</w:t>
            </w:r>
          </w:p>
        </w:tc>
        <w:tc>
          <w:tcPr>
            <w:tcW w:type="dxa" w:w="3402"/>
            <w:shd w:val="clear" w:color="auto" w:fill="D6E4F0"/>
          </w:tcPr>
          <w:p>
            <w:r>
              <w:rPr>
                <w:sz w:val="18"/>
              </w:rPr>
              <w:t>Gestor en contacto semanal</w:t>
            </w:r>
          </w:p>
        </w:tc>
      </w:tr>
      <w:tr>
        <w:tc>
          <w:tcPr>
            <w:tcW w:type="dxa" w:w="1984"/>
          </w:tcPr>
          <w:p>
            <w:r>
              <w:rPr>
                <w:sz w:val="18"/>
              </w:rPr>
              <w:t>CAE/PRL</w:t>
            </w:r>
          </w:p>
        </w:tc>
        <w:tc>
          <w:tcPr>
            <w:tcW w:type="dxa" w:w="3402"/>
          </w:tcPr>
          <w:p>
            <w:r>
              <w:rPr>
                <w:sz w:val="18"/>
              </w:rPr>
              <w:t>Departamento centralizado lento</w:t>
            </w:r>
          </w:p>
        </w:tc>
        <w:tc>
          <w:tcPr>
            <w:tcW w:type="dxa" w:w="3402"/>
          </w:tcPr>
          <w:p>
            <w:r>
              <w:rPr>
                <w:sz w:val="18"/>
              </w:rPr>
              <w:t>Documentación lista en 48h</w:t>
            </w:r>
          </w:p>
        </w:tc>
      </w:tr>
    </w:tbl>
    <w:p>
      <w:r>
        <w:br w:type="page"/>
      </w:r>
    </w:p>
    <w:p>
      <w:pPr>
        <w:pStyle w:val="Heading1"/>
        <w:spacing w:before="280"/>
        <w:shd w:val="clear" w:color="auto" w:fill="1F3864"/>
      </w:pPr>
      <w:r>
        <w:rPr>
          <w:color w:val="FFFFFF"/>
        </w:rPr>
        <w:t>4. MARCO LEGAL Y OBLIGACIONES</w:t>
      </w:r>
    </w:p>
    <w:p>
      <w:pPr>
        <w:pStyle w:val="Heading2"/>
      </w:pPr>
      <w:r>
        <w:rPr>
          <w:color w:val="1F3864"/>
        </w:rPr>
        <w:t>4.1 Convenio Colectivo aplicable</w:t>
      </w:r>
    </w:p>
    <w:p>
      <w:pPr>
        <w:spacing w:after="80"/>
      </w:pPr>
      <w:r>
        <w:rPr>
          <w:b w:val="0"/>
          <w:i w:val="0"/>
          <w:sz w:val="20"/>
        </w:rPr>
        <w:t>El convenio aplicable es el Convenio Colectivo Provincial de Limpieza de Edificios y Locales de Palencia (código 34000275011982), con vigencia 01/01/2022–31/12/2025. En 2026 se encuentra en situación de ultraactividad conforme al art. 86.3 ET: sus condiciones siguen siendo de aplicación íntegra hasta que se firme el nuevo convenio o se denuncie formalmente.</w:t>
      </w:r>
    </w:p>
    <w:p>
      <w:pPr>
        <w:spacing w:after="80"/>
      </w:pPr>
      <w:r>
        <w:rPr>
          <w:b/>
          <w:i w:val="0"/>
          <w:sz w:val="20"/>
        </w:rPr>
        <w:t>Categorías y salario base mensual 2025 (14 pagas):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567"/>
            <w:shd w:val="clear" w:color="auto" w:fill="1F3864"/>
          </w:tcPr>
          <w:p>
            <w:pPr>
              <w:jc w:val="center"/>
            </w:pPr>
            <w:r>
              <w:rPr>
                <w:b/>
                <w:color w:val="FFFFFF"/>
              </w:rPr>
              <w:t>Cat.</w:t>
            </w:r>
          </w:p>
        </w:tc>
        <w:tc>
          <w:tcPr>
            <w:tcW w:type="dxa" w:w="2835"/>
            <w:shd w:val="clear" w:color="auto" w:fill="1F3864"/>
          </w:tcPr>
          <w:p>
            <w:pPr>
              <w:jc w:val="center"/>
            </w:pPr>
            <w:r>
              <w:rPr>
                <w:b/>
                <w:color w:val="FFFFFF"/>
              </w:rPr>
              <w:t>Denominación</w:t>
            </w:r>
          </w:p>
        </w:tc>
        <w:tc>
          <w:tcPr>
            <w:tcW w:type="dxa" w:w="1701"/>
            <w:shd w:val="clear" w:color="auto" w:fill="1F3864"/>
          </w:tcPr>
          <w:p>
            <w:pPr>
              <w:jc w:val="center"/>
            </w:pPr>
            <w:r>
              <w:rPr>
                <w:b/>
                <w:color w:val="FFFFFF"/>
              </w:rPr>
              <w:t>Sal. base/mes</w:t>
              <w:br/>
              <w:t>Convenio 2025</w:t>
            </w:r>
          </w:p>
        </w:tc>
        <w:tc>
          <w:tcPr>
            <w:tcW w:type="dxa" w:w="1701"/>
            <w:shd w:val="clear" w:color="auto" w:fill="1F3864"/>
          </w:tcPr>
          <w:p>
            <w:pPr>
              <w:jc w:val="center"/>
            </w:pPr>
            <w:r>
              <w:rPr>
                <w:b/>
                <w:color w:val="FFFFFF"/>
              </w:rPr>
              <w:t>Sal. base/mes</w:t>
              <w:br/>
              <w:t>+3% BrillOPal</w:t>
            </w:r>
          </w:p>
        </w:tc>
        <w:tc>
          <w:tcPr>
            <w:tcW w:type="dxa" w:w="1701"/>
            <w:shd w:val="clear" w:color="auto" w:fill="1F3864"/>
          </w:tcPr>
          <w:p>
            <w:pPr>
              <w:jc w:val="center"/>
            </w:pPr>
            <w:r>
              <w:rPr>
                <w:b/>
                <w:color w:val="FFFFFF"/>
              </w:rPr>
              <w:t>Sal. anual</w:t>
              <w:br/>
              <w:t>+3%</w:t>
            </w:r>
          </w:p>
        </w:tc>
      </w:tr>
      <w:tr>
        <w:tc>
          <w:tcPr>
            <w:tcW w:type="dxa" w:w="567"/>
          </w:tcPr>
          <w:p>
            <w:r>
              <w:rPr>
                <w:sz w:val="18"/>
              </w:rPr>
              <w:t>I</w:t>
            </w:r>
          </w:p>
        </w:tc>
        <w:tc>
          <w:tcPr>
            <w:tcW w:type="dxa" w:w="2835"/>
          </w:tcPr>
          <w:p>
            <w:r>
              <w:rPr>
                <w:sz w:val="18"/>
              </w:rPr>
              <w:t>Encargado/a General</w:t>
            </w:r>
          </w:p>
        </w:tc>
        <w:tc>
          <w:tcPr>
            <w:tcW w:type="dxa" w:w="1701"/>
          </w:tcPr>
          <w:p>
            <w:r>
              <w:rPr>
                <w:sz w:val="18"/>
              </w:rPr>
              <w:t>1.375,00 €</w:t>
            </w:r>
          </w:p>
        </w:tc>
        <w:tc>
          <w:tcPr>
            <w:tcW w:type="dxa" w:w="1701"/>
          </w:tcPr>
          <w:p>
            <w:r>
              <w:rPr>
                <w:sz w:val="18"/>
              </w:rPr>
              <w:t>1.416,25 €</w:t>
            </w:r>
          </w:p>
        </w:tc>
        <w:tc>
          <w:tcPr>
            <w:tcW w:type="dxa" w:w="1701"/>
          </w:tcPr>
          <w:p>
            <w:r>
              <w:rPr>
                <w:sz w:val="18"/>
              </w:rPr>
              <w:t>19.827,50 €</w:t>
            </w:r>
          </w:p>
        </w:tc>
      </w:tr>
      <w:tr>
        <w:tc>
          <w:tcPr>
            <w:tcW w:type="dxa" w:w="567"/>
            <w:shd w:val="clear" w:color="auto" w:fill="D6E4F0"/>
          </w:tcPr>
          <w:p>
            <w:r>
              <w:rPr>
                <w:sz w:val="18"/>
              </w:rPr>
              <w:t>II</w:t>
            </w:r>
          </w:p>
        </w:tc>
        <w:tc>
          <w:tcPr>
            <w:tcW w:type="dxa" w:w="2835"/>
            <w:shd w:val="clear" w:color="auto" w:fill="D6E4F0"/>
          </w:tcPr>
          <w:p>
            <w:r>
              <w:rPr>
                <w:sz w:val="18"/>
              </w:rPr>
              <w:t>Encargado/a de Zona</w:t>
            </w:r>
          </w:p>
        </w:tc>
        <w:tc>
          <w:tcPr>
            <w:tcW w:type="dxa" w:w="1701"/>
            <w:shd w:val="clear" w:color="auto" w:fill="D6E4F0"/>
          </w:tcPr>
          <w:p>
            <w:r>
              <w:rPr>
                <w:sz w:val="18"/>
              </w:rPr>
              <w:t>1.240,00 €</w:t>
            </w:r>
          </w:p>
        </w:tc>
        <w:tc>
          <w:tcPr>
            <w:tcW w:type="dxa" w:w="1701"/>
            <w:shd w:val="clear" w:color="auto" w:fill="D6E4F0"/>
          </w:tcPr>
          <w:p>
            <w:r>
              <w:rPr>
                <w:sz w:val="18"/>
              </w:rPr>
              <w:t>1.277,20 €</w:t>
            </w:r>
          </w:p>
        </w:tc>
        <w:tc>
          <w:tcPr>
            <w:tcW w:type="dxa" w:w="1701"/>
            <w:shd w:val="clear" w:color="auto" w:fill="D6E4F0"/>
          </w:tcPr>
          <w:p>
            <w:r>
              <w:rPr>
                <w:sz w:val="18"/>
              </w:rPr>
              <w:t>17.880,80 €</w:t>
            </w:r>
          </w:p>
        </w:tc>
      </w:tr>
      <w:tr>
        <w:tc>
          <w:tcPr>
            <w:tcW w:type="dxa" w:w="567"/>
          </w:tcPr>
          <w:p>
            <w:r>
              <w:rPr>
                <w:sz w:val="18"/>
              </w:rPr>
              <w:t>III</w:t>
            </w:r>
          </w:p>
        </w:tc>
        <w:tc>
          <w:tcPr>
            <w:tcW w:type="dxa" w:w="2835"/>
          </w:tcPr>
          <w:p>
            <w:r>
              <w:rPr>
                <w:sz w:val="18"/>
              </w:rPr>
              <w:t>Especialista (cristalero…)</w:t>
            </w:r>
          </w:p>
        </w:tc>
        <w:tc>
          <w:tcPr>
            <w:tcW w:type="dxa" w:w="1701"/>
          </w:tcPr>
          <w:p>
            <w:r>
              <w:rPr>
                <w:sz w:val="18"/>
              </w:rPr>
              <w:t>1.165,00 €</w:t>
            </w:r>
          </w:p>
        </w:tc>
        <w:tc>
          <w:tcPr>
            <w:tcW w:type="dxa" w:w="1701"/>
          </w:tcPr>
          <w:p>
            <w:r>
              <w:rPr>
                <w:sz w:val="18"/>
              </w:rPr>
              <w:t>1.199,95 €</w:t>
            </w:r>
          </w:p>
        </w:tc>
        <w:tc>
          <w:tcPr>
            <w:tcW w:type="dxa" w:w="1701"/>
          </w:tcPr>
          <w:p>
            <w:r>
              <w:rPr>
                <w:sz w:val="18"/>
              </w:rPr>
              <w:t>16.799,30 €</w:t>
            </w:r>
          </w:p>
        </w:tc>
      </w:tr>
      <w:tr>
        <w:tc>
          <w:tcPr>
            <w:tcW w:type="dxa" w:w="567"/>
            <w:shd w:val="clear" w:color="auto" w:fill="D6E4F0"/>
          </w:tcPr>
          <w:p>
            <w:r>
              <w:rPr>
                <w:sz w:val="18"/>
              </w:rPr>
              <w:t>IV</w:t>
            </w:r>
          </w:p>
        </w:tc>
        <w:tc>
          <w:tcPr>
            <w:tcW w:type="dxa" w:w="2835"/>
            <w:shd w:val="clear" w:color="auto" w:fill="D6E4F0"/>
          </w:tcPr>
          <w:p>
            <w:r>
              <w:rPr>
                <w:sz w:val="18"/>
              </w:rPr>
              <w:t>Limpiador/a</w:t>
            </w:r>
          </w:p>
        </w:tc>
        <w:tc>
          <w:tcPr>
            <w:tcW w:type="dxa" w:w="1701"/>
            <w:shd w:val="clear" w:color="auto" w:fill="D6E4F0"/>
          </w:tcPr>
          <w:p>
            <w:r>
              <w:rPr>
                <w:sz w:val="18"/>
              </w:rPr>
              <w:t>1.107,22 €</w:t>
            </w:r>
          </w:p>
        </w:tc>
        <w:tc>
          <w:tcPr>
            <w:tcW w:type="dxa" w:w="1701"/>
            <w:shd w:val="clear" w:color="auto" w:fill="D6E4F0"/>
          </w:tcPr>
          <w:p>
            <w:r>
              <w:rPr>
                <w:sz w:val="18"/>
              </w:rPr>
              <w:t>1.140,44 €</w:t>
            </w:r>
          </w:p>
        </w:tc>
        <w:tc>
          <w:tcPr>
            <w:tcW w:type="dxa" w:w="1701"/>
            <w:shd w:val="clear" w:color="auto" w:fill="D6E4F0"/>
          </w:tcPr>
          <w:p>
            <w:r>
              <w:rPr>
                <w:sz w:val="18"/>
              </w:rPr>
              <w:t>15.966,16 €</w:t>
            </w:r>
          </w:p>
        </w:tc>
      </w:tr>
      <w:tr>
        <w:tc>
          <w:tcPr>
            <w:tcW w:type="dxa" w:w="567"/>
          </w:tcPr>
          <w:p>
            <w:r>
              <w:rPr>
                <w:sz w:val="18"/>
              </w:rPr>
              <w:t>V</w:t>
            </w:r>
          </w:p>
        </w:tc>
        <w:tc>
          <w:tcPr>
            <w:tcW w:type="dxa" w:w="2835"/>
          </w:tcPr>
          <w:p>
            <w:r>
              <w:rPr>
                <w:sz w:val="18"/>
              </w:rPr>
              <w:t>Peón Auxiliar</w:t>
            </w:r>
          </w:p>
        </w:tc>
        <w:tc>
          <w:tcPr>
            <w:tcW w:type="dxa" w:w="1701"/>
          </w:tcPr>
          <w:p>
            <w:r>
              <w:rPr>
                <w:sz w:val="18"/>
              </w:rPr>
              <w:t>1.107,22 €</w:t>
            </w:r>
          </w:p>
        </w:tc>
        <w:tc>
          <w:tcPr>
            <w:tcW w:type="dxa" w:w="1701"/>
          </w:tcPr>
          <w:p>
            <w:r>
              <w:rPr>
                <w:sz w:val="18"/>
              </w:rPr>
              <w:t>1.140,44 €</w:t>
            </w:r>
          </w:p>
        </w:tc>
        <w:tc>
          <w:tcPr>
            <w:tcW w:type="dxa" w:w="1701"/>
          </w:tcPr>
          <w:p>
            <w:r>
              <w:rPr>
                <w:sz w:val="18"/>
              </w:rPr>
              <w:t>15.966,16 €</w:t>
            </w:r>
          </w:p>
        </w:tc>
      </w:tr>
    </w:tbl>
    <w:p>
      <w:pPr>
        <w:pStyle w:val="Heading2"/>
      </w:pPr>
      <w:r>
        <w:rPr>
          <w:color w:val="1F3864"/>
        </w:rPr>
        <w:t>4.2 Subrogación de plantilla</w:t>
      </w:r>
    </w:p>
    <w:p>
      <w:pPr>
        <w:spacing w:after="80"/>
      </w:pPr>
      <w:r>
        <w:rPr>
          <w:b w:val="0"/>
          <w:i w:val="0"/>
          <w:sz w:val="20"/>
        </w:rPr>
        <w:t>El sector de limpieza tiene obligación legal de subrogación de personal cuando se produce cambio de contratista (art. 44 ET y cláusula específica del convenio). Esto implica:</w:t>
      </w:r>
    </w:p>
    <w:p>
      <w:pPr>
        <w:pStyle w:val="ListBullet"/>
        <w:spacing w:after="40"/>
      </w:pPr>
      <w:r>
        <w:rPr>
          <w:sz w:val="20"/>
        </w:rPr>
        <w:t>Cuando BrillOPal gana un contrato antes servido por otra empresa, debe asumir al personal adscrito a ese contrato en las mismas condiciones (salario, categoría, antigüedad).</w:t>
      </w:r>
    </w:p>
    <w:p>
      <w:pPr>
        <w:pStyle w:val="ListBullet"/>
        <w:spacing w:after="40"/>
      </w:pPr>
      <w:r>
        <w:rPr>
          <w:sz w:val="20"/>
        </w:rPr>
        <w:t>Al perder un contrato, el nuevo adjudicatario está obligado a absorber la plantilla de BrillOPal.</w:t>
      </w:r>
    </w:p>
    <w:p>
      <w:pPr>
        <w:pStyle w:val="ListBullet"/>
        <w:spacing w:after="40"/>
      </w:pPr>
      <w:r>
        <w:rPr>
          <w:sz w:val="20"/>
        </w:rPr>
        <w:t>Acción recomendada: en cada propuesta B2B, solicitar al cliente información sobre personal actualmente adscrito al servicio y antigüedad. Calcular el coste real del contrato con la subrogación antes de firmar.</w:t>
      </w:r>
    </w:p>
    <w:p>
      <w:pPr>
        <w:pStyle w:val="ListBullet"/>
        <w:spacing w:after="40"/>
      </w:pPr>
      <w:r>
        <w:rPr>
          <w:sz w:val="20"/>
        </w:rPr>
        <w:t>Riesgo clave: empleados con alta antigüedad tienen coste superior al convenio mínimo.</w:t>
      </w:r>
    </w:p>
    <w:p>
      <w:pPr>
        <w:pStyle w:val="Heading2"/>
      </w:pPr>
      <w:r>
        <w:rPr>
          <w:color w:val="1F3864"/>
        </w:rPr>
        <w:t>4.3 Prevención de Riesgos Laborales (Ley 31/1995) y CAE</w:t>
      </w:r>
    </w:p>
    <w:p>
      <w:pPr>
        <w:spacing w:after="80"/>
      </w:pPr>
      <w:r>
        <w:rPr>
          <w:b w:val="0"/>
          <w:i w:val="0"/>
          <w:sz w:val="20"/>
        </w:rPr>
        <w:t>Obligaciones PRL para una empresa de limpieza con personal propio:</w:t>
      </w:r>
    </w:p>
    <w:p>
      <w:pPr>
        <w:pStyle w:val="ListBullet"/>
        <w:spacing w:after="40"/>
      </w:pPr>
      <w:r>
        <w:rPr>
          <w:sz w:val="20"/>
        </w:rPr>
        <w:t>Plan de Prevención de Riesgos Laborales obligatorio desde el 1er empleado.</w:t>
      </w:r>
    </w:p>
    <w:p>
      <w:pPr>
        <w:pStyle w:val="ListBullet"/>
        <w:spacing w:after="40"/>
      </w:pPr>
      <w:r>
        <w:rPr>
          <w:sz w:val="20"/>
        </w:rPr>
        <w:t>Evaluación de riesgos por puesto de trabajo (exposición a productos químicos, ergonomía, riesgos eléctricos, caídas).</w:t>
      </w:r>
    </w:p>
    <w:p>
      <w:pPr>
        <w:pStyle w:val="ListBullet"/>
        <w:spacing w:after="40"/>
      </w:pPr>
      <w:r>
        <w:rPr>
          <w:sz w:val="20"/>
        </w:rPr>
        <w:t>Formación PRL básica: mínimo 20 horas (Nivel Básico Sector Servicios) para todos los empleados, antes de comenzar a trabajar.</w:t>
      </w:r>
    </w:p>
    <w:p>
      <w:pPr>
        <w:pStyle w:val="ListBullet"/>
        <w:spacing w:after="40"/>
      </w:pPr>
      <w:r>
        <w:rPr>
          <w:sz w:val="20"/>
        </w:rPr>
        <w:t>Vigilancia de la salud: reconocimiento médico anual ofrecido (voluntario para el trabajador).</w:t>
      </w:r>
    </w:p>
    <w:p>
      <w:pPr>
        <w:pStyle w:val="ListBullet"/>
        <w:spacing w:after="40"/>
      </w:pPr>
      <w:r>
        <w:rPr>
          <w:sz w:val="20"/>
        </w:rPr>
        <w:t>Servicio de Prevención Ajeno (SPA): para empresas pequeñas se puede contratar con una mutua o SPA homologado por ~300-500€/año.</w:t>
      </w:r>
    </w:p>
    <w:p>
      <w:pPr>
        <w:pStyle w:val="ListBullet"/>
        <w:spacing w:after="40"/>
      </w:pPr>
      <w:r>
        <w:rPr>
          <w:sz w:val="20"/>
        </w:rPr>
        <w:t>CAE – Coordinación de Actividades Empresariales (RD 171/2004): cuando BrillOPal trabaja en las instalaciones de un cliente, debe intercambiar documentación CAE: evaluación de riesgos, póliza RC, fichas de seguridad de productos, formación de los trabajadores. La empresa cliente lo gestiona habitualmente via plataformas como Navisio, Ctaima o Ecoordina (coste: ~0 si el cliente lo asume, o ~200€/año si BrillOPal contrata plataforma propia).</w:t>
      </w:r>
    </w:p>
    <w:p>
      <w:pPr>
        <w:pStyle w:val="Heading2"/>
      </w:pPr>
      <w:r>
        <w:rPr>
          <w:color w:val="1F3864"/>
        </w:rPr>
        <w:t>4.4 REA – Registro de Empresas Acreditadas</w:t>
      </w:r>
    </w:p>
    <w:p>
      <w:pPr>
        <w:spacing w:after="80"/>
      </w:pPr>
      <w:r>
        <w:rPr>
          <w:b w:val="0"/>
          <w:i w:val="0"/>
          <w:sz w:val="20"/>
        </w:rPr>
        <w:t>El REA (Registro de Empresas Acreditadas) es obligatorio para empresas que subcontratan en el SECTOR DE LA CONSTRUCCIÓN (RD 1109/2007, Ley 32/2006). Para los servicios de limpieza de edificios en uso (Cnae 8121/8122), el REA NO es obligatorio salvo que se presten servicios de limpieza en obras de construcción activas. Si BrillOPal accede a contratos de fin de obra o limpieza en zonas de construcción, debe tramitar el REA: inscripción gratuita en la Consejería de Trabajo de CyL.</w:t>
      </w:r>
    </w:p>
    <w:p>
      <w:pPr>
        <w:pStyle w:val="Heading2"/>
      </w:pPr>
      <w:r>
        <w:rPr>
          <w:color w:val="1F3864"/>
        </w:rPr>
        <w:t>4.5 Seguros obligatorios y recomendados</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1F3864"/>
          </w:tcPr>
          <w:p>
            <w:pPr>
              <w:jc w:val="center"/>
            </w:pPr>
            <w:r>
              <w:rPr>
                <w:b/>
                <w:color w:val="FFFFFF"/>
              </w:rPr>
              <w:t>Seguro</w:t>
            </w:r>
          </w:p>
        </w:tc>
        <w:tc>
          <w:tcPr>
            <w:tcW w:type="dxa" w:w="1417"/>
            <w:shd w:val="clear" w:color="auto" w:fill="1F3864"/>
          </w:tcPr>
          <w:p>
            <w:pPr>
              <w:jc w:val="center"/>
            </w:pPr>
            <w:r>
              <w:rPr>
                <w:b/>
                <w:color w:val="FFFFFF"/>
              </w:rPr>
              <w:t>¿Obligatorio?</w:t>
            </w:r>
          </w:p>
        </w:tc>
        <w:tc>
          <w:tcPr>
            <w:tcW w:type="dxa" w:w="3685"/>
            <w:shd w:val="clear" w:color="auto" w:fill="1F3864"/>
          </w:tcPr>
          <w:p>
            <w:pPr>
              <w:jc w:val="center"/>
            </w:pPr>
            <w:r>
              <w:rPr>
                <w:b/>
                <w:color w:val="FFFFFF"/>
              </w:rPr>
              <w:t>Cobertura</w:t>
            </w:r>
          </w:p>
        </w:tc>
        <w:tc>
          <w:tcPr>
            <w:tcW w:type="dxa" w:w="1701"/>
            <w:shd w:val="clear" w:color="auto" w:fill="1F3864"/>
          </w:tcPr>
          <w:p>
            <w:pPr>
              <w:jc w:val="center"/>
            </w:pPr>
            <w:r>
              <w:rPr>
                <w:b/>
                <w:color w:val="FFFFFF"/>
              </w:rPr>
              <w:t>Coste estimado/año</w:t>
            </w:r>
          </w:p>
        </w:tc>
      </w:tr>
      <w:tr>
        <w:tc>
          <w:tcPr>
            <w:tcW w:type="dxa" w:w="2268"/>
          </w:tcPr>
          <w:p>
            <w:r>
              <w:rPr>
                <w:sz w:val="18"/>
              </w:rPr>
              <w:t>RC Profesional y Explotación</w:t>
            </w:r>
          </w:p>
        </w:tc>
        <w:tc>
          <w:tcPr>
            <w:tcW w:type="dxa" w:w="1417"/>
          </w:tcPr>
          <w:p>
            <w:r>
              <w:rPr>
                <w:sz w:val="18"/>
              </w:rPr>
              <w:t>Sí (exigido por clientes B2B)</w:t>
            </w:r>
          </w:p>
        </w:tc>
        <w:tc>
          <w:tcPr>
            <w:tcW w:type="dxa" w:w="3685"/>
          </w:tcPr>
          <w:p>
            <w:r>
              <w:rPr>
                <w:sz w:val="18"/>
              </w:rPr>
              <w:t>Daños a terceros durante el servicio · mínimo 300.000€</w:t>
            </w:r>
          </w:p>
        </w:tc>
        <w:tc>
          <w:tcPr>
            <w:tcW w:type="dxa" w:w="1701"/>
          </w:tcPr>
          <w:p>
            <w:r>
              <w:rPr>
                <w:sz w:val="18"/>
              </w:rPr>
              <w:t>800–1.200 €</w:t>
            </w:r>
          </w:p>
        </w:tc>
      </w:tr>
      <w:tr>
        <w:tc>
          <w:tcPr>
            <w:tcW w:type="dxa" w:w="2268"/>
            <w:shd w:val="clear" w:color="auto" w:fill="D6E4F0"/>
          </w:tcPr>
          <w:p>
            <w:r>
              <w:rPr>
                <w:sz w:val="18"/>
              </w:rPr>
              <w:t>AT Empleados (Mutua)</w:t>
            </w:r>
          </w:p>
        </w:tc>
        <w:tc>
          <w:tcPr>
            <w:tcW w:type="dxa" w:w="1417"/>
            <w:shd w:val="clear" w:color="auto" w:fill="D6E4F0"/>
          </w:tcPr>
          <w:p>
            <w:r>
              <w:rPr>
                <w:sz w:val="18"/>
              </w:rPr>
              <w:t>Sí (cotización SS)</w:t>
            </w:r>
          </w:p>
        </w:tc>
        <w:tc>
          <w:tcPr>
            <w:tcW w:type="dxa" w:w="3685"/>
            <w:shd w:val="clear" w:color="auto" w:fill="D6E4F0"/>
          </w:tcPr>
          <w:p>
            <w:r>
              <w:rPr>
                <w:sz w:val="18"/>
              </w:rPr>
              <w:t>Accidentes de trabajo, incluido en cuota SS (AT/EP 1,30%)</w:t>
            </w:r>
          </w:p>
        </w:tc>
        <w:tc>
          <w:tcPr>
            <w:tcW w:type="dxa" w:w="1701"/>
            <w:shd w:val="clear" w:color="auto" w:fill="D6E4F0"/>
          </w:tcPr>
          <w:p>
            <w:r>
              <w:rPr>
                <w:sz w:val="18"/>
              </w:rPr>
              <w:t>Incluido en SS</w:t>
            </w:r>
          </w:p>
        </w:tc>
      </w:tr>
      <w:tr>
        <w:tc>
          <w:tcPr>
            <w:tcW w:type="dxa" w:w="2268"/>
          </w:tcPr>
          <w:p>
            <w:r>
              <w:rPr>
                <w:sz w:val="18"/>
              </w:rPr>
              <w:t>RC Patronal</w:t>
            </w:r>
          </w:p>
        </w:tc>
        <w:tc>
          <w:tcPr>
            <w:tcW w:type="dxa" w:w="1417"/>
          </w:tcPr>
          <w:p>
            <w:r>
              <w:rPr>
                <w:sz w:val="18"/>
              </w:rPr>
              <w:t>Recomendado</w:t>
            </w:r>
          </w:p>
        </w:tc>
        <w:tc>
          <w:tcPr>
            <w:tcW w:type="dxa" w:w="3685"/>
          </w:tcPr>
          <w:p>
            <w:r>
              <w:rPr>
                <w:sz w:val="18"/>
              </w:rPr>
              <w:t>Daños al trabajador no cubiertos por SS</w:t>
            </w:r>
          </w:p>
        </w:tc>
        <w:tc>
          <w:tcPr>
            <w:tcW w:type="dxa" w:w="1701"/>
          </w:tcPr>
          <w:p>
            <w:r>
              <w:rPr>
                <w:sz w:val="18"/>
              </w:rPr>
              <w:t>200–400 €</w:t>
            </w:r>
          </w:p>
        </w:tc>
      </w:tr>
      <w:tr>
        <w:tc>
          <w:tcPr>
            <w:tcW w:type="dxa" w:w="2268"/>
            <w:shd w:val="clear" w:color="auto" w:fill="D6E4F0"/>
          </w:tcPr>
          <w:p>
            <w:r>
              <w:rPr>
                <w:sz w:val="18"/>
              </w:rPr>
              <w:t>Seguro de vida/colectivo</w:t>
            </w:r>
          </w:p>
        </w:tc>
        <w:tc>
          <w:tcPr>
            <w:tcW w:type="dxa" w:w="1417"/>
            <w:shd w:val="clear" w:color="auto" w:fill="D6E4F0"/>
          </w:tcPr>
          <w:p>
            <w:r>
              <w:rPr>
                <w:sz w:val="18"/>
              </w:rPr>
              <w:t>No (opcional)</w:t>
            </w:r>
          </w:p>
        </w:tc>
        <w:tc>
          <w:tcPr>
            <w:tcW w:type="dxa" w:w="3685"/>
            <w:shd w:val="clear" w:color="auto" w:fill="D6E4F0"/>
          </w:tcPr>
          <w:p>
            <w:r>
              <w:rPr>
                <w:sz w:val="18"/>
              </w:rPr>
              <w:t>Fallecimiento o invalidez del trabajador</w:t>
            </w:r>
          </w:p>
        </w:tc>
        <w:tc>
          <w:tcPr>
            <w:tcW w:type="dxa" w:w="1701"/>
            <w:shd w:val="clear" w:color="auto" w:fill="D6E4F0"/>
          </w:tcPr>
          <w:p>
            <w:r>
              <w:rPr>
                <w:sz w:val="18"/>
              </w:rPr>
              <w:t>300–600 €</w:t>
            </w:r>
          </w:p>
        </w:tc>
      </w:tr>
      <w:tr>
        <w:tc>
          <w:tcPr>
            <w:tcW w:type="dxa" w:w="2268"/>
          </w:tcPr>
          <w:p>
            <w:r>
              <w:rPr>
                <w:sz w:val="18"/>
              </w:rPr>
              <w:t>Seguro vehículo de empresa</w:t>
            </w:r>
          </w:p>
        </w:tc>
        <w:tc>
          <w:tcPr>
            <w:tcW w:type="dxa" w:w="1417"/>
          </w:tcPr>
          <w:p>
            <w:r>
              <w:rPr>
                <w:sz w:val="18"/>
              </w:rPr>
              <w:t>Obligatorio si hay vehículo</w:t>
            </w:r>
          </w:p>
        </w:tc>
        <w:tc>
          <w:tcPr>
            <w:tcW w:type="dxa" w:w="3685"/>
          </w:tcPr>
          <w:p>
            <w:r>
              <w:rPr>
                <w:sz w:val="18"/>
              </w:rPr>
              <w:t>Todo riesgo recomendado para vehículo de trabajo</w:t>
            </w:r>
          </w:p>
        </w:tc>
        <w:tc>
          <w:tcPr>
            <w:tcW w:type="dxa" w:w="1701"/>
          </w:tcPr>
          <w:p>
            <w:r>
              <w:rPr>
                <w:sz w:val="18"/>
              </w:rPr>
              <w:t>700–1.000 €</w:t>
            </w:r>
          </w:p>
        </w:tc>
      </w:tr>
    </w:tbl>
    <w:p>
      <w:r>
        <w:br w:type="page"/>
      </w:r>
    </w:p>
    <w:p>
      <w:pPr>
        <w:pStyle w:val="Heading1"/>
        <w:spacing w:before="280"/>
        <w:shd w:val="clear" w:color="auto" w:fill="1F3864"/>
      </w:pPr>
      <w:r>
        <w:rPr>
          <w:color w:val="FFFFFF"/>
        </w:rPr>
        <w:t>5. ESTRUCTURA JURÍDICA RECOMENDADA</w:t>
      </w:r>
    </w:p>
    <w:p>
      <w:pPr>
        <w:pStyle w:val="Heading2"/>
      </w:pPr>
      <w:r>
        <w:rPr>
          <w:color w:val="1F3864"/>
        </w:rPr>
        <w:t>5.1 Autónomo vs Sociedad Limitada</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F3864"/>
          </w:tcPr>
          <w:p>
            <w:pPr>
              <w:jc w:val="center"/>
            </w:pPr>
            <w:r>
              <w:rPr>
                <w:b/>
                <w:color w:val="FFFFFF"/>
              </w:rPr>
              <w:t>Criterio</w:t>
            </w:r>
          </w:p>
        </w:tc>
        <w:tc>
          <w:tcPr>
            <w:tcW w:type="dxa" w:w="3118"/>
            <w:shd w:val="clear" w:color="auto" w:fill="1F3864"/>
          </w:tcPr>
          <w:p>
            <w:pPr>
              <w:jc w:val="center"/>
            </w:pPr>
            <w:r>
              <w:rPr>
                <w:b/>
                <w:color w:val="FFFFFF"/>
              </w:rPr>
              <w:t>Autónomo</w:t>
            </w:r>
          </w:p>
        </w:tc>
        <w:tc>
          <w:tcPr>
            <w:tcW w:type="dxa" w:w="3118"/>
            <w:shd w:val="clear" w:color="auto" w:fill="1F3864"/>
          </w:tcPr>
          <w:p>
            <w:pPr>
              <w:jc w:val="center"/>
            </w:pPr>
            <w:r>
              <w:rPr>
                <w:b/>
                <w:color w:val="FFFFFF"/>
              </w:rPr>
              <w:t>Sociedad Limitada (SL)</w:t>
            </w:r>
          </w:p>
        </w:tc>
      </w:tr>
      <w:tr>
        <w:tc>
          <w:tcPr>
            <w:tcW w:type="dxa" w:w="2551"/>
          </w:tcPr>
          <w:p>
            <w:r>
              <w:rPr>
                <w:sz w:val="18"/>
              </w:rPr>
              <w:t>Capital mínimo</w:t>
            </w:r>
          </w:p>
        </w:tc>
        <w:tc>
          <w:tcPr>
            <w:tcW w:type="dxa" w:w="3118"/>
          </w:tcPr>
          <w:p>
            <w:r>
              <w:rPr>
                <w:sz w:val="18"/>
              </w:rPr>
              <w:t>0 €</w:t>
            </w:r>
          </w:p>
        </w:tc>
        <w:tc>
          <w:tcPr>
            <w:tcW w:type="dxa" w:w="3118"/>
          </w:tcPr>
          <w:p>
            <w:r>
              <w:rPr>
                <w:sz w:val="18"/>
              </w:rPr>
              <w:t>1 € (reforma 2023, antes 3.000 €)</w:t>
            </w:r>
          </w:p>
        </w:tc>
      </w:tr>
      <w:tr>
        <w:tc>
          <w:tcPr>
            <w:tcW w:type="dxa" w:w="2551"/>
            <w:shd w:val="clear" w:color="auto" w:fill="D6E4F0"/>
          </w:tcPr>
          <w:p>
            <w:r>
              <w:rPr>
                <w:sz w:val="18"/>
              </w:rPr>
              <w:t>Responsabilidad</w:t>
            </w:r>
          </w:p>
        </w:tc>
        <w:tc>
          <w:tcPr>
            <w:tcW w:type="dxa" w:w="3118"/>
            <w:shd w:val="clear" w:color="auto" w:fill="D6E4F0"/>
          </w:tcPr>
          <w:p>
            <w:r>
              <w:rPr>
                <w:sz w:val="18"/>
              </w:rPr>
              <w:t>ILIMITADA (patrimonio personal)</w:t>
            </w:r>
          </w:p>
        </w:tc>
        <w:tc>
          <w:tcPr>
            <w:tcW w:type="dxa" w:w="3118"/>
            <w:shd w:val="clear" w:color="auto" w:fill="D6E4F0"/>
          </w:tcPr>
          <w:p>
            <w:r>
              <w:rPr>
                <w:sz w:val="18"/>
              </w:rPr>
              <w:t>Limitada al capital social</w:t>
            </w:r>
          </w:p>
        </w:tc>
      </w:tr>
      <w:tr>
        <w:tc>
          <w:tcPr>
            <w:tcW w:type="dxa" w:w="2551"/>
          </w:tcPr>
          <w:p>
            <w:r>
              <w:rPr>
                <w:sz w:val="18"/>
              </w:rPr>
              <w:t>Cuota SS titular</w:t>
            </w:r>
          </w:p>
        </w:tc>
        <w:tc>
          <w:tcPr>
            <w:tcW w:type="dxa" w:w="3118"/>
          </w:tcPr>
          <w:p>
            <w:r>
              <w:rPr>
                <w:sz w:val="18"/>
              </w:rPr>
              <w:t>80 €/mes (1er año tarifa plana) → hasta ~320 €/mes</w:t>
            </w:r>
          </w:p>
        </w:tc>
        <w:tc>
          <w:tcPr>
            <w:tcW w:type="dxa" w:w="3118"/>
          </w:tcPr>
          <w:p>
            <w:r>
              <w:rPr>
                <w:sz w:val="18"/>
              </w:rPr>
              <w:t>Autónomo societario: mínimo ~320 €/mes</w:t>
            </w:r>
          </w:p>
        </w:tc>
      </w:tr>
      <w:tr>
        <w:tc>
          <w:tcPr>
            <w:tcW w:type="dxa" w:w="2551"/>
            <w:shd w:val="clear" w:color="auto" w:fill="D6E4F0"/>
          </w:tcPr>
          <w:p>
            <w:r>
              <w:rPr>
                <w:sz w:val="18"/>
              </w:rPr>
              <w:t>Retribución titular</w:t>
            </w:r>
          </w:p>
        </w:tc>
        <w:tc>
          <w:tcPr>
            <w:tcW w:type="dxa" w:w="3118"/>
            <w:shd w:val="clear" w:color="auto" w:fill="D6E4F0"/>
          </w:tcPr>
          <w:p>
            <w:r>
              <w:rPr>
                <w:sz w:val="18"/>
              </w:rPr>
              <w:t>Libre (retirada de beneficios)</w:t>
            </w:r>
          </w:p>
        </w:tc>
        <w:tc>
          <w:tcPr>
            <w:tcW w:type="dxa" w:w="3118"/>
            <w:shd w:val="clear" w:color="auto" w:fill="D6E4F0"/>
          </w:tcPr>
          <w:p>
            <w:r>
              <w:rPr>
                <w:sz w:val="18"/>
              </w:rPr>
              <w:t>Nómina fija + dividendos (más rígido)</w:t>
            </w:r>
          </w:p>
        </w:tc>
      </w:tr>
      <w:tr>
        <w:tc>
          <w:tcPr>
            <w:tcW w:type="dxa" w:w="2551"/>
          </w:tcPr>
          <w:p>
            <w:r>
              <w:rPr>
                <w:sz w:val="18"/>
              </w:rPr>
              <w:t>Tributación beneficios</w:t>
            </w:r>
          </w:p>
        </w:tc>
        <w:tc>
          <w:tcPr>
            <w:tcW w:type="dxa" w:w="3118"/>
          </w:tcPr>
          <w:p>
            <w:r>
              <w:rPr>
                <w:sz w:val="18"/>
              </w:rPr>
              <w:t>IRPF progresivo (hasta 47%)</w:t>
            </w:r>
          </w:p>
        </w:tc>
        <w:tc>
          <w:tcPr>
            <w:tcW w:type="dxa" w:w="3118"/>
          </w:tcPr>
          <w:p>
            <w:r>
              <w:rPr>
                <w:sz w:val="18"/>
              </w:rPr>
              <w:t>IS al 23% (pyme) o 15% primeros 2 años</w:t>
            </w:r>
          </w:p>
        </w:tc>
      </w:tr>
      <w:tr>
        <w:tc>
          <w:tcPr>
            <w:tcW w:type="dxa" w:w="2551"/>
            <w:shd w:val="clear" w:color="auto" w:fill="D6E4F0"/>
          </w:tcPr>
          <w:p>
            <w:r>
              <w:rPr>
                <w:sz w:val="18"/>
              </w:rPr>
              <w:t>Imagen corporativa B2B</w:t>
            </w:r>
          </w:p>
        </w:tc>
        <w:tc>
          <w:tcPr>
            <w:tcW w:type="dxa" w:w="3118"/>
            <w:shd w:val="clear" w:color="auto" w:fill="D6E4F0"/>
          </w:tcPr>
          <w:p>
            <w:r>
              <w:rPr>
                <w:sz w:val="18"/>
              </w:rPr>
              <w:t>Menor (percepción de pequeño)</w:t>
            </w:r>
          </w:p>
        </w:tc>
        <w:tc>
          <w:tcPr>
            <w:tcW w:type="dxa" w:w="3118"/>
            <w:shd w:val="clear" w:color="auto" w:fill="D6E4F0"/>
          </w:tcPr>
          <w:p>
            <w:r>
              <w:rPr>
                <w:sz w:val="18"/>
              </w:rPr>
              <w:t>Mayor (inspira más confianza)</w:t>
            </w:r>
          </w:p>
        </w:tc>
      </w:tr>
      <w:tr>
        <w:tc>
          <w:tcPr>
            <w:tcW w:type="dxa" w:w="2551"/>
          </w:tcPr>
          <w:p>
            <w:r>
              <w:rPr>
                <w:sz w:val="18"/>
              </w:rPr>
              <w:t>Trámites constitución</w:t>
            </w:r>
          </w:p>
        </w:tc>
        <w:tc>
          <w:tcPr>
            <w:tcW w:type="dxa" w:w="3118"/>
          </w:tcPr>
          <w:p>
            <w:r>
              <w:rPr>
                <w:sz w:val="18"/>
              </w:rPr>
              <w:t>1 día, coste mínimo</w:t>
            </w:r>
          </w:p>
        </w:tc>
        <w:tc>
          <w:tcPr>
            <w:tcW w:type="dxa" w:w="3118"/>
          </w:tcPr>
          <w:p>
            <w:r>
              <w:rPr>
                <w:sz w:val="18"/>
              </w:rPr>
              <w:t>1-2 semanas, notaría ~300-600 €</w:t>
            </w:r>
          </w:p>
        </w:tc>
      </w:tr>
      <w:tr>
        <w:tc>
          <w:tcPr>
            <w:tcW w:type="dxa" w:w="2551"/>
            <w:shd w:val="clear" w:color="auto" w:fill="D6E4F0"/>
          </w:tcPr>
          <w:p>
            <w:r>
              <w:rPr>
                <w:sz w:val="18"/>
              </w:rPr>
              <w:t>Contabilidad</w:t>
            </w:r>
          </w:p>
        </w:tc>
        <w:tc>
          <w:tcPr>
            <w:tcW w:type="dxa" w:w="3118"/>
            <w:shd w:val="clear" w:color="auto" w:fill="D6E4F0"/>
          </w:tcPr>
          <w:p>
            <w:r>
              <w:rPr>
                <w:sz w:val="18"/>
              </w:rPr>
              <w:t>Libro de ingresos/gastos</w:t>
            </w:r>
          </w:p>
        </w:tc>
        <w:tc>
          <w:tcPr>
            <w:tcW w:type="dxa" w:w="3118"/>
            <w:shd w:val="clear" w:color="auto" w:fill="D6E4F0"/>
          </w:tcPr>
          <w:p>
            <w:r>
              <w:rPr>
                <w:sz w:val="18"/>
              </w:rPr>
              <w:t>Contabilidad mercantil completa</w:t>
            </w:r>
          </w:p>
        </w:tc>
      </w:tr>
      <w:tr>
        <w:tc>
          <w:tcPr>
            <w:tcW w:type="dxa" w:w="2551"/>
          </w:tcPr>
          <w:p>
            <w:r>
              <w:rPr>
                <w:sz w:val="18"/>
              </w:rPr>
              <w:t>Recomendado cuando</w:t>
            </w:r>
          </w:p>
        </w:tc>
        <w:tc>
          <w:tcPr>
            <w:tcW w:type="dxa" w:w="3118"/>
          </w:tcPr>
          <w:p>
            <w:r>
              <w:rPr>
                <w:sz w:val="18"/>
              </w:rPr>
              <w:t>Inicio / 1-2 empleados</w:t>
            </w:r>
          </w:p>
        </w:tc>
        <w:tc>
          <w:tcPr>
            <w:tcW w:type="dxa" w:w="3118"/>
          </w:tcPr>
          <w:p>
            <w:r>
              <w:rPr>
                <w:sz w:val="18"/>
              </w:rPr>
              <w:t>≥3 empleados / beneficio &gt;30.000 €/año</w:t>
            </w:r>
          </w:p>
        </w:tc>
      </w:tr>
    </w:tbl>
    <w:p>
      <w:pPr>
        <w:pStyle w:val="Heading2"/>
      </w:pPr>
      <w:r>
        <w:rPr>
          <w:color w:val="1F3864"/>
        </w:rPr>
        <w:t>5.2 Recomendación para BrillOPal</w:t>
      </w:r>
    </w:p>
    <w:p>
      <w:pPr>
        <w:spacing w:after="80"/>
      </w:pPr>
      <w:r>
        <w:rPr>
          <w:b w:val="0"/>
          <w:i w:val="0"/>
          <w:sz w:val="20"/>
        </w:rPr>
        <w:t>FASE 1 (meses 1-12): constituirse como AUTÓNOMO. La tarifa plana de 80 €/mes el primer año reduce drásticamente el coste fijo de estructura. El modelo B2B de subcontratación con personal contratado es perfectamente compatible con la figura del autónomo empleador. La responsabilidad ilimitada es el único riesgo: se mitiga con un seguro de RC adecuado.</w:t>
      </w:r>
    </w:p>
    <w:p>
      <w:pPr>
        <w:spacing w:after="80"/>
      </w:pPr>
      <w:r>
        <w:rPr>
          <w:b w:val="0"/>
          <w:i w:val="0"/>
          <w:sz w:val="20"/>
        </w:rPr>
        <w:t>FASE 2 (a partir de 3 empleados o beneficio &gt;25.000 €/año): transformar en SL. Ventajas: tributación IS al 15% (primeros 2 años), protección de patrimonio personal, mejor imagen para contratos grandes B2B.</w:t>
      </w:r>
    </w:p>
    <w:p>
      <w:r>
        <w:br w:type="page"/>
      </w:r>
    </w:p>
    <w:p>
      <w:pPr>
        <w:pStyle w:val="Heading1"/>
        <w:spacing w:before="280"/>
        <w:shd w:val="clear" w:color="auto" w:fill="1F3864"/>
      </w:pPr>
      <w:r>
        <w:rPr>
          <w:color w:val="FFFFFF"/>
        </w:rPr>
        <w:t>6. OBLIGACIONES FISCALES Y LABORALES</w:t>
      </w:r>
    </w:p>
    <w:p>
      <w:pPr>
        <w:pStyle w:val="Heading2"/>
      </w:pPr>
      <w:r>
        <w:rPr>
          <w:color w:val="1F3864"/>
        </w:rPr>
        <w:t>6.1 Obligaciones fiscales (autónomo)</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1F3864"/>
          </w:tcPr>
          <w:p>
            <w:pPr>
              <w:jc w:val="center"/>
            </w:pPr>
            <w:r>
              <w:rPr>
                <w:b/>
                <w:color w:val="FFFFFF"/>
              </w:rPr>
              <w:t>Impuesto/Modelo</w:t>
            </w:r>
          </w:p>
        </w:tc>
        <w:tc>
          <w:tcPr>
            <w:tcW w:type="dxa" w:w="1984"/>
            <w:shd w:val="clear" w:color="auto" w:fill="1F3864"/>
          </w:tcPr>
          <w:p>
            <w:pPr>
              <w:jc w:val="center"/>
            </w:pPr>
            <w:r>
              <w:rPr>
                <w:b/>
                <w:color w:val="FFFFFF"/>
              </w:rPr>
              <w:t>Periodicidad</w:t>
            </w:r>
          </w:p>
        </w:tc>
        <w:tc>
          <w:tcPr>
            <w:tcW w:type="dxa" w:w="3969"/>
            <w:shd w:val="clear" w:color="auto" w:fill="1F3864"/>
          </w:tcPr>
          <w:p>
            <w:pPr>
              <w:jc w:val="center"/>
            </w:pPr>
            <w:r>
              <w:rPr>
                <w:b/>
                <w:color w:val="FFFFFF"/>
              </w:rPr>
              <w:t>Descripción</w:t>
            </w:r>
          </w:p>
        </w:tc>
      </w:tr>
      <w:tr>
        <w:tc>
          <w:tcPr>
            <w:tcW w:type="dxa" w:w="2835"/>
          </w:tcPr>
          <w:p>
            <w:r>
              <w:rPr>
                <w:sz w:val="18"/>
              </w:rPr>
              <w:t>Modelo 130 – IRPF pago fraccionado</w:t>
            </w:r>
          </w:p>
        </w:tc>
        <w:tc>
          <w:tcPr>
            <w:tcW w:type="dxa" w:w="1984"/>
          </w:tcPr>
          <w:p>
            <w:r>
              <w:rPr>
                <w:sz w:val="18"/>
              </w:rPr>
              <w:t>Trimestral (abr/jul/oct/ene)</w:t>
            </w:r>
          </w:p>
        </w:tc>
        <w:tc>
          <w:tcPr>
            <w:tcW w:type="dxa" w:w="3969"/>
          </w:tcPr>
          <w:p>
            <w:r>
              <w:rPr>
                <w:sz w:val="18"/>
              </w:rPr>
              <w:t>20% del rendimiento neto trimestral</w:t>
            </w:r>
          </w:p>
        </w:tc>
      </w:tr>
      <w:tr>
        <w:tc>
          <w:tcPr>
            <w:tcW w:type="dxa" w:w="2835"/>
            <w:shd w:val="clear" w:color="auto" w:fill="D6E4F0"/>
          </w:tcPr>
          <w:p>
            <w:r>
              <w:rPr>
                <w:sz w:val="18"/>
              </w:rPr>
              <w:t>Modelo 303 – IVA autoliquidación</w:t>
            </w:r>
          </w:p>
        </w:tc>
        <w:tc>
          <w:tcPr>
            <w:tcW w:type="dxa" w:w="1984"/>
            <w:shd w:val="clear" w:color="auto" w:fill="D6E4F0"/>
          </w:tcPr>
          <w:p>
            <w:r>
              <w:rPr>
                <w:sz w:val="18"/>
              </w:rPr>
              <w:t>Trimestral</w:t>
            </w:r>
          </w:p>
        </w:tc>
        <w:tc>
          <w:tcPr>
            <w:tcW w:type="dxa" w:w="3969"/>
            <w:shd w:val="clear" w:color="auto" w:fill="D6E4F0"/>
          </w:tcPr>
          <w:p>
            <w:r>
              <w:rPr>
                <w:sz w:val="18"/>
              </w:rPr>
              <w:t>IVA repercutido – IVA soportado. Tipo 21%</w:t>
            </w:r>
          </w:p>
        </w:tc>
      </w:tr>
      <w:tr>
        <w:tc>
          <w:tcPr>
            <w:tcW w:type="dxa" w:w="2835"/>
          </w:tcPr>
          <w:p>
            <w:r>
              <w:rPr>
                <w:sz w:val="18"/>
              </w:rPr>
              <w:t>Modelo 390 – Resumen anual IVA</w:t>
            </w:r>
          </w:p>
        </w:tc>
        <w:tc>
          <w:tcPr>
            <w:tcW w:type="dxa" w:w="1984"/>
          </w:tcPr>
          <w:p>
            <w:r>
              <w:rPr>
                <w:sz w:val="18"/>
              </w:rPr>
              <w:t>Enero (año siguiente)</w:t>
            </w:r>
          </w:p>
        </w:tc>
        <w:tc>
          <w:tcPr>
            <w:tcW w:type="dxa" w:w="3969"/>
          </w:tcPr>
          <w:p>
            <w:r>
              <w:rPr>
                <w:sz w:val="18"/>
              </w:rPr>
              <w:t>Resumen de todas las liquidaciones trimestrales</w:t>
            </w:r>
          </w:p>
        </w:tc>
      </w:tr>
      <w:tr>
        <w:tc>
          <w:tcPr>
            <w:tcW w:type="dxa" w:w="2835"/>
            <w:shd w:val="clear" w:color="auto" w:fill="D6E4F0"/>
          </w:tcPr>
          <w:p>
            <w:r>
              <w:rPr>
                <w:sz w:val="18"/>
              </w:rPr>
              <w:t>Modelo 100 – IRPF anual</w:t>
            </w:r>
          </w:p>
        </w:tc>
        <w:tc>
          <w:tcPr>
            <w:tcW w:type="dxa" w:w="1984"/>
            <w:shd w:val="clear" w:color="auto" w:fill="D6E4F0"/>
          </w:tcPr>
          <w:p>
            <w:r>
              <w:rPr>
                <w:sz w:val="18"/>
              </w:rPr>
              <w:t>Mayo-Junio</w:t>
            </w:r>
          </w:p>
        </w:tc>
        <w:tc>
          <w:tcPr>
            <w:tcW w:type="dxa" w:w="3969"/>
            <w:shd w:val="clear" w:color="auto" w:fill="D6E4F0"/>
          </w:tcPr>
          <w:p>
            <w:r>
              <w:rPr>
                <w:sz w:val="18"/>
              </w:rPr>
              <w:t>Declaración anual. Deduce los pagos fraccionados</w:t>
            </w:r>
          </w:p>
        </w:tc>
      </w:tr>
      <w:tr>
        <w:tc>
          <w:tcPr>
            <w:tcW w:type="dxa" w:w="2835"/>
          </w:tcPr>
          <w:p>
            <w:r>
              <w:rPr>
                <w:sz w:val="18"/>
              </w:rPr>
              <w:t>Modelo 111 – Retenciones IRPF trabajadores</w:t>
            </w:r>
          </w:p>
        </w:tc>
        <w:tc>
          <w:tcPr>
            <w:tcW w:type="dxa" w:w="1984"/>
          </w:tcPr>
          <w:p>
            <w:r>
              <w:rPr>
                <w:sz w:val="18"/>
              </w:rPr>
              <w:t>Trimestral</w:t>
            </w:r>
          </w:p>
        </w:tc>
        <w:tc>
          <w:tcPr>
            <w:tcW w:type="dxa" w:w="3969"/>
          </w:tcPr>
          <w:p>
            <w:r>
              <w:rPr>
                <w:sz w:val="18"/>
              </w:rPr>
              <w:t>Retenciones practicadas en nóminas</w:t>
            </w:r>
          </w:p>
        </w:tc>
      </w:tr>
      <w:tr>
        <w:tc>
          <w:tcPr>
            <w:tcW w:type="dxa" w:w="2835"/>
            <w:shd w:val="clear" w:color="auto" w:fill="D6E4F0"/>
          </w:tcPr>
          <w:p>
            <w:r>
              <w:rPr>
                <w:sz w:val="18"/>
              </w:rPr>
              <w:t>Modelo 190 – Resumen anual retenciones</w:t>
            </w:r>
          </w:p>
        </w:tc>
        <w:tc>
          <w:tcPr>
            <w:tcW w:type="dxa" w:w="1984"/>
            <w:shd w:val="clear" w:color="auto" w:fill="D6E4F0"/>
          </w:tcPr>
          <w:p>
            <w:r>
              <w:rPr>
                <w:sz w:val="18"/>
              </w:rPr>
              <w:t>Enero</w:t>
            </w:r>
          </w:p>
        </w:tc>
        <w:tc>
          <w:tcPr>
            <w:tcW w:type="dxa" w:w="3969"/>
            <w:shd w:val="clear" w:color="auto" w:fill="D6E4F0"/>
          </w:tcPr>
          <w:p>
            <w:r>
              <w:rPr>
                <w:sz w:val="18"/>
              </w:rPr>
              <w:t>Resumen anual modelo 111</w:t>
            </w:r>
          </w:p>
        </w:tc>
      </w:tr>
      <w:tr>
        <w:tc>
          <w:tcPr>
            <w:tcW w:type="dxa" w:w="2835"/>
          </w:tcPr>
          <w:p>
            <w:r>
              <w:rPr>
                <w:sz w:val="18"/>
              </w:rPr>
              <w:t>Cuota autónomo SS</w:t>
            </w:r>
          </w:p>
        </w:tc>
        <w:tc>
          <w:tcPr>
            <w:tcW w:type="dxa" w:w="1984"/>
          </w:tcPr>
          <w:p>
            <w:r>
              <w:rPr>
                <w:sz w:val="18"/>
              </w:rPr>
              <w:t>Mensual (domiciliación)</w:t>
            </w:r>
          </w:p>
        </w:tc>
        <w:tc>
          <w:tcPr>
            <w:tcW w:type="dxa" w:w="3969"/>
          </w:tcPr>
          <w:p>
            <w:r>
              <w:rPr>
                <w:sz w:val="18"/>
              </w:rPr>
              <w:t>Según base de cotización elegida</w:t>
            </w:r>
          </w:p>
        </w:tc>
      </w:tr>
    </w:tbl>
    <w:p>
      <w:pPr>
        <w:pStyle w:val="Heading2"/>
      </w:pPr>
      <w:r>
        <w:rPr>
          <w:color w:val="1F3864"/>
        </w:rPr>
        <w:t>6.2 Obligaciones laborales</w:t>
      </w:r>
    </w:p>
    <w:p>
      <w:pPr>
        <w:pStyle w:val="ListBullet"/>
        <w:spacing w:after="40"/>
      </w:pPr>
      <w:r>
        <w:rPr>
          <w:sz w:val="20"/>
        </w:rPr>
        <w:t>Alta previa en Seguridad Social como empleador (TGSS) antes de contratar el primer empleado.</w:t>
      </w:r>
    </w:p>
    <w:p>
      <w:pPr>
        <w:pStyle w:val="ListBullet"/>
        <w:spacing w:after="40"/>
      </w:pPr>
      <w:r>
        <w:rPr>
          <w:sz w:val="20"/>
        </w:rPr>
        <w:t>Alta del trabajador en SS (TGSS) antes del primer día de trabajo (modalidad SEPE-SISPE).</w:t>
      </w:r>
    </w:p>
    <w:p>
      <w:pPr>
        <w:pStyle w:val="ListBullet"/>
        <w:spacing w:after="40"/>
      </w:pPr>
      <w:r>
        <w:rPr>
          <w:sz w:val="20"/>
        </w:rPr>
        <w:t>Contrato de trabajo por escrito: tipo recomendado → indefinido a tiempo parcial o completo (aporta estabilidad y reduce rotación, clave en sector limpieza).</w:t>
      </w:r>
    </w:p>
    <w:p>
      <w:pPr>
        <w:pStyle w:val="ListBullet"/>
        <w:spacing w:after="40"/>
      </w:pPr>
      <w:r>
        <w:rPr>
          <w:sz w:val="20"/>
        </w:rPr>
        <w:t>Nómina mensual: desglose salario base + pagas extras prorrateadas + SS trabajador descontada.</w:t>
      </w:r>
    </w:p>
    <w:p>
      <w:pPr>
        <w:pStyle w:val="ListBullet"/>
        <w:spacing w:after="40"/>
      </w:pPr>
      <w:r>
        <w:rPr>
          <w:sz w:val="20"/>
        </w:rPr>
        <w:t>TC1/TC2 (ahora Sistema RED): liquidación de cuotas SS cada mes, antes del último día.</w:t>
      </w:r>
    </w:p>
    <w:p>
      <w:pPr>
        <w:pStyle w:val="ListBullet"/>
        <w:spacing w:after="40"/>
      </w:pPr>
      <w:r>
        <w:rPr>
          <w:sz w:val="20"/>
        </w:rPr>
        <w:t>Comunicación al SEPE de contratos a tiempo parcial (≤10 días hábiles).</w:t>
      </w:r>
    </w:p>
    <w:p>
      <w:pPr>
        <w:pStyle w:val="ListBullet"/>
        <w:spacing w:after="40"/>
      </w:pPr>
      <w:r>
        <w:rPr>
          <w:sz w:val="20"/>
        </w:rPr>
        <w:t>Registro de jornada (obligatorio desde 2019, art. 34.9 ET): hora de entrada y salida diaria por escrito o digital.</w:t>
      </w:r>
    </w:p>
    <w:p>
      <w:pPr>
        <w:pStyle w:val="ListBullet"/>
        <w:spacing w:after="40"/>
      </w:pPr>
      <w:r>
        <w:rPr>
          <w:sz w:val="20"/>
        </w:rPr>
        <w:t>Calificación del riesgo de AT (epígrafe limpieza): comunicar a mutua colaboradora.</w:t>
      </w:r>
    </w:p>
    <w:p>
      <w:r>
        <w:br w:type="page"/>
      </w:r>
    </w:p>
    <w:p>
      <w:pPr>
        <w:pStyle w:val="Heading1"/>
        <w:spacing w:before="280"/>
        <w:shd w:val="clear" w:color="auto" w:fill="1F3864"/>
      </w:pPr>
      <w:r>
        <w:rPr>
          <w:color w:val="FFFFFF"/>
        </w:rPr>
        <w:t>7. PLAN DE CONTRATACIÓN 18 MESES</w:t>
      </w:r>
    </w:p>
    <w:tbl>
      <w:tblPr>
        <w:tblStyle w:val="TableGrid"/>
        <w:tblW w:type="auto" w:w="0"/>
        <w:tblLook w:firstColumn="1" w:firstRow="1" w:lastColumn="0" w:lastRow="0" w:noHBand="0" w:noVBand="1" w:val="04A0"/>
      </w:tblPr>
      <w:tblGrid>
        <w:gridCol w:w="3135"/>
        <w:gridCol w:w="3135"/>
        <w:gridCol w:w="3135"/>
      </w:tblGrid>
      <w:tr>
        <w:tc>
          <w:tcPr>
            <w:tcW w:type="dxa" w:w="1417"/>
            <w:shd w:val="clear" w:color="auto" w:fill="1F3864"/>
          </w:tcPr>
          <w:p>
            <w:pPr>
              <w:jc w:val="center"/>
            </w:pPr>
            <w:r>
              <w:rPr>
                <w:b/>
                <w:color w:val="FFFFFF"/>
              </w:rPr>
              <w:t>Período</w:t>
            </w:r>
          </w:p>
        </w:tc>
        <w:tc>
          <w:tcPr>
            <w:tcW w:type="dxa" w:w="5386"/>
            <w:shd w:val="clear" w:color="auto" w:fill="1F3864"/>
          </w:tcPr>
          <w:p>
            <w:pPr>
              <w:jc w:val="center"/>
            </w:pPr>
            <w:r>
              <w:rPr>
                <w:b/>
                <w:color w:val="FFFFFF"/>
              </w:rPr>
              <w:t>Acción</w:t>
            </w:r>
          </w:p>
        </w:tc>
        <w:tc>
          <w:tcPr>
            <w:tcW w:type="dxa" w:w="1984"/>
            <w:shd w:val="clear" w:color="auto" w:fill="1F3864"/>
          </w:tcPr>
          <w:p>
            <w:pPr>
              <w:jc w:val="center"/>
            </w:pPr>
            <w:r>
              <w:rPr>
                <w:b/>
                <w:color w:val="FFFFFF"/>
              </w:rPr>
              <w:t>Coste mensual añadido</w:t>
            </w:r>
          </w:p>
        </w:tc>
      </w:tr>
      <w:tr>
        <w:tc>
          <w:tcPr>
            <w:tcW w:type="dxa" w:w="1417"/>
          </w:tcPr>
          <w:p>
            <w:r>
              <w:rPr>
                <w:sz w:val="18"/>
              </w:rPr>
              <w:t>Mes 1-2</w:t>
            </w:r>
          </w:p>
        </w:tc>
        <w:tc>
          <w:tcPr>
            <w:tcW w:type="dxa" w:w="5386"/>
          </w:tcPr>
          <w:p>
            <w:r>
              <w:rPr>
                <w:sz w:val="18"/>
              </w:rPr>
              <w:t>Constitución. Sin empleados. Prueba de mercado con subcontratas externas para primeros servicios.</w:t>
            </w:r>
          </w:p>
        </w:tc>
        <w:tc>
          <w:tcPr>
            <w:tcW w:type="dxa" w:w="1984"/>
          </w:tcPr>
          <w:p>
            <w:r>
              <w:rPr>
                <w:sz w:val="18"/>
              </w:rPr>
              <w:t>0 € labor directa</w:t>
            </w:r>
          </w:p>
        </w:tc>
      </w:tr>
      <w:tr>
        <w:tc>
          <w:tcPr>
            <w:tcW w:type="dxa" w:w="1417"/>
            <w:shd w:val="clear" w:color="auto" w:fill="D6E4F0"/>
          </w:tcPr>
          <w:p>
            <w:r>
              <w:rPr>
                <w:sz w:val="18"/>
              </w:rPr>
              <w:t>Mes 3</w:t>
            </w:r>
          </w:p>
        </w:tc>
        <w:tc>
          <w:tcPr>
            <w:tcW w:type="dxa" w:w="5386"/>
            <w:shd w:val="clear" w:color="auto" w:fill="D6E4F0"/>
          </w:tcPr>
          <w:p>
            <w:r>
              <w:rPr>
                <w:sz w:val="18"/>
              </w:rPr>
              <w:t>Contratación Empleado 1 (Limpiador/a Cat. IV, 37,5h/sem). Primer contrato B2B firmado.</w:t>
            </w:r>
          </w:p>
        </w:tc>
        <w:tc>
          <w:tcPr>
            <w:tcW w:type="dxa" w:w="1984"/>
            <w:shd w:val="clear" w:color="auto" w:fill="D6E4F0"/>
          </w:tcPr>
          <w:p>
            <w:r>
              <w:rPr>
                <w:sz w:val="18"/>
              </w:rPr>
              <w:t>+1.756 €/mes</w:t>
            </w:r>
          </w:p>
        </w:tc>
      </w:tr>
      <w:tr>
        <w:tc>
          <w:tcPr>
            <w:tcW w:type="dxa" w:w="1417"/>
          </w:tcPr>
          <w:p>
            <w:r>
              <w:rPr>
                <w:sz w:val="18"/>
              </w:rPr>
              <w:t>Mes 6-7</w:t>
            </w:r>
          </w:p>
        </w:tc>
        <w:tc>
          <w:tcPr>
            <w:tcW w:type="dxa" w:w="5386"/>
          </w:tcPr>
          <w:p>
            <w:r>
              <w:rPr>
                <w:sz w:val="18"/>
              </w:rPr>
              <w:t>Si ocupación &gt;75%: contratación Empleado 2 (Limpiador/a). Ampliación cartera B2B.</w:t>
            </w:r>
          </w:p>
        </w:tc>
        <w:tc>
          <w:tcPr>
            <w:tcW w:type="dxa" w:w="1984"/>
          </w:tcPr>
          <w:p>
            <w:r>
              <w:rPr>
                <w:sz w:val="18"/>
              </w:rPr>
              <w:t>+1.756 €/mes</w:t>
            </w:r>
          </w:p>
        </w:tc>
      </w:tr>
      <w:tr>
        <w:tc>
          <w:tcPr>
            <w:tcW w:type="dxa" w:w="1417"/>
            <w:shd w:val="clear" w:color="auto" w:fill="D6E4F0"/>
          </w:tcPr>
          <w:p>
            <w:r>
              <w:rPr>
                <w:sz w:val="18"/>
              </w:rPr>
              <w:t>Mes 10-12</w:t>
            </w:r>
          </w:p>
        </w:tc>
        <w:tc>
          <w:tcPr>
            <w:tcW w:type="dxa" w:w="5386"/>
            <w:shd w:val="clear" w:color="auto" w:fill="D6E4F0"/>
          </w:tcPr>
          <w:p>
            <w:r>
              <w:rPr>
                <w:sz w:val="18"/>
              </w:rPr>
              <w:t>Si contratos B2B suman &gt;400h/mes: contratación Empleado 3 (Especialista Cat. III o 2º Limpiador/a).</w:t>
            </w:r>
          </w:p>
        </w:tc>
        <w:tc>
          <w:tcPr>
            <w:tcW w:type="dxa" w:w="1984"/>
            <w:shd w:val="clear" w:color="auto" w:fill="D6E4F0"/>
          </w:tcPr>
          <w:p>
            <w:r>
              <w:rPr>
                <w:sz w:val="18"/>
              </w:rPr>
              <w:t>+1.756-1.872 €/mes</w:t>
            </w:r>
          </w:p>
        </w:tc>
      </w:tr>
      <w:tr>
        <w:tc>
          <w:tcPr>
            <w:tcW w:type="dxa" w:w="1417"/>
          </w:tcPr>
          <w:p>
            <w:r>
              <w:rPr>
                <w:sz w:val="18"/>
              </w:rPr>
              <w:t>Mes 13-18</w:t>
            </w:r>
          </w:p>
        </w:tc>
        <w:tc>
          <w:tcPr>
            <w:tcW w:type="dxa" w:w="5386"/>
          </w:tcPr>
          <w:p>
            <w:r>
              <w:rPr>
                <w:sz w:val="18"/>
              </w:rPr>
              <w:t>Plantilla estabilizada 3-5 empleados. Valorar transformación en SL. Objetivo: ocupación 80-90%.</w:t>
            </w:r>
          </w:p>
        </w:tc>
        <w:tc>
          <w:tcPr>
            <w:tcW w:type="dxa" w:w="1984"/>
          </w:tcPr>
          <w:p>
            <w:r>
              <w:rPr>
                <w:sz w:val="18"/>
              </w:rPr>
              <w:t>Según crecimiento</w:t>
            </w:r>
          </w:p>
        </w:tc>
      </w:tr>
    </w:tbl>
    <w:p>
      <w:pPr>
        <w:pStyle w:val="Heading2"/>
      </w:pPr>
      <w:r>
        <w:rPr>
          <w:color w:val="1F3864"/>
        </w:rPr>
        <w:t>7.1 Tipo de contrato recomendado</w:t>
      </w:r>
    </w:p>
    <w:p>
      <w:pPr>
        <w:spacing w:after="80"/>
      </w:pPr>
      <w:r>
        <w:rPr>
          <w:b w:val="0"/>
          <w:i w:val="0"/>
          <w:sz w:val="20"/>
        </w:rPr>
        <w:t>Contrato INDEFINIDO ORDINARIO a jornada completa (37,5h/sem conforme convenio). Razones:</w:t>
      </w:r>
    </w:p>
    <w:p>
      <w:pPr>
        <w:pStyle w:val="ListBullet"/>
        <w:spacing w:after="40"/>
      </w:pPr>
      <w:r>
        <w:rPr>
          <w:sz w:val="20"/>
        </w:rPr>
        <w:t>El sector limpieza tiene alta rotación; el contrato indefinido fideliza y reduce coste de selección/formación.</w:t>
      </w:r>
    </w:p>
    <w:p>
      <w:pPr>
        <w:pStyle w:val="ListBullet"/>
        <w:spacing w:after="40"/>
      </w:pPr>
      <w:r>
        <w:rPr>
          <w:sz w:val="20"/>
        </w:rPr>
        <w:t>En subrogación: los contratos indefinidos del cedente pasan al nuevo adjudicatario (obligación legal); los temporales pueden quedar excluidos según convenio.</w:t>
      </w:r>
    </w:p>
    <w:p>
      <w:pPr>
        <w:pStyle w:val="ListBullet"/>
        <w:spacing w:after="40"/>
      </w:pPr>
      <w:r>
        <w:rPr>
          <w:sz w:val="20"/>
        </w:rPr>
        <w:t>Bonificación contratación indefinida jornada completa (SEPE 2026): hasta 138 €/mes si la persona proviene de situación de desempleo.</w:t>
      </w:r>
    </w:p>
    <w:p>
      <w:r>
        <w:br w:type="page"/>
      </w:r>
    </w:p>
    <w:p>
      <w:pPr>
        <w:pStyle w:val="Heading1"/>
        <w:spacing w:before="280"/>
        <w:shd w:val="clear" w:color="auto" w:fill="1F3864"/>
      </w:pPr>
      <w:r>
        <w:rPr>
          <w:color w:val="FFFFFF"/>
        </w:rPr>
        <w:t>8. PLAN FINANCIERO RESUMEN</w:t>
      </w:r>
    </w:p>
    <w:p>
      <w:pPr>
        <w:pStyle w:val="Heading2"/>
      </w:pPr>
      <w:r>
        <w:rPr>
          <w:color w:val="1F3864"/>
        </w:rPr>
        <w:t>8.1 Estructura de costes y precio de venta</w:t>
      </w:r>
    </w:p>
    <w:tbl>
      <w:tblPr>
        <w:tblStyle w:val="TableGrid"/>
        <w:tblW w:type="auto" w:w="0"/>
        <w:tblLook w:firstColumn="1" w:firstRow="1" w:lastColumn="0" w:lastRow="0" w:noHBand="0" w:noVBand="1" w:val="04A0"/>
      </w:tblPr>
      <w:tblGrid>
        <w:gridCol w:w="2351"/>
        <w:gridCol w:w="2351"/>
        <w:gridCol w:w="2351"/>
        <w:gridCol w:w="2351"/>
      </w:tblGrid>
      <w:tr>
        <w:tc>
          <w:tcPr>
            <w:tcW w:type="dxa" w:w="3402"/>
            <w:shd w:val="clear" w:color="auto" w:fill="1F3864"/>
          </w:tcPr>
          <w:p>
            <w:pPr>
              <w:jc w:val="center"/>
            </w:pPr>
            <w:r>
              <w:rPr>
                <w:b/>
                <w:color w:val="FFFFFF"/>
              </w:rPr>
              <w:t>Concepto</w:t>
            </w:r>
          </w:p>
        </w:tc>
        <w:tc>
          <w:tcPr>
            <w:tcW w:type="dxa" w:w="1701"/>
            <w:shd w:val="clear" w:color="auto" w:fill="1F3864"/>
          </w:tcPr>
          <w:p>
            <w:pPr>
              <w:jc w:val="center"/>
            </w:pPr>
            <w:r>
              <w:rPr>
                <w:b/>
                <w:color w:val="FFFFFF"/>
              </w:rPr>
              <w:t>B2B (€/h)</w:t>
            </w:r>
          </w:p>
        </w:tc>
        <w:tc>
          <w:tcPr>
            <w:tcW w:type="dxa" w:w="1701"/>
            <w:shd w:val="clear" w:color="auto" w:fill="1F3864"/>
          </w:tcPr>
          <w:p>
            <w:pPr>
              <w:jc w:val="center"/>
            </w:pPr>
            <w:r>
              <w:rPr>
                <w:b/>
                <w:color w:val="FFFFFF"/>
              </w:rPr>
              <w:t>B2C (€/h)</w:t>
            </w:r>
          </w:p>
        </w:tc>
        <w:tc>
          <w:tcPr>
            <w:tcW w:type="dxa" w:w="1984"/>
            <w:shd w:val="clear" w:color="auto" w:fill="1F3864"/>
          </w:tcPr>
          <w:p>
            <w:pPr>
              <w:jc w:val="center"/>
            </w:pPr>
            <w:r>
              <w:rPr>
                <w:b/>
                <w:color w:val="FFFFFF"/>
              </w:rPr>
              <w:t>% del precio</w:t>
            </w:r>
          </w:p>
        </w:tc>
      </w:tr>
      <w:tr>
        <w:tc>
          <w:tcPr>
            <w:tcW w:type="dxa" w:w="3402"/>
          </w:tcPr>
          <w:p>
            <w:r>
              <w:rPr>
                <w:sz w:val="18"/>
              </w:rPr>
              <w:t>Coste laboral (salario + SS, Cat. IV)</w:t>
            </w:r>
          </w:p>
        </w:tc>
        <w:tc>
          <w:tcPr>
            <w:tcW w:type="dxa" w:w="1701"/>
          </w:tcPr>
          <w:p>
            <w:r>
              <w:rPr>
                <w:sz w:val="18"/>
              </w:rPr>
              <w:t>12,47</w:t>
            </w:r>
          </w:p>
        </w:tc>
        <w:tc>
          <w:tcPr>
            <w:tcW w:type="dxa" w:w="1701"/>
          </w:tcPr>
          <w:p>
            <w:r>
              <w:rPr>
                <w:sz w:val="18"/>
              </w:rPr>
              <w:t>12,47</w:t>
            </w:r>
          </w:p>
        </w:tc>
        <w:tc>
          <w:tcPr>
            <w:tcW w:type="dxa" w:w="1984"/>
          </w:tcPr>
          <w:p>
            <w:r>
              <w:rPr>
                <w:sz w:val="18"/>
              </w:rPr>
              <w:t>61%</w:t>
            </w:r>
          </w:p>
        </w:tc>
      </w:tr>
      <w:tr>
        <w:tc>
          <w:tcPr>
            <w:tcW w:type="dxa" w:w="3402"/>
            <w:shd w:val="clear" w:color="auto" w:fill="D6E4F0"/>
          </w:tcPr>
          <w:p>
            <w:r>
              <w:rPr>
                <w:sz w:val="18"/>
              </w:rPr>
              <w:t>Provisión absentismo (3,5%)</w:t>
            </w:r>
          </w:p>
        </w:tc>
        <w:tc>
          <w:tcPr>
            <w:tcW w:type="dxa" w:w="1701"/>
            <w:shd w:val="clear" w:color="auto" w:fill="D6E4F0"/>
          </w:tcPr>
          <w:p>
            <w:r>
              <w:rPr>
                <w:sz w:val="18"/>
              </w:rPr>
              <w:t>0,44</w:t>
            </w:r>
          </w:p>
        </w:tc>
        <w:tc>
          <w:tcPr>
            <w:tcW w:type="dxa" w:w="1701"/>
            <w:shd w:val="clear" w:color="auto" w:fill="D6E4F0"/>
          </w:tcPr>
          <w:p>
            <w:r>
              <w:rPr>
                <w:sz w:val="18"/>
              </w:rPr>
              <w:t>0,44</w:t>
            </w:r>
          </w:p>
        </w:tc>
        <w:tc>
          <w:tcPr>
            <w:tcW w:type="dxa" w:w="1984"/>
            <w:shd w:val="clear" w:color="auto" w:fill="D6E4F0"/>
          </w:tcPr>
          <w:p>
            <w:r>
              <w:rPr>
                <w:sz w:val="18"/>
              </w:rPr>
              <w:t>2%</w:t>
            </w:r>
          </w:p>
        </w:tc>
      </w:tr>
      <w:tr>
        <w:tc>
          <w:tcPr>
            <w:tcW w:type="dxa" w:w="3402"/>
          </w:tcPr>
          <w:p>
            <w:r>
              <w:rPr>
                <w:sz w:val="18"/>
              </w:rPr>
              <w:t>Materiales y productos</w:t>
            </w:r>
          </w:p>
        </w:tc>
        <w:tc>
          <w:tcPr>
            <w:tcW w:type="dxa" w:w="1701"/>
          </w:tcPr>
          <w:p>
            <w:r>
              <w:rPr>
                <w:sz w:val="18"/>
              </w:rPr>
              <w:t>0,40</w:t>
            </w:r>
          </w:p>
        </w:tc>
        <w:tc>
          <w:tcPr>
            <w:tcW w:type="dxa" w:w="1701"/>
          </w:tcPr>
          <w:p>
            <w:r>
              <w:rPr>
                <w:sz w:val="18"/>
              </w:rPr>
              <w:t>0,55</w:t>
            </w:r>
          </w:p>
        </w:tc>
        <w:tc>
          <w:tcPr>
            <w:tcW w:type="dxa" w:w="1984"/>
          </w:tcPr>
          <w:p>
            <w:r>
              <w:rPr>
                <w:sz w:val="18"/>
              </w:rPr>
              <w:t>2-3%</w:t>
            </w:r>
          </w:p>
        </w:tc>
      </w:tr>
      <w:tr>
        <w:tc>
          <w:tcPr>
            <w:tcW w:type="dxa" w:w="3402"/>
            <w:shd w:val="clear" w:color="auto" w:fill="D6E4F0"/>
          </w:tcPr>
          <w:p>
            <w:r>
              <w:rPr>
                <w:sz w:val="18"/>
              </w:rPr>
              <w:t>Desplazamiento</w:t>
            </w:r>
          </w:p>
        </w:tc>
        <w:tc>
          <w:tcPr>
            <w:tcW w:type="dxa" w:w="1701"/>
            <w:shd w:val="clear" w:color="auto" w:fill="D6E4F0"/>
          </w:tcPr>
          <w:p>
            <w:r>
              <w:rPr>
                <w:sz w:val="18"/>
              </w:rPr>
              <w:t>0,25</w:t>
            </w:r>
          </w:p>
        </w:tc>
        <w:tc>
          <w:tcPr>
            <w:tcW w:type="dxa" w:w="1701"/>
            <w:shd w:val="clear" w:color="auto" w:fill="D6E4F0"/>
          </w:tcPr>
          <w:p>
            <w:r>
              <w:rPr>
                <w:sz w:val="18"/>
              </w:rPr>
              <w:t>0,45</w:t>
            </w:r>
          </w:p>
        </w:tc>
        <w:tc>
          <w:tcPr>
            <w:tcW w:type="dxa" w:w="1984"/>
            <w:shd w:val="clear" w:color="auto" w:fill="D6E4F0"/>
          </w:tcPr>
          <w:p>
            <w:r>
              <w:rPr>
                <w:sz w:val="18"/>
              </w:rPr>
              <w:t>1-2%</w:t>
            </w:r>
          </w:p>
        </w:tc>
      </w:tr>
      <w:tr>
        <w:tc>
          <w:tcPr>
            <w:tcW w:type="dxa" w:w="3402"/>
          </w:tcPr>
          <w:p>
            <w:r>
              <w:rPr>
                <w:sz w:val="18"/>
              </w:rPr>
              <w:t>Estructura asignada (3 empleados)</w:t>
            </w:r>
          </w:p>
        </w:tc>
        <w:tc>
          <w:tcPr>
            <w:tcW w:type="dxa" w:w="1701"/>
          </w:tcPr>
          <w:p>
            <w:r>
              <w:rPr>
                <w:sz w:val="18"/>
              </w:rPr>
              <w:t>3,38</w:t>
            </w:r>
          </w:p>
        </w:tc>
        <w:tc>
          <w:tcPr>
            <w:tcW w:type="dxa" w:w="1701"/>
          </w:tcPr>
          <w:p>
            <w:r>
              <w:rPr>
                <w:sz w:val="18"/>
              </w:rPr>
              <w:t>3,38</w:t>
            </w:r>
          </w:p>
        </w:tc>
        <w:tc>
          <w:tcPr>
            <w:tcW w:type="dxa" w:w="1984"/>
          </w:tcPr>
          <w:p>
            <w:r>
              <w:rPr>
                <w:sz w:val="18"/>
              </w:rPr>
              <w:t>17%</w:t>
            </w:r>
          </w:p>
        </w:tc>
      </w:tr>
      <w:tr>
        <w:tc>
          <w:tcPr>
            <w:tcW w:type="dxa" w:w="3402"/>
            <w:shd w:val="clear" w:color="auto" w:fill="D6E4F0"/>
          </w:tcPr>
          <w:p>
            <w:r>
              <w:rPr>
                <w:sz w:val="18"/>
              </w:rPr>
              <w:t>COSTE TOTAL / HORA</w:t>
            </w:r>
          </w:p>
        </w:tc>
        <w:tc>
          <w:tcPr>
            <w:tcW w:type="dxa" w:w="1701"/>
            <w:shd w:val="clear" w:color="auto" w:fill="D6E4F0"/>
          </w:tcPr>
          <w:p>
            <w:r>
              <w:rPr>
                <w:sz w:val="18"/>
              </w:rPr>
              <w:t>16,94</w:t>
            </w:r>
          </w:p>
        </w:tc>
        <w:tc>
          <w:tcPr>
            <w:tcW w:type="dxa" w:w="1701"/>
            <w:shd w:val="clear" w:color="auto" w:fill="D6E4F0"/>
          </w:tcPr>
          <w:p>
            <w:r>
              <w:rPr>
                <w:sz w:val="18"/>
              </w:rPr>
              <w:t>17,29</w:t>
            </w:r>
          </w:p>
        </w:tc>
        <w:tc>
          <w:tcPr>
            <w:tcW w:type="dxa" w:w="1984"/>
            <w:shd w:val="clear" w:color="auto" w:fill="D6E4F0"/>
          </w:tcPr>
          <w:p>
            <w:r>
              <w:rPr>
                <w:sz w:val="18"/>
              </w:rPr>
              <w:t>83%</w:t>
            </w:r>
          </w:p>
        </w:tc>
      </w:tr>
      <w:tr>
        <w:tc>
          <w:tcPr>
            <w:tcW w:type="dxa" w:w="3402"/>
          </w:tcPr>
          <w:p>
            <w:r>
              <w:rPr>
                <w:sz w:val="18"/>
              </w:rPr>
              <w:t>BENEFICIO / HORA (+30%)</w:t>
            </w:r>
          </w:p>
        </w:tc>
        <w:tc>
          <w:tcPr>
            <w:tcW w:type="dxa" w:w="1701"/>
          </w:tcPr>
          <w:p>
            <w:r>
              <w:rPr>
                <w:sz w:val="18"/>
              </w:rPr>
              <w:t>5,08</w:t>
            </w:r>
          </w:p>
        </w:tc>
        <w:tc>
          <w:tcPr>
            <w:tcW w:type="dxa" w:w="1701"/>
          </w:tcPr>
          <w:p>
            <w:r>
              <w:rPr>
                <w:sz w:val="18"/>
              </w:rPr>
              <w:t>5,19</w:t>
            </w:r>
          </w:p>
        </w:tc>
        <w:tc>
          <w:tcPr>
            <w:tcW w:type="dxa" w:w="1984"/>
          </w:tcPr>
          <w:p>
            <w:r>
              <w:rPr>
                <w:sz w:val="18"/>
              </w:rPr>
              <w:t>25%</w:t>
            </w:r>
          </w:p>
        </w:tc>
      </w:tr>
      <w:tr>
        <w:tc>
          <w:tcPr>
            <w:tcW w:type="dxa" w:w="3402"/>
            <w:shd w:val="clear" w:color="auto" w:fill="D6E4F0"/>
          </w:tcPr>
          <w:p>
            <w:r>
              <w:rPr>
                <w:sz w:val="18"/>
              </w:rPr>
              <w:t>PRECIO VENTA / HORA (s/IVA)</w:t>
            </w:r>
          </w:p>
        </w:tc>
        <w:tc>
          <w:tcPr>
            <w:tcW w:type="dxa" w:w="1701"/>
            <w:shd w:val="clear" w:color="auto" w:fill="D6E4F0"/>
          </w:tcPr>
          <w:p>
            <w:r>
              <w:rPr>
                <w:sz w:val="18"/>
              </w:rPr>
              <w:t>22,02</w:t>
            </w:r>
          </w:p>
        </w:tc>
        <w:tc>
          <w:tcPr>
            <w:tcW w:type="dxa" w:w="1701"/>
            <w:shd w:val="clear" w:color="auto" w:fill="D6E4F0"/>
          </w:tcPr>
          <w:p>
            <w:r>
              <w:rPr>
                <w:sz w:val="18"/>
              </w:rPr>
              <w:t>22,47</w:t>
            </w:r>
          </w:p>
        </w:tc>
        <w:tc>
          <w:tcPr>
            <w:tcW w:type="dxa" w:w="1984"/>
            <w:shd w:val="clear" w:color="auto" w:fill="D6E4F0"/>
          </w:tcPr>
          <w:p>
            <w:r>
              <w:rPr>
                <w:sz w:val="18"/>
              </w:rPr>
              <w:t>100%</w:t>
            </w:r>
          </w:p>
        </w:tc>
      </w:tr>
      <w:tr>
        <w:tc>
          <w:tcPr>
            <w:tcW w:type="dxa" w:w="3402"/>
          </w:tcPr>
          <w:p>
            <w:r>
              <w:rPr>
                <w:sz w:val="18"/>
              </w:rPr>
              <w:t>PRECIO VENTA / HORA (c/IVA 21%)</w:t>
            </w:r>
          </w:p>
        </w:tc>
        <w:tc>
          <w:tcPr>
            <w:tcW w:type="dxa" w:w="1701"/>
          </w:tcPr>
          <w:p>
            <w:r>
              <w:rPr>
                <w:sz w:val="18"/>
              </w:rPr>
              <w:t>26,64</w:t>
            </w:r>
          </w:p>
        </w:tc>
        <w:tc>
          <w:tcPr>
            <w:tcW w:type="dxa" w:w="1701"/>
          </w:tcPr>
          <w:p>
            <w:r>
              <w:rPr>
                <w:sz w:val="18"/>
              </w:rPr>
              <w:t>27,19</w:t>
            </w:r>
          </w:p>
        </w:tc>
        <w:tc>
          <w:tcPr>
            <w:tcW w:type="dxa" w:w="1984"/>
          </w:tcPr>
          <w:p>
            <w:r>
              <w:rPr>
                <w:sz w:val="18"/>
              </w:rPr>
              <w:t>—</w:t>
            </w:r>
          </w:p>
        </w:tc>
      </w:tr>
    </w:tbl>
    <w:p>
      <w:pPr>
        <w:pStyle w:val="Heading2"/>
      </w:pPr>
      <w:r>
        <w:rPr>
          <w:color w:val="1F3864"/>
        </w:rPr>
        <w:t>8.2 Punto de equilibrio (Break-Even)</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1F3864"/>
          </w:tcPr>
          <w:p>
            <w:pPr>
              <w:jc w:val="center"/>
            </w:pPr>
            <w:r>
              <w:rPr>
                <w:b/>
                <w:color w:val="FFFFFF"/>
              </w:rPr>
              <w:t>Escenario</w:t>
            </w:r>
          </w:p>
        </w:tc>
        <w:tc>
          <w:tcPr>
            <w:tcW w:type="dxa" w:w="2268"/>
            <w:shd w:val="clear" w:color="auto" w:fill="1F3864"/>
          </w:tcPr>
          <w:p>
            <w:pPr>
              <w:jc w:val="center"/>
            </w:pPr>
            <w:r>
              <w:rPr>
                <w:b/>
                <w:color w:val="FFFFFF"/>
              </w:rPr>
              <w:t>Costes fijos/mes</w:t>
            </w:r>
          </w:p>
        </w:tc>
        <w:tc>
          <w:tcPr>
            <w:tcW w:type="dxa" w:w="2268"/>
            <w:shd w:val="clear" w:color="auto" w:fill="1F3864"/>
          </w:tcPr>
          <w:p>
            <w:pPr>
              <w:jc w:val="center"/>
            </w:pPr>
            <w:r>
              <w:rPr>
                <w:b/>
                <w:color w:val="FFFFFF"/>
              </w:rPr>
              <w:t>Margen variable/h</w:t>
            </w:r>
          </w:p>
        </w:tc>
        <w:tc>
          <w:tcPr>
            <w:tcW w:type="dxa" w:w="2268"/>
            <w:shd w:val="clear" w:color="auto" w:fill="1F3864"/>
          </w:tcPr>
          <w:p>
            <w:pPr>
              <w:jc w:val="center"/>
            </w:pPr>
            <w:r>
              <w:rPr>
                <w:b/>
                <w:color w:val="FFFFFF"/>
              </w:rPr>
              <w:t>Break-Even h/mes</w:t>
            </w:r>
          </w:p>
        </w:tc>
      </w:tr>
      <w:tr>
        <w:tc>
          <w:tcPr>
            <w:tcW w:type="dxa" w:w="2268"/>
          </w:tcPr>
          <w:p>
            <w:r>
              <w:rPr>
                <w:sz w:val="18"/>
              </w:rPr>
              <w:t>1 empleado</w:t>
            </w:r>
          </w:p>
        </w:tc>
        <w:tc>
          <w:tcPr>
            <w:tcW w:type="dxa" w:w="2268"/>
          </w:tcPr>
          <w:p>
            <w:r>
              <w:rPr>
                <w:sz w:val="18"/>
              </w:rPr>
              <w:t>3.186 €</w:t>
            </w:r>
          </w:p>
        </w:tc>
        <w:tc>
          <w:tcPr>
            <w:tcW w:type="dxa" w:w="2268"/>
          </w:tcPr>
          <w:p>
            <w:r>
              <w:rPr>
                <w:sz w:val="18"/>
              </w:rPr>
              <w:t>7,19 €/h</w:t>
            </w:r>
          </w:p>
        </w:tc>
        <w:tc>
          <w:tcPr>
            <w:tcW w:type="dxa" w:w="2268"/>
          </w:tcPr>
          <w:p>
            <w:r>
              <w:rPr>
                <w:sz w:val="18"/>
              </w:rPr>
              <w:t>≈ 87 h/mes (62% ocupación)</w:t>
            </w:r>
          </w:p>
        </w:tc>
      </w:tr>
      <w:tr>
        <w:tc>
          <w:tcPr>
            <w:tcW w:type="dxa" w:w="2268"/>
            <w:shd w:val="clear" w:color="auto" w:fill="D6E4F0"/>
          </w:tcPr>
          <w:p>
            <w:r>
              <w:rPr>
                <w:sz w:val="18"/>
              </w:rPr>
              <w:t>3 empleados</w:t>
            </w:r>
          </w:p>
        </w:tc>
        <w:tc>
          <w:tcPr>
            <w:tcW w:type="dxa" w:w="2268"/>
            <w:shd w:val="clear" w:color="auto" w:fill="D6E4F0"/>
          </w:tcPr>
          <w:p>
            <w:r>
              <w:rPr>
                <w:sz w:val="18"/>
              </w:rPr>
              <w:t>6.698 €</w:t>
            </w:r>
          </w:p>
        </w:tc>
        <w:tc>
          <w:tcPr>
            <w:tcW w:type="dxa" w:w="2268"/>
            <w:shd w:val="clear" w:color="auto" w:fill="D6E4F0"/>
          </w:tcPr>
          <w:p>
            <w:r>
              <w:rPr>
                <w:sz w:val="18"/>
              </w:rPr>
              <w:t>7,19 €/h</w:t>
            </w:r>
          </w:p>
        </w:tc>
        <w:tc>
          <w:tcPr>
            <w:tcW w:type="dxa" w:w="2268"/>
            <w:shd w:val="clear" w:color="auto" w:fill="D6E4F0"/>
          </w:tcPr>
          <w:p>
            <w:r>
              <w:rPr>
                <w:sz w:val="18"/>
              </w:rPr>
              <w:t>≈ 200 h/mes (48% ocupación)</w:t>
            </w:r>
          </w:p>
        </w:tc>
      </w:tr>
      <w:tr>
        <w:tc>
          <w:tcPr>
            <w:tcW w:type="dxa" w:w="2268"/>
          </w:tcPr>
          <w:p>
            <w:r>
              <w:rPr>
                <w:sz w:val="18"/>
              </w:rPr>
              <w:t>5 empleados</w:t>
            </w:r>
          </w:p>
        </w:tc>
        <w:tc>
          <w:tcPr>
            <w:tcW w:type="dxa" w:w="2268"/>
          </w:tcPr>
          <w:p>
            <w:r>
              <w:rPr>
                <w:sz w:val="18"/>
              </w:rPr>
              <w:t>10.211 €</w:t>
            </w:r>
          </w:p>
        </w:tc>
        <w:tc>
          <w:tcPr>
            <w:tcW w:type="dxa" w:w="2268"/>
          </w:tcPr>
          <w:p>
            <w:r>
              <w:rPr>
                <w:sz w:val="18"/>
              </w:rPr>
              <w:t>7,19 €/h</w:t>
            </w:r>
          </w:p>
        </w:tc>
        <w:tc>
          <w:tcPr>
            <w:tcW w:type="dxa" w:w="2268"/>
          </w:tcPr>
          <w:p>
            <w:r>
              <w:rPr>
                <w:sz w:val="18"/>
              </w:rPr>
              <w:t>≈ 287 h/mes (41% ocupación)</w:t>
            </w:r>
          </w:p>
        </w:tc>
      </w:tr>
    </w:tbl>
    <w:p>
      <w:pPr>
        <w:spacing w:after="80"/>
      </w:pPr>
      <w:r>
        <w:rPr>
          <w:b w:val="0"/>
          <w:i/>
          <w:sz w:val="18"/>
        </w:rPr>
        <w:t>Nota: margen variable/h = precio promedio – costes variables (labor+SS+mat+desp). Los costes fijos incluyen estructura + labor empleados + cuota autónomo.</w:t>
      </w:r>
    </w:p>
    <w:p>
      <w:r>
        <w:br w:type="page"/>
      </w:r>
    </w:p>
    <w:p>
      <w:pPr>
        <w:pStyle w:val="Heading1"/>
        <w:spacing w:before="280"/>
        <w:shd w:val="clear" w:color="auto" w:fill="1F3864"/>
      </w:pPr>
      <w:r>
        <w:rPr>
          <w:color w:val="FFFFFF"/>
        </w:rPr>
        <w:t>9. ANÁLISIS DE RIESGOS Y MITIGACIÓN</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1F3864"/>
          </w:tcPr>
          <w:p>
            <w:pPr>
              <w:jc w:val="center"/>
            </w:pPr>
            <w:r>
              <w:rPr>
                <w:b/>
                <w:color w:val="FFFFFF"/>
              </w:rPr>
              <w:t>Riesgo</w:t>
            </w:r>
          </w:p>
        </w:tc>
        <w:tc>
          <w:tcPr>
            <w:tcW w:type="dxa" w:w="1134"/>
            <w:shd w:val="clear" w:color="auto" w:fill="1F3864"/>
          </w:tcPr>
          <w:p>
            <w:pPr>
              <w:jc w:val="center"/>
            </w:pPr>
            <w:r>
              <w:rPr>
                <w:b/>
                <w:color w:val="FFFFFF"/>
              </w:rPr>
              <w:t>Probabilidad</w:t>
            </w:r>
          </w:p>
        </w:tc>
        <w:tc>
          <w:tcPr>
            <w:tcW w:type="dxa" w:w="1134"/>
            <w:shd w:val="clear" w:color="auto" w:fill="1F3864"/>
          </w:tcPr>
          <w:p>
            <w:pPr>
              <w:jc w:val="center"/>
            </w:pPr>
            <w:r>
              <w:rPr>
                <w:b/>
                <w:color w:val="FFFFFF"/>
              </w:rPr>
              <w:t>Impacto</w:t>
            </w:r>
          </w:p>
        </w:tc>
        <w:tc>
          <w:tcPr>
            <w:tcW w:type="dxa" w:w="4252"/>
            <w:shd w:val="clear" w:color="auto" w:fill="1F3864"/>
          </w:tcPr>
          <w:p>
            <w:pPr>
              <w:jc w:val="center"/>
            </w:pPr>
            <w:r>
              <w:rPr>
                <w:b/>
                <w:color w:val="FFFFFF"/>
              </w:rPr>
              <w:t>Mitigación</w:t>
            </w:r>
          </w:p>
        </w:tc>
      </w:tr>
      <w:tr>
        <w:tc>
          <w:tcPr>
            <w:tcW w:type="dxa" w:w="2268"/>
          </w:tcPr>
          <w:p>
            <w:r>
              <w:rPr>
                <w:sz w:val="18"/>
              </w:rPr>
              <w:t>Pérdida de contrato B2B principal</w:t>
            </w:r>
          </w:p>
        </w:tc>
        <w:tc>
          <w:tcPr>
            <w:tcW w:type="dxa" w:w="1134"/>
          </w:tcPr>
          <w:p>
            <w:r>
              <w:rPr>
                <w:sz w:val="18"/>
              </w:rPr>
              <w:t>Media</w:t>
            </w:r>
          </w:p>
        </w:tc>
        <w:tc>
          <w:tcPr>
            <w:tcW w:type="dxa" w:w="1134"/>
          </w:tcPr>
          <w:p>
            <w:r>
              <w:rPr>
                <w:sz w:val="18"/>
              </w:rPr>
              <w:t>Alto</w:t>
            </w:r>
          </w:p>
        </w:tc>
        <w:tc>
          <w:tcPr>
            <w:tcW w:type="dxa" w:w="4252"/>
          </w:tcPr>
          <w:p>
            <w:r>
              <w:rPr>
                <w:sz w:val="18"/>
              </w:rPr>
              <w:t>Nunca depender &gt;40% de un solo cliente; diversificar desde el mes 6</w:t>
            </w:r>
          </w:p>
        </w:tc>
      </w:tr>
      <w:tr>
        <w:tc>
          <w:tcPr>
            <w:tcW w:type="dxa" w:w="2268"/>
            <w:shd w:val="clear" w:color="auto" w:fill="D6E4F0"/>
          </w:tcPr>
          <w:p>
            <w:r>
              <w:rPr>
                <w:sz w:val="18"/>
              </w:rPr>
              <w:t>Rotación de empleados</w:t>
            </w:r>
          </w:p>
        </w:tc>
        <w:tc>
          <w:tcPr>
            <w:tcW w:type="dxa" w:w="1134"/>
            <w:shd w:val="clear" w:color="auto" w:fill="D6E4F0"/>
          </w:tcPr>
          <w:p>
            <w:r>
              <w:rPr>
                <w:sz w:val="18"/>
              </w:rPr>
              <w:t>Alta</w:t>
            </w:r>
          </w:p>
        </w:tc>
        <w:tc>
          <w:tcPr>
            <w:tcW w:type="dxa" w:w="1134"/>
            <w:shd w:val="clear" w:color="auto" w:fill="D6E4F0"/>
          </w:tcPr>
          <w:p>
            <w:r>
              <w:rPr>
                <w:sz w:val="18"/>
              </w:rPr>
              <w:t>Medio</w:t>
            </w:r>
          </w:p>
        </w:tc>
        <w:tc>
          <w:tcPr>
            <w:tcW w:type="dxa" w:w="4252"/>
            <w:shd w:val="clear" w:color="auto" w:fill="D6E4F0"/>
          </w:tcPr>
          <w:p>
            <w:r>
              <w:rPr>
                <w:sz w:val="18"/>
              </w:rPr>
              <w:t>Prima salarial +3%, contratos indefinidos, buen clima laboral</w:t>
            </w:r>
          </w:p>
        </w:tc>
      </w:tr>
      <w:tr>
        <w:tc>
          <w:tcPr>
            <w:tcW w:type="dxa" w:w="2268"/>
          </w:tcPr>
          <w:p>
            <w:r>
              <w:rPr>
                <w:sz w:val="18"/>
              </w:rPr>
              <w:t>Subrogación con plantilla cara (antigüedad alta)</w:t>
            </w:r>
          </w:p>
        </w:tc>
        <w:tc>
          <w:tcPr>
            <w:tcW w:type="dxa" w:w="1134"/>
          </w:tcPr>
          <w:p>
            <w:r>
              <w:rPr>
                <w:sz w:val="18"/>
              </w:rPr>
              <w:t>Media</w:t>
            </w:r>
          </w:p>
        </w:tc>
        <w:tc>
          <w:tcPr>
            <w:tcW w:type="dxa" w:w="1134"/>
          </w:tcPr>
          <w:p>
            <w:r>
              <w:rPr>
                <w:sz w:val="18"/>
              </w:rPr>
              <w:t>Alto</w:t>
            </w:r>
          </w:p>
        </w:tc>
        <w:tc>
          <w:tcPr>
            <w:tcW w:type="dxa" w:w="4252"/>
          </w:tcPr>
          <w:p>
            <w:r>
              <w:rPr>
                <w:sz w:val="18"/>
              </w:rPr>
              <w:t>Due diligence previa; calcular sobrecoste antes de propuesta</w:t>
            </w:r>
          </w:p>
        </w:tc>
      </w:tr>
      <w:tr>
        <w:tc>
          <w:tcPr>
            <w:tcW w:type="dxa" w:w="2268"/>
            <w:shd w:val="clear" w:color="auto" w:fill="D6E4F0"/>
          </w:tcPr>
          <w:p>
            <w:r>
              <w:rPr>
                <w:sz w:val="18"/>
              </w:rPr>
              <w:t>Morosidad clientes B2C</w:t>
            </w:r>
          </w:p>
        </w:tc>
        <w:tc>
          <w:tcPr>
            <w:tcW w:type="dxa" w:w="1134"/>
            <w:shd w:val="clear" w:color="auto" w:fill="D6E4F0"/>
          </w:tcPr>
          <w:p>
            <w:r>
              <w:rPr>
                <w:sz w:val="18"/>
              </w:rPr>
              <w:t>Baja-Media</w:t>
            </w:r>
          </w:p>
        </w:tc>
        <w:tc>
          <w:tcPr>
            <w:tcW w:type="dxa" w:w="1134"/>
            <w:shd w:val="clear" w:color="auto" w:fill="D6E4F0"/>
          </w:tcPr>
          <w:p>
            <w:r>
              <w:rPr>
                <w:sz w:val="18"/>
              </w:rPr>
              <w:t>Bajo</w:t>
            </w:r>
          </w:p>
        </w:tc>
        <w:tc>
          <w:tcPr>
            <w:tcW w:type="dxa" w:w="4252"/>
            <w:shd w:val="clear" w:color="auto" w:fill="D6E4F0"/>
          </w:tcPr>
          <w:p>
            <w:r>
              <w:rPr>
                <w:sz w:val="18"/>
              </w:rPr>
              <w:t>Cobro domiciliado o anticipado; mínimo 2 servicios de depósito</w:t>
            </w:r>
          </w:p>
        </w:tc>
      </w:tr>
      <w:tr>
        <w:tc>
          <w:tcPr>
            <w:tcW w:type="dxa" w:w="2268"/>
          </w:tcPr>
          <w:p>
            <w:r>
              <w:rPr>
                <w:sz w:val="18"/>
              </w:rPr>
              <w:t>Accidente laboral sin SPA</w:t>
            </w:r>
          </w:p>
        </w:tc>
        <w:tc>
          <w:tcPr>
            <w:tcW w:type="dxa" w:w="1134"/>
          </w:tcPr>
          <w:p>
            <w:r>
              <w:rPr>
                <w:sz w:val="18"/>
              </w:rPr>
              <w:t>Baja</w:t>
            </w:r>
          </w:p>
        </w:tc>
        <w:tc>
          <w:tcPr>
            <w:tcW w:type="dxa" w:w="1134"/>
          </w:tcPr>
          <w:p>
            <w:r>
              <w:rPr>
                <w:sz w:val="18"/>
              </w:rPr>
              <w:t>Muy alto</w:t>
            </w:r>
          </w:p>
        </w:tc>
        <w:tc>
          <w:tcPr>
            <w:tcW w:type="dxa" w:w="4252"/>
          </w:tcPr>
          <w:p>
            <w:r>
              <w:rPr>
                <w:sz w:val="18"/>
              </w:rPr>
              <w:t>Contratar SPA desde el 1er empleado; formación PRL obligatoria</w:t>
            </w:r>
          </w:p>
        </w:tc>
      </w:tr>
      <w:tr>
        <w:tc>
          <w:tcPr>
            <w:tcW w:type="dxa" w:w="2268"/>
            <w:shd w:val="clear" w:color="auto" w:fill="D6E4F0"/>
          </w:tcPr>
          <w:p>
            <w:r>
              <w:rPr>
                <w:sz w:val="18"/>
              </w:rPr>
              <w:t>Nuevo convenio con subida salarial &gt;5%</w:t>
            </w:r>
          </w:p>
        </w:tc>
        <w:tc>
          <w:tcPr>
            <w:tcW w:type="dxa" w:w="1134"/>
            <w:shd w:val="clear" w:color="auto" w:fill="D6E4F0"/>
          </w:tcPr>
          <w:p>
            <w:r>
              <w:rPr>
                <w:sz w:val="18"/>
              </w:rPr>
              <w:t>Media</w:t>
            </w:r>
          </w:p>
        </w:tc>
        <w:tc>
          <w:tcPr>
            <w:tcW w:type="dxa" w:w="1134"/>
            <w:shd w:val="clear" w:color="auto" w:fill="D6E4F0"/>
          </w:tcPr>
          <w:p>
            <w:r>
              <w:rPr>
                <w:sz w:val="18"/>
              </w:rPr>
              <w:t>Medio</w:t>
            </w:r>
          </w:p>
        </w:tc>
        <w:tc>
          <w:tcPr>
            <w:tcW w:type="dxa" w:w="4252"/>
            <w:shd w:val="clear" w:color="auto" w:fill="D6E4F0"/>
          </w:tcPr>
          <w:p>
            <w:r>
              <w:rPr>
                <w:sz w:val="18"/>
              </w:rPr>
              <w:t>Cláusula de revisión de precio en contratos B2B (anual s/IPC+conveio)</w:t>
            </w:r>
          </w:p>
        </w:tc>
      </w:tr>
      <w:tr>
        <w:tc>
          <w:tcPr>
            <w:tcW w:type="dxa" w:w="2268"/>
          </w:tcPr>
          <w:p>
            <w:r>
              <w:rPr>
                <w:sz w:val="18"/>
              </w:rPr>
              <w:t>Competencia precio de grandes empresas</w:t>
            </w:r>
          </w:p>
        </w:tc>
        <w:tc>
          <w:tcPr>
            <w:tcW w:type="dxa" w:w="1134"/>
          </w:tcPr>
          <w:p>
            <w:r>
              <w:rPr>
                <w:sz w:val="18"/>
              </w:rPr>
              <w:t>Alta</w:t>
            </w:r>
          </w:p>
        </w:tc>
        <w:tc>
          <w:tcPr>
            <w:tcW w:type="dxa" w:w="1134"/>
          </w:tcPr>
          <w:p>
            <w:r>
              <w:rPr>
                <w:sz w:val="18"/>
              </w:rPr>
              <w:t>Bajo</w:t>
            </w:r>
          </w:p>
        </w:tc>
        <w:tc>
          <w:tcPr>
            <w:tcW w:type="dxa" w:w="4252"/>
          </w:tcPr>
          <w:p>
            <w:r>
              <w:rPr>
                <w:sz w:val="18"/>
              </w:rPr>
              <w:t>Diferenciación por servicio, no por precio; target PYME, no multinacional</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