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1) ID: Unique Identifier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2) N_Days: number of days between registration and the earlier of death, transplantation, or study analysis time.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3) Status: status of the patient C (censored), CL (censored due to liver tx), or D (death)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4) Drug: type of the drug. D-penicillamine or placebo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5) Age: age in [days]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6) Sex: M (male) or F (female)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7) Ascites: presence of ascites N (No) or Y (Yes)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8) Hepatomegaly: the presence of hepatomegaly N (No) or Y (Yes)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9) Spiders: the presence of spiders N (No) or Y (Yes)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10) Edema: the presence of edema N (no edema and no diuretic therapy for edema), S (edema present without diuretics, or edema resolved by diuretics), or Y (edema despite diuretic therapy)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11) Bilirubin: serum bilirubin in [mg/dl]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12) Cholesterol: serum cholesterol in [mg/dl]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13) Albumin: albumin in [gm/dl]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14) Copper: urine copper in [ug/day]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15) Alk_Phos: alkaline phosphatase in [U/liter]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16) SGOT: SGOT in [U/ml]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17) Triglycerides: triglicerides in [mg/dl]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18) Platelets: platelets per cubic [ml/1000]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19) Prothrombin: prothrombin time in seconds [s]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20) Stage: histologic stage of disease (1, 2, 3, or 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