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PRD: Global Search Across Workspaces</w:t>
      </w:r>
    </w:p>
    <w:p>
      <w:pPr>
        <w:pStyle w:val="Heading2"/>
      </w:pPr>
      <w:r>
        <w:t>Status</w:t>
      </w:r>
    </w:p>
    <w:p>
      <w:r>
        <w:t>Draft — proposed for next-quarter prioritization.</w:t>
      </w:r>
    </w:p>
    <w:p>
      <w:pPr>
        <w:pStyle w:val="Heading2"/>
      </w:pPr>
      <w:r>
        <w:t>Problem</w:t>
      </w:r>
    </w:p>
    <w:p>
      <w:r>
        <w:t>Customers repeatedly request search that spans all their workspaces. Today search is limited to the current workspace, so users cannot find documents owned by other teams. This appears in support tickets, NPS feedback, and customer interviews (e.g. Acme Robotics, Quill Publishing).</w:t>
      </w:r>
    </w:p>
    <w:p>
      <w:pPr>
        <w:pStyle w:val="Heading2"/>
      </w:pPr>
      <w:r>
        <w:t>Proposed Solution</w:t>
      </w:r>
    </w:p>
    <w:p>
      <w:r>
        <w:t>Introduce a global search index across a customer's workspaces with permission-aware result filtering.</w:t>
      </w:r>
    </w:p>
    <w:p>
      <w:pPr>
        <w:pStyle w:val="Heading2"/>
      </w:pPr>
      <w:r>
        <w:t>Success Metrics</w:t>
      </w:r>
    </w:p>
    <w:p>
      <w:r>
        <w:t>Reduce Search-related complaints by 40%; achieve &gt;50% adoption of global search within 60 days of launch.</w:t>
      </w:r>
    </w:p>
    <w:p>
      <w:pPr>
        <w:pStyle w:val="Heading2"/>
      </w:pPr>
      <w:r>
        <w:t>Competitive Note</w:t>
      </w:r>
    </w:p>
    <w:p>
      <w:r>
        <w:t>GridWork already offers this; shipping it defends at-risk enterprise renewals.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