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5E435" w14:textId="77777777" w:rsidR="009B30DB" w:rsidRDefault="00534623">
      <w:pPr>
        <w:spacing w:after="40"/>
      </w:pPr>
      <w:r>
        <w:rPr>
          <w:b/>
          <w:bCs/>
          <w:color w:val="1F3A5F"/>
          <w:sz w:val="44"/>
          <w:szCs w:val="44"/>
        </w:rPr>
        <w:t>AI FinOps POC</w:t>
      </w:r>
    </w:p>
    <w:p w14:paraId="17609F05" w14:textId="3E922125" w:rsidR="009B30DB" w:rsidRDefault="00534623">
      <w:pPr>
        <w:pBdr>
          <w:bottom w:val="single" w:sz="12" w:space="6" w:color="2E75B6"/>
        </w:pBdr>
        <w:spacing w:after="160"/>
      </w:pPr>
      <w:r>
        <w:rPr>
          <w:color w:val="2E75B6"/>
          <w:sz w:val="28"/>
          <w:szCs w:val="28"/>
        </w:rPr>
        <w:t>Langfuse Observability</w:t>
      </w:r>
    </w:p>
    <w:p w14:paraId="70C14D84" w14:textId="4049B0D6" w:rsidR="009B30DB" w:rsidRDefault="00534623">
      <w:pPr>
        <w:spacing w:after="200"/>
      </w:pPr>
      <w:r>
        <w:rPr>
          <w:b/>
          <w:bCs/>
        </w:rPr>
        <w:t xml:space="preserve">Status: </w:t>
      </w:r>
      <w:r>
        <w:t>POC validated; real-time instrumentation is next</w:t>
      </w:r>
    </w:p>
    <w:p w14:paraId="42C7C4D4" w14:textId="77777777" w:rsidR="009B30DB" w:rsidRDefault="00534623">
      <w:pPr>
        <w:pStyle w:val="Heading1"/>
        <w:keepNext/>
        <w:pBdr>
          <w:bottom w:val="single" w:sz="6" w:space="2" w:color="2E75B6"/>
        </w:pBdr>
        <w:spacing w:before="320" w:after="120"/>
      </w:pPr>
      <w:r>
        <w:rPr>
          <w:b/>
          <w:bCs/>
          <w:color w:val="1F3A5F"/>
          <w:sz w:val="30"/>
          <w:szCs w:val="30"/>
        </w:rPr>
        <w:t>Executive Summary</w:t>
      </w:r>
    </w:p>
    <w:p w14:paraId="04D6C6DF" w14:textId="77777777" w:rsidR="009B30DB" w:rsidRDefault="00534623">
      <w:pPr>
        <w:spacing w:after="120" w:line="276" w:lineRule="auto"/>
      </w:pPr>
      <w:r>
        <w:t>Langfuse, an open-source LLM observability platform, is running self-hosted via Docker Compose, so no data leaves our environment. The Telemetry Spec's task / step / call hierarchy has been mapped onto it, and the cost engine has been built and unit-tested.</w:t>
      </w:r>
    </w:p>
    <w:p w14:paraId="3E9801EC" w14:textId="77777777" w:rsidR="009B30DB" w:rsidRDefault="00534623">
      <w:pPr>
        <w:spacing w:after="120" w:line="276" w:lineRule="auto"/>
      </w:pPr>
      <w:r>
        <w:t>Using a simulated workload, the full contract was validated end to end. Any task can be reconstructed from its ID, and cost is reproducible from stored telemetry plus the price-book version.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2436"/>
        <w:gridCol w:w="2437"/>
        <w:gridCol w:w="2437"/>
      </w:tblGrid>
      <w:tr w:rsidR="009B30DB" w14:paraId="01D606AF" w14:textId="77777777">
        <w:tblPrEx>
          <w:tblCellMar>
            <w:top w:w="0" w:type="dxa"/>
            <w:bottom w:w="0" w:type="dxa"/>
          </w:tblCellMar>
        </w:tblPrEx>
        <w:tc>
          <w:tcPr>
            <w:tcW w:w="2436" w:type="dxa"/>
            <w:tcBorders>
              <w:top w:val="single" w:sz="4" w:space="0" w:color="BFBFBF"/>
              <w:left w:val="single" w:sz="4" w:space="0" w:color="BFBFBF"/>
              <w:bottom w:val="single" w:sz="4" w:space="0" w:color="BFBFBF"/>
              <w:right w:val="single" w:sz="4" w:space="0" w:color="BFBFBF"/>
            </w:tcBorders>
            <w:shd w:val="clear" w:color="auto" w:fill="EAF2FA"/>
            <w:tcMar>
              <w:top w:w="120" w:type="dxa"/>
              <w:left w:w="100" w:type="dxa"/>
              <w:bottom w:w="120" w:type="dxa"/>
              <w:right w:w="100" w:type="dxa"/>
            </w:tcMar>
          </w:tcPr>
          <w:p w14:paraId="688E9B51" w14:textId="77777777" w:rsidR="009B30DB" w:rsidRDefault="00534623">
            <w:pPr>
              <w:jc w:val="center"/>
            </w:pPr>
            <w:r>
              <w:rPr>
                <w:b/>
                <w:bCs/>
                <w:color w:val="1F3A5F"/>
                <w:sz w:val="34"/>
                <w:szCs w:val="34"/>
              </w:rPr>
              <w:t>8</w:t>
            </w:r>
          </w:p>
          <w:p w14:paraId="41E9516F" w14:textId="77777777" w:rsidR="009B30DB" w:rsidRDefault="00534623">
            <w:pPr>
              <w:jc w:val="center"/>
            </w:pPr>
            <w:r>
              <w:rPr>
                <w:color w:val="595959"/>
                <w:sz w:val="18"/>
                <w:szCs w:val="18"/>
              </w:rPr>
              <w:t>Task attempts</w:t>
            </w:r>
          </w:p>
        </w:tc>
        <w:tc>
          <w:tcPr>
            <w:tcW w:w="2436" w:type="dxa"/>
            <w:tcBorders>
              <w:top w:val="single" w:sz="4" w:space="0" w:color="BFBFBF"/>
              <w:left w:val="single" w:sz="4" w:space="0" w:color="BFBFBF"/>
              <w:bottom w:val="single" w:sz="4" w:space="0" w:color="BFBFBF"/>
              <w:right w:val="single" w:sz="4" w:space="0" w:color="BFBFBF"/>
            </w:tcBorders>
            <w:shd w:val="clear" w:color="auto" w:fill="EAF2FA"/>
            <w:tcMar>
              <w:top w:w="120" w:type="dxa"/>
              <w:left w:w="100" w:type="dxa"/>
              <w:bottom w:w="120" w:type="dxa"/>
              <w:right w:w="100" w:type="dxa"/>
            </w:tcMar>
          </w:tcPr>
          <w:p w14:paraId="2EE5F574" w14:textId="77777777" w:rsidR="009B30DB" w:rsidRDefault="00534623">
            <w:pPr>
              <w:jc w:val="center"/>
            </w:pPr>
            <w:r>
              <w:rPr>
                <w:b/>
                <w:bCs/>
                <w:color w:val="1F3A5F"/>
                <w:sz w:val="34"/>
                <w:szCs w:val="34"/>
              </w:rPr>
              <w:t>6</w:t>
            </w:r>
          </w:p>
          <w:p w14:paraId="47062CB8" w14:textId="77777777" w:rsidR="009B30DB" w:rsidRDefault="00534623">
            <w:pPr>
              <w:jc w:val="center"/>
            </w:pPr>
            <w:r>
              <w:rPr>
                <w:color w:val="595959"/>
                <w:sz w:val="18"/>
                <w:szCs w:val="18"/>
              </w:rPr>
              <w:t>Accepted</w:t>
            </w:r>
          </w:p>
        </w:tc>
        <w:tc>
          <w:tcPr>
            <w:tcW w:w="2437" w:type="dxa"/>
            <w:tcBorders>
              <w:top w:val="single" w:sz="4" w:space="0" w:color="BFBFBF"/>
              <w:left w:val="single" w:sz="4" w:space="0" w:color="BFBFBF"/>
              <w:bottom w:val="single" w:sz="4" w:space="0" w:color="BFBFBF"/>
              <w:right w:val="single" w:sz="4" w:space="0" w:color="BFBFBF"/>
            </w:tcBorders>
            <w:shd w:val="clear" w:color="auto" w:fill="EAF2FA"/>
            <w:tcMar>
              <w:top w:w="120" w:type="dxa"/>
              <w:left w:w="100" w:type="dxa"/>
              <w:bottom w:w="120" w:type="dxa"/>
              <w:right w:w="100" w:type="dxa"/>
            </w:tcMar>
          </w:tcPr>
          <w:p w14:paraId="52EE76EB" w14:textId="77777777" w:rsidR="009B30DB" w:rsidRDefault="00534623">
            <w:pPr>
              <w:jc w:val="center"/>
            </w:pPr>
            <w:r>
              <w:rPr>
                <w:b/>
                <w:bCs/>
                <w:color w:val="1F3A5F"/>
                <w:sz w:val="34"/>
                <w:szCs w:val="34"/>
              </w:rPr>
              <w:t>75%</w:t>
            </w:r>
          </w:p>
          <w:p w14:paraId="2154FAAD" w14:textId="77777777" w:rsidR="009B30DB" w:rsidRDefault="00534623">
            <w:pPr>
              <w:jc w:val="center"/>
            </w:pPr>
            <w:r>
              <w:rPr>
                <w:color w:val="595959"/>
                <w:sz w:val="18"/>
                <w:szCs w:val="18"/>
              </w:rPr>
              <w:t>Acceptance rate</w:t>
            </w:r>
          </w:p>
        </w:tc>
        <w:tc>
          <w:tcPr>
            <w:tcW w:w="2437" w:type="dxa"/>
            <w:tcBorders>
              <w:top w:val="single" w:sz="4" w:space="0" w:color="BFBFBF"/>
              <w:left w:val="single" w:sz="4" w:space="0" w:color="BFBFBF"/>
              <w:bottom w:val="single" w:sz="4" w:space="0" w:color="BFBFBF"/>
              <w:right w:val="single" w:sz="4" w:space="0" w:color="BFBFBF"/>
            </w:tcBorders>
            <w:shd w:val="clear" w:color="auto" w:fill="EAF2FA"/>
            <w:tcMar>
              <w:top w:w="120" w:type="dxa"/>
              <w:left w:w="100" w:type="dxa"/>
              <w:bottom w:w="120" w:type="dxa"/>
              <w:right w:w="100" w:type="dxa"/>
            </w:tcMar>
          </w:tcPr>
          <w:p w14:paraId="54218880" w14:textId="77777777" w:rsidR="009B30DB" w:rsidRDefault="00534623">
            <w:pPr>
              <w:jc w:val="center"/>
            </w:pPr>
            <w:r>
              <w:rPr>
                <w:b/>
                <w:bCs/>
                <w:color w:val="1F3A5F"/>
                <w:sz w:val="26"/>
                <w:szCs w:val="26"/>
              </w:rPr>
              <w:t>$0.30 / ₹24.96</w:t>
            </w:r>
          </w:p>
          <w:p w14:paraId="257E858C" w14:textId="77777777" w:rsidR="009B30DB" w:rsidRDefault="00534623">
            <w:pPr>
              <w:jc w:val="center"/>
            </w:pPr>
            <w:r>
              <w:rPr>
                <w:color w:val="595959"/>
                <w:sz w:val="18"/>
                <w:szCs w:val="18"/>
              </w:rPr>
              <w:t>Cost per accepted task</w:t>
            </w:r>
          </w:p>
        </w:tc>
      </w:tr>
    </w:tbl>
    <w:p w14:paraId="0ACB0B3E" w14:textId="77777777" w:rsidR="009B30DB" w:rsidRDefault="00534623">
      <w:pPr>
        <w:spacing w:before="80" w:after="120"/>
      </w:pPr>
      <w:r>
        <w:rPr>
          <w:i/>
          <w:iCs/>
          <w:color w:val="595959"/>
          <w:sz w:val="18"/>
          <w:szCs w:val="18"/>
        </w:rPr>
        <w:t>Results from one session; all figures reproduced purely from stored telemetry. Total cost: $1.80 / ₹149.74.</w:t>
      </w:r>
    </w:p>
    <w:p w14:paraId="2A7B0EB0" w14:textId="18D16E8C" w:rsidR="009B30DB" w:rsidRDefault="00534623">
      <w:pPr>
        <w:spacing w:after="120" w:line="276" w:lineRule="auto"/>
      </w:pPr>
      <w:r>
        <w:rPr>
          <w:b/>
          <w:bCs/>
        </w:rPr>
        <w:t xml:space="preserve">Next: </w:t>
      </w:r>
      <w:r>
        <w:t xml:space="preserve">wire real agent traffic through an OpenTelemetry </w:t>
      </w:r>
      <w:r w:rsidR="0001586A">
        <w:t>collector and</w:t>
      </w:r>
      <w:r>
        <w:t xml:space="preserve"> formalise cost computation and AWS bill reconciliation.</w:t>
      </w:r>
    </w:p>
    <w:p w14:paraId="4DEF3325" w14:textId="77777777" w:rsidR="009B30DB" w:rsidRDefault="00534623">
      <w:pPr>
        <w:pStyle w:val="Heading1"/>
        <w:keepNext/>
        <w:pBdr>
          <w:bottom w:val="single" w:sz="6" w:space="2" w:color="2E75B6"/>
        </w:pBdr>
        <w:spacing w:before="320" w:after="120"/>
      </w:pPr>
      <w:r>
        <w:rPr>
          <w:b/>
          <w:bCs/>
          <w:color w:val="1F3A5F"/>
          <w:sz w:val="30"/>
          <w:szCs w:val="30"/>
        </w:rPr>
        <w:t>1. What is Langfuse</w:t>
      </w:r>
    </w:p>
    <w:p w14:paraId="6C89EC64" w14:textId="77777777" w:rsidR="009B30DB" w:rsidRDefault="00534623">
      <w:pPr>
        <w:spacing w:after="120" w:line="276" w:lineRule="auto"/>
      </w:pPr>
      <w:r>
        <w:t>Langfuse is an open-source LLM observability and tracing platform, effectively “APM for AI workloads.” It captures every model, tool and retrieval call an AI system makes, groups them into traces and sessions, and attaches usage, cost, latency, user and custom metadata.</w:t>
      </w:r>
    </w:p>
    <w:p w14:paraId="023EA7AD" w14:textId="77777777" w:rsidR="009B30DB" w:rsidRDefault="00534623">
      <w:pPr>
        <w:spacing w:after="120" w:line="276" w:lineRule="auto"/>
      </w:pPr>
      <w:r>
        <w:t>It provides dashboards, trace drill-down, user and session views, cost-by-model breakdowns, and quality / evaluation scores.</w:t>
      </w:r>
    </w:p>
    <w:p w14:paraId="38B34854" w14:textId="77777777" w:rsidR="009B30DB" w:rsidRDefault="00534623">
      <w:pPr>
        <w:pStyle w:val="Heading2"/>
        <w:keepNext/>
        <w:spacing w:before="200" w:after="80"/>
      </w:pPr>
      <w:r>
        <w:rPr>
          <w:b/>
          <w:bCs/>
          <w:color w:val="2E75B6"/>
          <w:sz w:val="24"/>
          <w:szCs w:val="24"/>
        </w:rPr>
        <w:t>Architecture</w:t>
      </w:r>
    </w:p>
    <w:p w14:paraId="50EA8600" w14:textId="77777777" w:rsidR="009B30DB" w:rsidRDefault="00534623">
      <w:pPr>
        <w:keepNext/>
        <w:spacing w:after="120" w:line="276" w:lineRule="auto"/>
      </w:pPr>
      <w:r>
        <w:t>Langfuse runs as a small set of containers: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9B30DB" w14:paraId="1F328823"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5023836B" w14:textId="77777777" w:rsidR="009B30DB" w:rsidRDefault="00534623">
            <w:r>
              <w:rPr>
                <w:b/>
                <w:bCs/>
                <w:color w:val="FFFFFF"/>
                <w:sz w:val="21"/>
                <w:szCs w:val="21"/>
              </w:rPr>
              <w:t>Component</w:t>
            </w:r>
          </w:p>
        </w:tc>
        <w:tc>
          <w:tcPr>
            <w:tcW w:w="7546"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7D757C67" w14:textId="77777777" w:rsidR="009B30DB" w:rsidRDefault="00534623">
            <w:r>
              <w:rPr>
                <w:b/>
                <w:bCs/>
                <w:color w:val="FFFFFF"/>
                <w:sz w:val="21"/>
                <w:szCs w:val="21"/>
              </w:rPr>
              <w:t>Role</w:t>
            </w:r>
          </w:p>
        </w:tc>
      </w:tr>
      <w:tr w:rsidR="009B30DB" w14:paraId="3E20038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9D5EFC" w14:textId="77777777" w:rsidR="009B30DB" w:rsidRDefault="00534623">
            <w:r>
              <w:rPr>
                <w:b/>
                <w:bCs/>
                <w:sz w:val="21"/>
                <w:szCs w:val="21"/>
              </w:rPr>
              <w:t>Web</w:t>
            </w:r>
          </w:p>
        </w:tc>
        <w:tc>
          <w:tcPr>
            <w:tcW w:w="7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51D332" w14:textId="77777777" w:rsidR="009B30DB" w:rsidRDefault="00534623">
            <w:r>
              <w:rPr>
                <w:sz w:val="21"/>
                <w:szCs w:val="21"/>
              </w:rPr>
              <w:t>UI and API / ingestion endpoint</w:t>
            </w:r>
          </w:p>
        </w:tc>
      </w:tr>
      <w:tr w:rsidR="009B30DB" w14:paraId="0BBBCAD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6D331346" w14:textId="77777777" w:rsidR="009B30DB" w:rsidRDefault="00534623">
            <w:r>
              <w:rPr>
                <w:b/>
                <w:bCs/>
                <w:sz w:val="21"/>
                <w:szCs w:val="21"/>
              </w:rPr>
              <w:t>Worker</w:t>
            </w:r>
          </w:p>
        </w:tc>
        <w:tc>
          <w:tcPr>
            <w:tcW w:w="75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B775319" w14:textId="77777777" w:rsidR="009B30DB" w:rsidRDefault="00534623">
            <w:r>
              <w:rPr>
                <w:sz w:val="21"/>
                <w:szCs w:val="21"/>
              </w:rPr>
              <w:t>Asynchronous processing of ingested events</w:t>
            </w:r>
          </w:p>
        </w:tc>
      </w:tr>
      <w:tr w:rsidR="009B30DB" w14:paraId="5FD218D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623F86" w14:textId="77777777" w:rsidR="009B30DB" w:rsidRDefault="00534623">
            <w:r>
              <w:rPr>
                <w:b/>
                <w:bCs/>
                <w:sz w:val="21"/>
                <w:szCs w:val="21"/>
              </w:rPr>
              <w:t>Postgres</w:t>
            </w:r>
          </w:p>
        </w:tc>
        <w:tc>
          <w:tcPr>
            <w:tcW w:w="7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2BDD35" w14:textId="77777777" w:rsidR="009B30DB" w:rsidRDefault="00534623">
            <w:r>
              <w:rPr>
                <w:sz w:val="21"/>
                <w:szCs w:val="21"/>
              </w:rPr>
              <w:t>Application metadata: users, projects, API keys</w:t>
            </w:r>
          </w:p>
        </w:tc>
      </w:tr>
      <w:tr w:rsidR="009B30DB" w14:paraId="548A1CD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1A0EC63F" w14:textId="77777777" w:rsidR="009B30DB" w:rsidRDefault="00534623">
            <w:r>
              <w:rPr>
                <w:b/>
                <w:bCs/>
                <w:sz w:val="21"/>
                <w:szCs w:val="21"/>
              </w:rPr>
              <w:t>ClickHouse</w:t>
            </w:r>
          </w:p>
        </w:tc>
        <w:tc>
          <w:tcPr>
            <w:tcW w:w="75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43D81AD4" w14:textId="77777777" w:rsidR="009B30DB" w:rsidRDefault="00534623">
            <w:r>
              <w:rPr>
                <w:sz w:val="21"/>
                <w:szCs w:val="21"/>
              </w:rPr>
              <w:t>High-volume analytics store for traces, observations and scores</w:t>
            </w:r>
          </w:p>
        </w:tc>
      </w:tr>
      <w:tr w:rsidR="009B30DB" w14:paraId="123DC85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815E8A" w14:textId="77777777" w:rsidR="009B30DB" w:rsidRDefault="00534623">
            <w:r>
              <w:rPr>
                <w:b/>
                <w:bCs/>
                <w:sz w:val="21"/>
                <w:szCs w:val="21"/>
              </w:rPr>
              <w:t>Redis</w:t>
            </w:r>
          </w:p>
        </w:tc>
        <w:tc>
          <w:tcPr>
            <w:tcW w:w="7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14A654" w14:textId="77777777" w:rsidR="009B30DB" w:rsidRDefault="00534623">
            <w:r>
              <w:rPr>
                <w:sz w:val="21"/>
                <w:szCs w:val="21"/>
              </w:rPr>
              <w:t>Queue and cache</w:t>
            </w:r>
          </w:p>
        </w:tc>
      </w:tr>
      <w:tr w:rsidR="009B30DB" w14:paraId="4DBFB65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673AC987" w14:textId="77777777" w:rsidR="009B30DB" w:rsidRDefault="00534623">
            <w:r>
              <w:rPr>
                <w:b/>
                <w:bCs/>
                <w:sz w:val="21"/>
                <w:szCs w:val="21"/>
              </w:rPr>
              <w:t>MinIO</w:t>
            </w:r>
          </w:p>
        </w:tc>
        <w:tc>
          <w:tcPr>
            <w:tcW w:w="75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55234C8" w14:textId="77777777" w:rsidR="009B30DB" w:rsidRDefault="00534623">
            <w:r>
              <w:rPr>
                <w:sz w:val="21"/>
                <w:szCs w:val="21"/>
              </w:rPr>
              <w:t>S3-compatible blob storage for event payloads</w:t>
            </w:r>
          </w:p>
        </w:tc>
      </w:tr>
    </w:tbl>
    <w:p w14:paraId="4EC33811" w14:textId="77777777" w:rsidR="009B30DB" w:rsidRDefault="00534623">
      <w:pPr>
        <w:spacing w:before="160"/>
      </w:pPr>
      <w:r>
        <w:rPr>
          <w:b/>
          <w:bCs/>
        </w:rPr>
        <w:t xml:space="preserve">Data flow: </w:t>
      </w:r>
      <w:r>
        <w:t>Application SDK → Web ingestion → Worker → ClickHouse; the UI reads back from ClickHouse.</w:t>
      </w:r>
    </w:p>
    <w:p w14:paraId="324AC5CF" w14:textId="77777777" w:rsidR="009B30DB" w:rsidRDefault="00534623">
      <w:pPr>
        <w:pStyle w:val="Heading1"/>
        <w:keepNext/>
        <w:pBdr>
          <w:bottom w:val="single" w:sz="6" w:space="2" w:color="2E75B6"/>
        </w:pBdr>
        <w:spacing w:before="320" w:after="120"/>
      </w:pPr>
      <w:r>
        <w:rPr>
          <w:b/>
          <w:bCs/>
          <w:color w:val="1F3A5F"/>
          <w:sz w:val="30"/>
          <w:szCs w:val="30"/>
        </w:rPr>
        <w:lastRenderedPageBreak/>
        <w:t>2. How Langfuse is Used in Our Process</w:t>
      </w:r>
    </w:p>
    <w:p w14:paraId="799363AC" w14:textId="77777777" w:rsidR="009B30DB" w:rsidRDefault="00534623">
      <w:pPr>
        <w:keepNext/>
        <w:spacing w:after="120" w:line="276" w:lineRule="auto"/>
      </w:pPr>
      <w:r>
        <w:t>Our spec’s four-level accounting hierarchy is mapped directly onto Langfuse’s data model using the Langfuse Python SDK: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300"/>
        <w:gridCol w:w="3546"/>
      </w:tblGrid>
      <w:tr w:rsidR="009B30DB" w14:paraId="52A266DE"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2663B6A5" w14:textId="77777777" w:rsidR="009B30DB" w:rsidRDefault="00534623">
            <w:r>
              <w:rPr>
                <w:b/>
                <w:bCs/>
                <w:color w:val="FFFFFF"/>
                <w:sz w:val="21"/>
                <w:szCs w:val="21"/>
              </w:rPr>
              <w:t>Spec level</w:t>
            </w:r>
          </w:p>
        </w:tc>
        <w:tc>
          <w:tcPr>
            <w:tcW w:w="43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5A62A6D7" w14:textId="77777777" w:rsidR="009B30DB" w:rsidRDefault="00534623">
            <w:r>
              <w:rPr>
                <w:b/>
                <w:bCs/>
                <w:color w:val="FFFFFF"/>
                <w:sz w:val="21"/>
                <w:szCs w:val="21"/>
              </w:rPr>
              <w:t>Meaning</w:t>
            </w:r>
          </w:p>
        </w:tc>
        <w:tc>
          <w:tcPr>
            <w:tcW w:w="3546"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15A76A36" w14:textId="77777777" w:rsidR="009B30DB" w:rsidRDefault="00534623">
            <w:r>
              <w:rPr>
                <w:b/>
                <w:bCs/>
                <w:color w:val="FFFFFF"/>
                <w:sz w:val="21"/>
                <w:szCs w:val="21"/>
              </w:rPr>
              <w:t>Langfuse mapping</w:t>
            </w:r>
          </w:p>
        </w:tc>
      </w:tr>
      <w:tr w:rsidR="009B30DB" w14:paraId="3AFB4E3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5136E7" w14:textId="77777777" w:rsidR="009B30DB" w:rsidRDefault="00534623">
            <w:r>
              <w:rPr>
                <w:b/>
                <w:bCs/>
                <w:sz w:val="21"/>
                <w:szCs w:val="21"/>
              </w:rPr>
              <w:t>Session</w:t>
            </w:r>
          </w:p>
        </w:tc>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B4171B" w14:textId="77777777" w:rsidR="009B30DB" w:rsidRDefault="00534623">
            <w:r>
              <w:rPr>
                <w:sz w:val="21"/>
                <w:szCs w:val="21"/>
              </w:rPr>
              <w:t>Session / conversation</w:t>
            </w:r>
          </w:p>
        </w:tc>
        <w:tc>
          <w:tcPr>
            <w:tcW w:w="3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E742D2" w14:textId="77777777" w:rsidR="009B30DB" w:rsidRDefault="00534623">
            <w:r>
              <w:rPr>
                <w:sz w:val="21"/>
                <w:szCs w:val="21"/>
              </w:rPr>
              <w:t>Langfuse session</w:t>
            </w:r>
          </w:p>
        </w:tc>
      </w:tr>
      <w:tr w:rsidR="009B30DB" w14:paraId="49564AF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5F4DC0A" w14:textId="77777777" w:rsidR="009B30DB" w:rsidRDefault="00534623">
            <w:r>
              <w:rPr>
                <w:b/>
                <w:bCs/>
                <w:sz w:val="21"/>
                <w:szCs w:val="21"/>
              </w:rPr>
              <w:t>Task</w:t>
            </w:r>
          </w:p>
        </w:tc>
        <w:tc>
          <w:tcPr>
            <w:tcW w:w="4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2DAA44B9" w14:textId="77777777" w:rsidR="009B30DB" w:rsidRDefault="00534623">
            <w:r>
              <w:rPr>
                <w:sz w:val="21"/>
                <w:szCs w:val="21"/>
              </w:rPr>
              <w:t>Unit of accounting (accepted / rejected)</w:t>
            </w:r>
          </w:p>
        </w:tc>
        <w:tc>
          <w:tcPr>
            <w:tcW w:w="35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781B45EB" w14:textId="77777777" w:rsidR="009B30DB" w:rsidRDefault="00534623">
            <w:r>
              <w:rPr>
                <w:sz w:val="21"/>
                <w:szCs w:val="21"/>
              </w:rPr>
              <w:t>One trace, joined by task.id</w:t>
            </w:r>
          </w:p>
        </w:tc>
      </w:tr>
      <w:tr w:rsidR="009B30DB" w14:paraId="323FEFC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86FD04" w14:textId="77777777" w:rsidR="009B30DB" w:rsidRDefault="00534623">
            <w:r>
              <w:rPr>
                <w:b/>
                <w:bCs/>
                <w:sz w:val="21"/>
                <w:szCs w:val="21"/>
              </w:rPr>
              <w:t>Step</w:t>
            </w:r>
          </w:p>
        </w:tc>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A52BA9" w14:textId="77777777" w:rsidR="009B30DB" w:rsidRDefault="00534623">
            <w:r>
              <w:rPr>
                <w:sz w:val="21"/>
                <w:szCs w:val="21"/>
              </w:rPr>
              <w:t>One agent-loop iteration</w:t>
            </w:r>
          </w:p>
        </w:tc>
        <w:tc>
          <w:tcPr>
            <w:tcW w:w="3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88EEDA" w14:textId="77777777" w:rsidR="009B30DB" w:rsidRDefault="00534623">
            <w:r>
              <w:rPr>
                <w:sz w:val="21"/>
                <w:szCs w:val="21"/>
              </w:rPr>
              <w:t>Span</w:t>
            </w:r>
          </w:p>
        </w:tc>
      </w:tr>
      <w:tr w:rsidR="009B30DB" w14:paraId="3FF2AEB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59DF2D57" w14:textId="77777777" w:rsidR="009B30DB" w:rsidRDefault="00534623">
            <w:r>
              <w:rPr>
                <w:b/>
                <w:bCs/>
                <w:sz w:val="21"/>
                <w:szCs w:val="21"/>
              </w:rPr>
              <w:t>Call</w:t>
            </w:r>
          </w:p>
        </w:tc>
        <w:tc>
          <w:tcPr>
            <w:tcW w:w="43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61DB4057" w14:textId="77777777" w:rsidR="009B30DB" w:rsidRDefault="00534623">
            <w:r>
              <w:rPr>
                <w:sz w:val="21"/>
                <w:szCs w:val="21"/>
              </w:rPr>
              <w:t>Model, tool, retrieval, rerank, guardrail</w:t>
            </w:r>
          </w:p>
        </w:tc>
        <w:tc>
          <w:tcPr>
            <w:tcW w:w="3546" w:type="dxa"/>
            <w:tcBorders>
              <w:top w:val="single" w:sz="4" w:space="0" w:color="BFBFBF"/>
              <w:left w:val="single" w:sz="4" w:space="0" w:color="BFBFBF"/>
              <w:bottom w:val="single" w:sz="4" w:space="0" w:color="BFBFBF"/>
              <w:right w:val="single" w:sz="4" w:space="0" w:color="BFBFBF"/>
            </w:tcBorders>
            <w:shd w:val="clear" w:color="auto" w:fill="F7F9FC"/>
            <w:tcMar>
              <w:top w:w="80" w:type="dxa"/>
              <w:left w:w="120" w:type="dxa"/>
              <w:bottom w:w="80" w:type="dxa"/>
              <w:right w:w="120" w:type="dxa"/>
            </w:tcMar>
          </w:tcPr>
          <w:p w14:paraId="33402C5D" w14:textId="77777777" w:rsidR="009B30DB" w:rsidRDefault="00534623">
            <w:r>
              <w:rPr>
                <w:sz w:val="21"/>
                <w:szCs w:val="21"/>
              </w:rPr>
              <w:t>Observation</w:t>
            </w:r>
          </w:p>
        </w:tc>
      </w:tr>
    </w:tbl>
    <w:p w14:paraId="5C24C45F" w14:textId="77777777" w:rsidR="009B30DB" w:rsidRDefault="00534623">
      <w:pPr>
        <w:pStyle w:val="Heading2"/>
        <w:keepNext/>
        <w:spacing w:before="200" w:after="80"/>
      </w:pPr>
      <w:r>
        <w:rPr>
          <w:b/>
          <w:bCs/>
          <w:color w:val="2E75B6"/>
          <w:sz w:val="24"/>
          <w:szCs w:val="24"/>
        </w:rPr>
        <w:t>Telemetry attributes</w:t>
      </w:r>
    </w:p>
    <w:p w14:paraId="098E44F6" w14:textId="77777777" w:rsidR="009B30DB" w:rsidRDefault="00534623">
      <w:pPr>
        <w:spacing w:before="160" w:after="80"/>
      </w:pPr>
      <w:r>
        <w:t>Every call is stamped with the exact attributes from the Telemetry Spec:</w:t>
      </w:r>
    </w:p>
    <w:p w14:paraId="31F839AE" w14:textId="77777777" w:rsidR="009B30DB" w:rsidRDefault="00534623">
      <w:pPr>
        <w:pStyle w:val="ListParagraph"/>
        <w:numPr>
          <w:ilvl w:val="0"/>
          <w:numId w:val="2"/>
        </w:numPr>
        <w:spacing w:after="80" w:line="276" w:lineRule="auto"/>
      </w:pPr>
      <w:r>
        <w:rPr>
          <w:b/>
          <w:bCs/>
        </w:rPr>
        <w:t xml:space="preserve">OTel GenAI fields: </w:t>
      </w:r>
      <w:r>
        <w:t>gen_ai.operation.name, gen_ai.provider.name, gen_ai.request / response.model, and token usage including cache read / write and reasoning.</w:t>
      </w:r>
    </w:p>
    <w:p w14:paraId="1AC9976A" w14:textId="77777777" w:rsidR="009B30DB" w:rsidRDefault="00534623">
      <w:pPr>
        <w:pStyle w:val="ListParagraph"/>
        <w:numPr>
          <w:ilvl w:val="0"/>
          <w:numId w:val="2"/>
        </w:numPr>
        <w:spacing w:after="80" w:line="276" w:lineRule="auto"/>
      </w:pPr>
      <w:r>
        <w:rPr>
          <w:b/>
          <w:bCs/>
        </w:rPr>
        <w:t xml:space="preserve">Custom fields: </w:t>
      </w:r>
      <w:r>
        <w:t>tenant.id, task.id, task.type, task.attempt, task.parent_id, cost.component, cost.price_book_version, pricing.tier, aws.bedrock.inference_profile_arn.</w:t>
      </w:r>
    </w:p>
    <w:p w14:paraId="42C270C2" w14:textId="77777777" w:rsidR="009B30DB" w:rsidRDefault="00534623">
      <w:pPr>
        <w:pStyle w:val="ListParagraph"/>
        <w:numPr>
          <w:ilvl w:val="0"/>
          <w:numId w:val="2"/>
        </w:numPr>
        <w:spacing w:after="80" w:line="276" w:lineRule="auto"/>
      </w:pPr>
      <w:r>
        <w:rPr>
          <w:b/>
          <w:bCs/>
        </w:rPr>
        <w:t xml:space="preserve">Acceptance: </w:t>
      </w:r>
      <w:r>
        <w:t>task.accepted / accepted_by is recorded as a late-arriving score, joined back by task.id, as the spec requires.</w:t>
      </w:r>
    </w:p>
    <w:p w14:paraId="386CA59C" w14:textId="77777777" w:rsidR="009B30DB" w:rsidRDefault="00534623">
      <w:pPr>
        <w:pStyle w:val="Heading2"/>
        <w:keepNext/>
        <w:spacing w:before="200" w:after="80"/>
      </w:pPr>
      <w:r>
        <w:rPr>
          <w:b/>
          <w:bCs/>
          <w:color w:val="2E75B6"/>
          <w:sz w:val="24"/>
          <w:szCs w:val="24"/>
        </w:rPr>
        <w:t>Cost computation</w:t>
      </w:r>
    </w:p>
    <w:p w14:paraId="3B1A1110" w14:textId="77777777" w:rsidR="009B30DB" w:rsidRDefault="00534623">
      <w:pPr>
        <w:spacing w:after="120" w:line="276" w:lineRule="auto"/>
      </w:pPr>
      <w:r>
        <w:t>Cost is computed in a collector module from a versioned price book and is never hard-coded in the application. It produces cost.usd_computed and cost.inr_computed under the spec’s design rules: cache tokens are not double-counted, and reasoning tokens are treated as a subset of output.</w:t>
      </w:r>
    </w:p>
    <w:p w14:paraId="311BC509" w14:textId="4B9FFFA1" w:rsidR="0001586A" w:rsidRDefault="0001586A">
      <w:pPr>
        <w:spacing w:after="120" w:line="276" w:lineRule="auto"/>
      </w:pPr>
      <w:r w:rsidRPr="0001586A">
        <w:drawing>
          <wp:inline distT="0" distB="0" distL="0" distR="0" wp14:anchorId="541EA69E" wp14:editId="0907DE09">
            <wp:extent cx="6188710" cy="3594735"/>
            <wp:effectExtent l="0" t="0" r="2540" b="5715"/>
            <wp:docPr id="41950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06310" name=""/>
                    <pic:cNvPicPr/>
                  </pic:nvPicPr>
                  <pic:blipFill>
                    <a:blip r:embed="rId7"/>
                    <a:stretch>
                      <a:fillRect/>
                    </a:stretch>
                  </pic:blipFill>
                  <pic:spPr>
                    <a:xfrm>
                      <a:off x="0" y="0"/>
                      <a:ext cx="6188710" cy="3594735"/>
                    </a:xfrm>
                    <a:prstGeom prst="rect">
                      <a:avLst/>
                    </a:prstGeom>
                  </pic:spPr>
                </pic:pic>
              </a:graphicData>
            </a:graphic>
          </wp:inline>
        </w:drawing>
      </w:r>
    </w:p>
    <w:p w14:paraId="720D5FE9" w14:textId="77777777" w:rsidR="009B30DB" w:rsidRDefault="00534623">
      <w:pPr>
        <w:pStyle w:val="Heading1"/>
        <w:keepNext/>
        <w:pBdr>
          <w:bottom w:val="single" w:sz="6" w:space="2" w:color="2E75B6"/>
        </w:pBdr>
        <w:spacing w:before="320" w:after="120"/>
      </w:pPr>
      <w:r>
        <w:rPr>
          <w:b/>
          <w:bCs/>
          <w:color w:val="1F3A5F"/>
          <w:sz w:val="30"/>
          <w:szCs w:val="30"/>
        </w:rPr>
        <w:lastRenderedPageBreak/>
        <w:t>3. POC Results: Task and Trace Accounting</w:t>
      </w:r>
    </w:p>
    <w:p w14:paraId="06256A54" w14:textId="77777777" w:rsidR="009B30DB" w:rsidRDefault="00534623">
      <w:pPr>
        <w:pStyle w:val="Heading2"/>
        <w:keepNext/>
        <w:spacing w:before="200" w:after="80"/>
      </w:pPr>
      <w:r>
        <w:rPr>
          <w:b/>
          <w:bCs/>
          <w:color w:val="2E75B6"/>
          <w:sz w:val="24"/>
          <w:szCs w:val="24"/>
        </w:rPr>
        <w:t>Test approach</w:t>
      </w:r>
    </w:p>
    <w:p w14:paraId="646CD595" w14:textId="77777777" w:rsidR="009B30DB" w:rsidRDefault="00534623">
      <w:pPr>
        <w:spacing w:after="120" w:line="276" w:lineRule="auto"/>
      </w:pPr>
      <w:r>
        <w:t>The workload is simulated. A Python script generates a representative mix of all task types: SIMPLE_QA, RAG_QA, AGENT_TOOL_TASK, CODE_GENERATION and EVALUATION_JUDGE. It includes failed and retried attempts, which correctly stay in the cost numerator, and different pricing tiers.</w:t>
      </w:r>
    </w:p>
    <w:p w14:paraId="3E4A9064" w14:textId="77777777" w:rsidR="009B30DB" w:rsidRDefault="00534623">
      <w:pPr>
        <w:spacing w:after="120" w:line="276" w:lineRule="auto"/>
      </w:pPr>
      <w:r>
        <w:t>The telemetry schema and cost logic are real and unit-tested. Only the token counts are canned sample values rather than live model responses, which allowed the full contract to be validated deterministically.</w:t>
      </w:r>
    </w:p>
    <w:p w14:paraId="4D922F4F" w14:textId="77777777" w:rsidR="009B30DB" w:rsidRDefault="00534623">
      <w:pPr>
        <w:pStyle w:val="Heading2"/>
        <w:keepNext/>
        <w:spacing w:before="200" w:after="80"/>
      </w:pPr>
      <w:r>
        <w:rPr>
          <w:b/>
          <w:bCs/>
          <w:color w:val="2E75B6"/>
          <w:sz w:val="24"/>
          <w:szCs w:val="24"/>
        </w:rPr>
        <w:t>Verified result</w:t>
      </w:r>
    </w:p>
    <w:p w14:paraId="7C2DC183" w14:textId="77777777" w:rsidR="009B30DB" w:rsidRDefault="00534623">
      <w:pPr>
        <w:pStyle w:val="ListParagraph"/>
        <w:numPr>
          <w:ilvl w:val="0"/>
          <w:numId w:val="2"/>
        </w:numPr>
        <w:spacing w:after="80" w:line="276" w:lineRule="auto"/>
      </w:pPr>
      <w:r>
        <w:t>Across one session: 8 task attempts, 6 accepted, giving an acceptance rate of 0.75.</w:t>
      </w:r>
    </w:p>
    <w:p w14:paraId="0265BA4D" w14:textId="77777777" w:rsidR="009B30DB" w:rsidRDefault="00534623">
      <w:pPr>
        <w:pStyle w:val="ListParagraph"/>
        <w:numPr>
          <w:ilvl w:val="0"/>
          <w:numId w:val="2"/>
        </w:numPr>
        <w:spacing w:after="80" w:line="276" w:lineRule="auto"/>
      </w:pPr>
      <w:r>
        <w:t>Total cost: $1.80 / ₹149.74. Cost per accepted task: approximately $0.30 / ₹24.96.</w:t>
      </w:r>
    </w:p>
    <w:p w14:paraId="13A8CB41" w14:textId="77777777" w:rsidR="009B30DB" w:rsidRDefault="00534623">
      <w:pPr>
        <w:pStyle w:val="ListParagraph"/>
        <w:numPr>
          <w:ilvl w:val="0"/>
          <w:numId w:val="2"/>
        </w:numPr>
        <w:spacing w:after="80" w:line="276" w:lineRule="auto"/>
      </w:pPr>
      <w:r>
        <w:t>This meets the spec’s acceptance criteria: a task can be reconstructed from its ID, and cost is reproducible from telemetry and price-book version.</w:t>
      </w:r>
    </w:p>
    <w:p w14:paraId="4D8A47B1" w14:textId="77777777" w:rsidR="009B30DB" w:rsidRDefault="00534623">
      <w:pPr>
        <w:pStyle w:val="Heading2"/>
        <w:keepNext/>
        <w:spacing w:before="200" w:after="80"/>
      </w:pPr>
      <w:r>
        <w:rPr>
          <w:b/>
          <w:bCs/>
          <w:color w:val="2E75B6"/>
          <w:sz w:val="24"/>
          <w:szCs w:val="24"/>
        </w:rPr>
        <w:t>3.1 Home dashboard (overview)</w:t>
      </w:r>
    </w:p>
    <w:p w14:paraId="192C3166" w14:textId="77777777" w:rsidR="00A51E41" w:rsidRDefault="00534623" w:rsidP="00A51E41">
      <w:pPr>
        <w:keepNext/>
        <w:spacing w:after="120" w:line="276" w:lineRule="auto"/>
      </w:pPr>
      <w:r>
        <w:t>Shows the model cost for the window ($0.19), user consumption (token cost), error and default observation counts, and the Scores panel plotting task.accepted and cost.usd_computed.</w:t>
      </w:r>
      <w:r w:rsidR="00A51E41">
        <w:t xml:space="preserve"> </w:t>
      </w:r>
      <w:r w:rsidR="00A51E41">
        <w:t xml:space="preserve">The dashboard also shows 18 traces, 124 observations and 16 scores. Model costs are broken down by model (Claude 3.5 Sonnet, Claude 3 </w:t>
      </w:r>
      <w:r w:rsidR="00A51E41">
        <w:lastRenderedPageBreak/>
        <w:t>Haiku, Titan Embed) with tokens and USD, and a traces-by-type chart covers RAG_QA, CODE_GENERATION, SIMPLE_QA, AGENT_TOOL_TASK and EVALUATION_JUDGE.</w:t>
      </w:r>
    </w:p>
    <w:p w14:paraId="4CED424B" w14:textId="4F6FDA8A" w:rsidR="009B30DB" w:rsidRDefault="009B30DB">
      <w:pPr>
        <w:keepNext/>
        <w:spacing w:after="120" w:line="276" w:lineRule="auto"/>
      </w:pPr>
    </w:p>
    <w:p w14:paraId="45150DCA" w14:textId="77777777" w:rsidR="009B30DB" w:rsidRDefault="00534623">
      <w:pPr>
        <w:keepNext/>
        <w:spacing w:before="120" w:after="60"/>
        <w:jc w:val="center"/>
      </w:pPr>
      <w:r>
        <w:rPr>
          <w:noProof/>
        </w:rPr>
        <w:drawing>
          <wp:inline distT="0" distB="0" distL="0" distR="0" wp14:anchorId="02601A6D" wp14:editId="3BE28411">
            <wp:extent cx="5715000" cy="3086100"/>
            <wp:effectExtent l="0" t="0" r="0" b="0"/>
            <wp:docPr id="1" name="fig1" descr="Figure 1: Langfuse home dashboard" title="Figure 1: Langfuse hom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86100"/>
                    </a:xfrm>
                    <a:prstGeom prst="rect">
                      <a:avLst/>
                    </a:prstGeom>
                  </pic:spPr>
                </pic:pic>
              </a:graphicData>
            </a:graphic>
          </wp:inline>
        </w:drawing>
      </w:r>
    </w:p>
    <w:p w14:paraId="30F3F81C" w14:textId="77777777" w:rsidR="009B30DB" w:rsidRDefault="00534623">
      <w:pPr>
        <w:keepNext/>
        <w:spacing w:before="120" w:after="60"/>
        <w:jc w:val="center"/>
      </w:pPr>
      <w:r>
        <w:rPr>
          <w:noProof/>
        </w:rPr>
        <w:drawing>
          <wp:inline distT="0" distB="0" distL="0" distR="0" wp14:anchorId="7BF14A0E" wp14:editId="72B2EFAC">
            <wp:extent cx="5715000" cy="3228975"/>
            <wp:effectExtent l="0" t="0" r="0" b="0"/>
            <wp:docPr id="70841850" name="fig2" descr="Figure 2: Model costs and traces by type" title="Figure 2: Model costs and traces by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28975"/>
                    </a:xfrm>
                    <a:prstGeom prst="rect">
                      <a:avLst/>
                    </a:prstGeom>
                  </pic:spPr>
                </pic:pic>
              </a:graphicData>
            </a:graphic>
          </wp:inline>
        </w:drawing>
      </w:r>
    </w:p>
    <w:p w14:paraId="227BB56D" w14:textId="77777777" w:rsidR="00534623" w:rsidRDefault="00534623" w:rsidP="00534623">
      <w:pPr>
        <w:spacing w:after="200"/>
        <w:jc w:val="center"/>
      </w:pPr>
      <w:r>
        <w:rPr>
          <w:i/>
          <w:iCs/>
          <w:color w:val="595959"/>
          <w:sz w:val="18"/>
          <w:szCs w:val="18"/>
        </w:rPr>
        <w:t>Figure 1: Langfuse home dashboard</w:t>
      </w:r>
    </w:p>
    <w:p w14:paraId="78D1C4E6" w14:textId="77777777" w:rsidR="00534623" w:rsidRDefault="00534623">
      <w:pPr>
        <w:keepNext/>
        <w:spacing w:before="120" w:after="60"/>
        <w:jc w:val="center"/>
      </w:pPr>
    </w:p>
    <w:p w14:paraId="1A82176D" w14:textId="2F4C9F02" w:rsidR="009B30DB" w:rsidRDefault="009B30DB">
      <w:pPr>
        <w:spacing w:after="200"/>
        <w:jc w:val="center"/>
      </w:pPr>
    </w:p>
    <w:p w14:paraId="0BC96E7E" w14:textId="77777777" w:rsidR="009B30DB" w:rsidRDefault="00534623">
      <w:pPr>
        <w:pStyle w:val="Heading2"/>
        <w:keepNext/>
        <w:spacing w:before="200" w:after="80"/>
      </w:pPr>
      <w:r>
        <w:rPr>
          <w:b/>
          <w:bCs/>
          <w:color w:val="2E75B6"/>
          <w:sz w:val="24"/>
          <w:szCs w:val="24"/>
        </w:rPr>
        <w:lastRenderedPageBreak/>
        <w:t>3.2 Users view</w:t>
      </w:r>
    </w:p>
    <w:p w14:paraId="49A08C99" w14:textId="77777777" w:rsidR="009B30DB" w:rsidRDefault="00534623">
      <w:pPr>
        <w:keepNext/>
        <w:spacing w:after="120" w:line="276" w:lineRule="auto"/>
      </w:pPr>
      <w:r>
        <w:t>User demo-user@codincity is shown with its observations, traces and active window, which confirms per-user attribution is working.</w:t>
      </w:r>
    </w:p>
    <w:p w14:paraId="2F3EA598" w14:textId="77777777" w:rsidR="009B30DB" w:rsidRDefault="00534623">
      <w:pPr>
        <w:keepNext/>
        <w:spacing w:before="120" w:after="60"/>
        <w:jc w:val="center"/>
      </w:pPr>
      <w:r>
        <w:rPr>
          <w:noProof/>
        </w:rPr>
        <w:drawing>
          <wp:inline distT="0" distB="0" distL="0" distR="0" wp14:anchorId="55A18B99" wp14:editId="31755F00">
            <wp:extent cx="5715000" cy="3533775"/>
            <wp:effectExtent l="0" t="0" r="0" b="0"/>
            <wp:docPr id="25745374" name="fig3" descr="Figure 3: Per-user attribution" title="Figure 3: Per-user at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33775"/>
                    </a:xfrm>
                    <a:prstGeom prst="rect">
                      <a:avLst/>
                    </a:prstGeom>
                  </pic:spPr>
                </pic:pic>
              </a:graphicData>
            </a:graphic>
          </wp:inline>
        </w:drawing>
      </w:r>
    </w:p>
    <w:p w14:paraId="11639429" w14:textId="5EB1246A" w:rsidR="009B30DB" w:rsidRDefault="00534623">
      <w:pPr>
        <w:spacing w:after="200"/>
        <w:jc w:val="center"/>
      </w:pPr>
      <w:r>
        <w:rPr>
          <w:i/>
          <w:iCs/>
          <w:color w:val="595959"/>
          <w:sz w:val="18"/>
          <w:szCs w:val="18"/>
        </w:rPr>
        <w:t>Figure 2</w:t>
      </w:r>
      <w:r>
        <w:rPr>
          <w:i/>
          <w:iCs/>
          <w:color w:val="595959"/>
          <w:sz w:val="18"/>
          <w:szCs w:val="18"/>
        </w:rPr>
        <w:t>: Per-user attribution</w:t>
      </w:r>
    </w:p>
    <w:p w14:paraId="34379780" w14:textId="77777777" w:rsidR="009B30DB" w:rsidRDefault="00534623">
      <w:pPr>
        <w:pStyle w:val="Heading2"/>
        <w:keepNext/>
        <w:spacing w:before="200" w:after="80"/>
      </w:pPr>
      <w:r>
        <w:rPr>
          <w:b/>
          <w:bCs/>
          <w:color w:val="2E75B6"/>
          <w:sz w:val="24"/>
          <w:szCs w:val="24"/>
        </w:rPr>
        <w:t>3.3 Session and trace detail</w:t>
      </w:r>
    </w:p>
    <w:p w14:paraId="53BBE297" w14:textId="77777777" w:rsidR="009B30DB" w:rsidRDefault="00534623">
      <w:pPr>
        <w:keepNext/>
        <w:spacing w:after="120" w:line="276" w:lineRule="auto"/>
      </w:pPr>
      <w:r>
        <w:t xml:space="preserve">Session session-187f7cdd (8 traces, user attributed) with a drill-down into llm.answer. The Metadata panel shows the full Telemetry Spec contract live: gen_ai.usage.* tokens, aws.bedrock.inference_profile_arn, </w:t>
      </w:r>
      <w:r>
        <w:lastRenderedPageBreak/>
        <w:t>gen_ai.provider / request / response.model, cost.usd_computed / cost.inr_computed, cost.component, cost.price_book_version, pricing.tier and task.*.</w:t>
      </w:r>
    </w:p>
    <w:p w14:paraId="69F09391" w14:textId="77777777" w:rsidR="009B30DB" w:rsidRDefault="00534623">
      <w:pPr>
        <w:keepNext/>
        <w:spacing w:before="120" w:after="60"/>
        <w:jc w:val="center"/>
      </w:pPr>
      <w:r>
        <w:rPr>
          <w:noProof/>
        </w:rPr>
        <w:drawing>
          <wp:inline distT="0" distB="0" distL="0" distR="0" wp14:anchorId="7ECA447C" wp14:editId="30B23FCF">
            <wp:extent cx="5715000" cy="3533775"/>
            <wp:effectExtent l="0" t="0" r="0" b="0"/>
            <wp:docPr id="2118812889" name="fig4" descr="Figure 4: Session drill-down with metadata attributes" title="Figure 4: Session drill-down with metadata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33775"/>
                    </a:xfrm>
                    <a:prstGeom prst="rect">
                      <a:avLst/>
                    </a:prstGeom>
                  </pic:spPr>
                </pic:pic>
              </a:graphicData>
            </a:graphic>
          </wp:inline>
        </w:drawing>
      </w:r>
    </w:p>
    <w:p w14:paraId="4D5A2446" w14:textId="35AE5169" w:rsidR="009B30DB" w:rsidRDefault="00534623">
      <w:pPr>
        <w:spacing w:after="200"/>
        <w:jc w:val="center"/>
      </w:pPr>
      <w:r>
        <w:rPr>
          <w:i/>
          <w:iCs/>
          <w:color w:val="595959"/>
          <w:sz w:val="18"/>
          <w:szCs w:val="18"/>
        </w:rPr>
        <w:t>Figure 3</w:t>
      </w:r>
      <w:r>
        <w:rPr>
          <w:i/>
          <w:iCs/>
          <w:color w:val="595959"/>
          <w:sz w:val="18"/>
          <w:szCs w:val="18"/>
        </w:rPr>
        <w:t>: Session drill-down with metadata attributes</w:t>
      </w:r>
    </w:p>
    <w:p w14:paraId="162E8246" w14:textId="77777777" w:rsidR="009B30DB" w:rsidRDefault="00534623">
      <w:pPr>
        <w:pStyle w:val="Heading2"/>
        <w:keepNext/>
        <w:spacing w:before="200" w:after="80"/>
      </w:pPr>
      <w:r>
        <w:rPr>
          <w:b/>
          <w:bCs/>
          <w:color w:val="2E75B6"/>
          <w:sz w:val="24"/>
          <w:szCs w:val="24"/>
        </w:rPr>
        <w:t>3.4 Sessions list</w:t>
      </w:r>
    </w:p>
    <w:p w14:paraId="1148800A" w14:textId="77777777" w:rsidR="009B30DB" w:rsidRDefault="00534623">
      <w:pPr>
        <w:keepNext/>
        <w:spacing w:after="120" w:line="276" w:lineRule="auto"/>
      </w:pPr>
      <w:r>
        <w:t>Sessions are grouped with user IDs and trace counts, demonstrating the session → task rollup.</w:t>
      </w:r>
    </w:p>
    <w:p w14:paraId="2564B37C" w14:textId="77777777" w:rsidR="009B30DB" w:rsidRDefault="00534623">
      <w:pPr>
        <w:keepNext/>
        <w:spacing w:before="120" w:after="60"/>
        <w:jc w:val="center"/>
      </w:pPr>
      <w:r>
        <w:rPr>
          <w:noProof/>
        </w:rPr>
        <w:drawing>
          <wp:inline distT="0" distB="0" distL="0" distR="0" wp14:anchorId="4146BE4B" wp14:editId="51FF11C5">
            <wp:extent cx="5715000" cy="1628775"/>
            <wp:effectExtent l="0" t="0" r="0" b="0"/>
            <wp:docPr id="1783961303" name="fig5" descr="Figure 5: Sessions list" title="Figure 5: Session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628775"/>
                    </a:xfrm>
                    <a:prstGeom prst="rect">
                      <a:avLst/>
                    </a:prstGeom>
                  </pic:spPr>
                </pic:pic>
              </a:graphicData>
            </a:graphic>
          </wp:inline>
        </w:drawing>
      </w:r>
    </w:p>
    <w:p w14:paraId="23466A33" w14:textId="7BB46792" w:rsidR="009B30DB" w:rsidRDefault="00534623">
      <w:pPr>
        <w:spacing w:after="200"/>
        <w:jc w:val="center"/>
      </w:pPr>
      <w:r>
        <w:rPr>
          <w:i/>
          <w:iCs/>
          <w:color w:val="595959"/>
          <w:sz w:val="18"/>
          <w:szCs w:val="18"/>
        </w:rPr>
        <w:t>Figure 4</w:t>
      </w:r>
      <w:r>
        <w:rPr>
          <w:i/>
          <w:iCs/>
          <w:color w:val="595959"/>
          <w:sz w:val="18"/>
          <w:szCs w:val="18"/>
        </w:rPr>
        <w:t>: Sessions list</w:t>
      </w:r>
    </w:p>
    <w:p w14:paraId="5F64EB4F" w14:textId="77777777" w:rsidR="009B30DB" w:rsidRDefault="00534623">
      <w:pPr>
        <w:pStyle w:val="Heading2"/>
        <w:keepNext/>
        <w:spacing w:before="200" w:after="80"/>
      </w:pPr>
      <w:r>
        <w:rPr>
          <w:b/>
          <w:bCs/>
          <w:color w:val="2E75B6"/>
          <w:sz w:val="24"/>
          <w:szCs w:val="24"/>
        </w:rPr>
        <w:t>3.5 Tracing table (calls)</w:t>
      </w:r>
    </w:p>
    <w:p w14:paraId="3DA42C29" w14:textId="77777777" w:rsidR="009B30DB" w:rsidRDefault="00534623">
      <w:pPr>
        <w:spacing w:after="120" w:line="276" w:lineRule="auto"/>
      </w:pPr>
      <w:r>
        <w:t>All call types (llm.answer, llm.plan, embed.query, vector.search, rerank, tool.call, ci.run_tests, guardrail, human.review, overhead) appear with per-call cost and metadata, confirming the step / call decomposition and cost components.</w:t>
      </w:r>
    </w:p>
    <w:p w14:paraId="5E3F0167" w14:textId="77777777" w:rsidR="009B30DB" w:rsidRDefault="00534623">
      <w:pPr>
        <w:keepNext/>
        <w:spacing w:after="120" w:line="276" w:lineRule="auto"/>
      </w:pPr>
      <w:r>
        <w:lastRenderedPageBreak/>
        <w:t>Every task is one trace, and each row carries task.id, task_type and attempt in the input / output, demonstrating one trace per task joinable by task.id.</w:t>
      </w:r>
    </w:p>
    <w:p w14:paraId="3225A476" w14:textId="43AC3B8F" w:rsidR="009B30DB" w:rsidRDefault="009B30DB">
      <w:pPr>
        <w:keepNext/>
        <w:spacing w:before="120" w:after="60"/>
        <w:jc w:val="center"/>
      </w:pPr>
    </w:p>
    <w:p w14:paraId="7FC6E351" w14:textId="77777777" w:rsidR="009B30DB" w:rsidRDefault="00534623">
      <w:pPr>
        <w:keepNext/>
        <w:spacing w:before="120" w:after="60"/>
        <w:jc w:val="center"/>
      </w:pPr>
      <w:r>
        <w:rPr>
          <w:noProof/>
        </w:rPr>
        <w:drawing>
          <wp:inline distT="0" distB="0" distL="0" distR="0" wp14:anchorId="4E00AE69" wp14:editId="0B2FDEF2">
            <wp:extent cx="5715000" cy="3238500"/>
            <wp:effectExtent l="0" t="0" r="0" b="0"/>
            <wp:docPr id="2135830188" name="fig7" descr="Figure 7: Task-level traces joined by task.id" title="Figure 7: Task-level traces joined by task.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38500"/>
                    </a:xfrm>
                    <a:prstGeom prst="rect">
                      <a:avLst/>
                    </a:prstGeom>
                  </pic:spPr>
                </pic:pic>
              </a:graphicData>
            </a:graphic>
          </wp:inline>
        </w:drawing>
      </w:r>
    </w:p>
    <w:p w14:paraId="59969036" w14:textId="517C883C" w:rsidR="00F30769" w:rsidRDefault="00F30769">
      <w:pPr>
        <w:keepNext/>
        <w:spacing w:before="120" w:after="60"/>
        <w:jc w:val="center"/>
      </w:pPr>
      <w:r>
        <w:rPr>
          <w:noProof/>
        </w:rPr>
        <w:drawing>
          <wp:inline distT="0" distB="0" distL="0" distR="0" wp14:anchorId="3183493A" wp14:editId="149D1156">
            <wp:extent cx="5715000" cy="3114675"/>
            <wp:effectExtent l="0" t="0" r="0" b="0"/>
            <wp:docPr id="484036221" name="fig6" descr="Figure 6: Tracing table, call-level cost and metadata" title="Figure 6: Tracing table, call-level cost and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114675"/>
                    </a:xfrm>
                    <a:prstGeom prst="rect">
                      <a:avLst/>
                    </a:prstGeom>
                  </pic:spPr>
                </pic:pic>
              </a:graphicData>
            </a:graphic>
          </wp:inline>
        </w:drawing>
      </w:r>
    </w:p>
    <w:p w14:paraId="2853DEFE" w14:textId="77777777" w:rsidR="00F30769" w:rsidRDefault="00F30769" w:rsidP="00F30769">
      <w:pPr>
        <w:spacing w:after="200"/>
        <w:jc w:val="center"/>
        <w:rPr>
          <w:i/>
          <w:iCs/>
          <w:color w:val="595959"/>
          <w:sz w:val="18"/>
          <w:szCs w:val="18"/>
        </w:rPr>
      </w:pPr>
    </w:p>
    <w:p w14:paraId="55A1972B" w14:textId="4C67C8D3" w:rsidR="00F30769" w:rsidRDefault="00F30769" w:rsidP="00F30769">
      <w:pPr>
        <w:spacing w:after="200"/>
        <w:jc w:val="center"/>
      </w:pPr>
      <w:r>
        <w:rPr>
          <w:i/>
          <w:iCs/>
          <w:color w:val="595959"/>
          <w:sz w:val="18"/>
          <w:szCs w:val="18"/>
        </w:rPr>
        <w:t xml:space="preserve">Figure </w:t>
      </w:r>
      <w:r w:rsidR="00534623">
        <w:rPr>
          <w:i/>
          <w:iCs/>
          <w:color w:val="595959"/>
          <w:sz w:val="18"/>
          <w:szCs w:val="18"/>
        </w:rPr>
        <w:t>5</w:t>
      </w:r>
      <w:r>
        <w:rPr>
          <w:i/>
          <w:iCs/>
          <w:color w:val="595959"/>
          <w:sz w:val="18"/>
          <w:szCs w:val="18"/>
        </w:rPr>
        <w:t xml:space="preserve">: Tracing table, call-level </w:t>
      </w:r>
    </w:p>
    <w:p w14:paraId="2CE12DAA" w14:textId="77777777" w:rsidR="00F30769" w:rsidRDefault="00F30769">
      <w:pPr>
        <w:keepNext/>
        <w:spacing w:before="120" w:after="60"/>
        <w:jc w:val="center"/>
      </w:pPr>
    </w:p>
    <w:p w14:paraId="0C0B8607" w14:textId="6B703C97" w:rsidR="009B30DB" w:rsidRDefault="009B30DB" w:rsidP="00F30769">
      <w:pPr>
        <w:spacing w:after="200"/>
      </w:pPr>
    </w:p>
    <w:p w14:paraId="312167BA" w14:textId="77777777" w:rsidR="009B30DB" w:rsidRDefault="00534623">
      <w:pPr>
        <w:pStyle w:val="Heading1"/>
        <w:keepNext/>
        <w:pBdr>
          <w:bottom w:val="single" w:sz="6" w:space="2" w:color="2E75B6"/>
        </w:pBdr>
        <w:spacing w:before="320" w:after="120"/>
      </w:pPr>
      <w:r>
        <w:rPr>
          <w:b/>
          <w:bCs/>
          <w:color w:val="1F3A5F"/>
          <w:sz w:val="30"/>
          <w:szCs w:val="30"/>
        </w:rPr>
        <w:t>4. Next Steps: Real-Time Enterprise Instrument</w:t>
      </w:r>
    </w:p>
    <w:p w14:paraId="69951259" w14:textId="3B7F8D7A" w:rsidR="009B30DB" w:rsidRDefault="00534623">
      <w:pPr>
        <w:spacing w:after="120" w:line="276" w:lineRule="auto"/>
      </w:pPr>
      <w:r>
        <w:t>To evolve the POC into production-grade instrumentation that records each task, its real cost, and session and user details across one or many live AI agents:</w:t>
      </w:r>
      <w:r w:rsidR="00A51E41">
        <w:t xml:space="preserve"> (the following can/will be tried and further implemented)</w:t>
      </w:r>
    </w:p>
    <w:p w14:paraId="16EDE0FD" w14:textId="77777777" w:rsidR="009B30DB" w:rsidRDefault="00534623">
      <w:pPr>
        <w:pStyle w:val="ListParagraph"/>
        <w:numPr>
          <w:ilvl w:val="0"/>
          <w:numId w:val="3"/>
        </w:numPr>
        <w:spacing w:after="100" w:line="276" w:lineRule="auto"/>
      </w:pPr>
      <w:r>
        <w:rPr>
          <w:b/>
          <w:bCs/>
        </w:rPr>
        <w:lastRenderedPageBreak/>
        <w:t xml:space="preserve">Instrument real model calls. </w:t>
      </w:r>
      <w:r>
        <w:t>Wrap actual AWS Bedrock (and other provider) calls so token counts and model IDs come from live responses, not sample values. The SDK captures usage automatically and our collector prices it.</w:t>
      </w:r>
    </w:p>
    <w:p w14:paraId="3EDCF8AA" w14:textId="77777777" w:rsidR="009B30DB" w:rsidRDefault="00534623">
      <w:pPr>
        <w:pStyle w:val="ListParagraph"/>
        <w:numPr>
          <w:ilvl w:val="0"/>
          <w:numId w:val="3"/>
        </w:numPr>
        <w:spacing w:after="100" w:line="276" w:lineRule="auto"/>
      </w:pPr>
      <w:r>
        <w:rPr>
          <w:b/>
          <w:bCs/>
        </w:rPr>
        <w:t xml:space="preserve">Standardise via an OpenTelemetry layer. </w:t>
      </w:r>
      <w:r>
        <w:t>Emit OTel GenAI spans from every agent and route them through a shared collector, pinning the semantic-convention version (spec design rule 5). This decouples agents from Langfuse and future-proofs the schema.</w:t>
      </w:r>
    </w:p>
    <w:p w14:paraId="3E3C78C9" w14:textId="77777777" w:rsidR="009B30DB" w:rsidRDefault="00534623">
      <w:pPr>
        <w:pStyle w:val="ListParagraph"/>
        <w:numPr>
          <w:ilvl w:val="0"/>
          <w:numId w:val="3"/>
        </w:numPr>
        <w:spacing w:after="100" w:line="276" w:lineRule="auto"/>
      </w:pPr>
      <w:r>
        <w:rPr>
          <w:b/>
          <w:bCs/>
        </w:rPr>
        <w:t xml:space="preserve">Compute cost downstream in the collector. </w:t>
      </w:r>
      <w:r>
        <w:t>Move cost computation out of the apps into a collector or batch job that reads raw usage, applies the versioned price book, and writes cost.usd / inr_computed back, as the spec prescribes.</w:t>
      </w:r>
    </w:p>
    <w:p w14:paraId="30F2877E" w14:textId="77777777" w:rsidR="009B30DB" w:rsidRDefault="00534623">
      <w:pPr>
        <w:pStyle w:val="ListParagraph"/>
        <w:numPr>
          <w:ilvl w:val="0"/>
          <w:numId w:val="3"/>
        </w:numPr>
        <w:spacing w:after="100" w:line="276" w:lineRule="auto"/>
      </w:pPr>
      <w:r>
        <w:rPr>
          <w:b/>
          <w:bCs/>
        </w:rPr>
        <w:t xml:space="preserve">Multi-agent support. </w:t>
      </w:r>
      <w:r>
        <w:t>Each agent sets tenant.id, a stable session_id and user_id, and propagates task.id / task.parent_id across hand-offs, so sub-tasks become child traces of the parent. This gives a single joined view of cost and acceptance when several agents collaborate on one task.</w:t>
      </w:r>
    </w:p>
    <w:p w14:paraId="6344C9C2" w14:textId="77777777" w:rsidR="009B30DB" w:rsidRDefault="00534623">
      <w:pPr>
        <w:pStyle w:val="ListParagraph"/>
        <w:numPr>
          <w:ilvl w:val="0"/>
          <w:numId w:val="3"/>
        </w:numPr>
        <w:spacing w:after="100" w:line="276" w:lineRule="auto"/>
      </w:pPr>
      <w:r>
        <w:rPr>
          <w:b/>
          <w:bCs/>
        </w:rPr>
        <w:t xml:space="preserve">Reconciliation and governance. </w:t>
      </w:r>
      <w:r>
        <w:t>A scheduled job reconciles cost.usd_computed against the actual AWS bill (via Bedrock inference-profile ARNs / CUR), plus Langfuse alerts on cost and acceptance-rate thresholds and dashboards per tenant and team.</w:t>
      </w:r>
    </w:p>
    <w:p w14:paraId="60FD0146" w14:textId="77777777" w:rsidR="009B30DB" w:rsidRDefault="00534623">
      <w:pPr>
        <w:pStyle w:val="ListParagraph"/>
        <w:numPr>
          <w:ilvl w:val="0"/>
          <w:numId w:val="3"/>
        </w:numPr>
        <w:spacing w:after="100" w:line="276" w:lineRule="auto"/>
      </w:pPr>
      <w:r>
        <w:rPr>
          <w:b/>
          <w:bCs/>
        </w:rPr>
        <w:t xml:space="preserve">Shared SDK wrapper / middleware. </w:t>
      </w:r>
      <w:r>
        <w:t>Package the task / step / call helpers and the collector as an internal library or sidecar, so any team can add FinOps telemetry to a live agent with minimal code.</w:t>
      </w:r>
    </w:p>
    <w:p w14:paraId="6526C68D" w14:textId="77777777" w:rsidR="009B30DB" w:rsidRDefault="00534623">
      <w:pPr>
        <w:pStyle w:val="Heading1"/>
        <w:keepNext/>
        <w:pBdr>
          <w:bottom w:val="single" w:sz="6" w:space="2" w:color="2E75B6"/>
        </w:pBdr>
        <w:spacing w:before="320" w:after="120"/>
      </w:pPr>
      <w:r>
        <w:rPr>
          <w:b/>
          <w:bCs/>
          <w:color w:val="1F3A5F"/>
          <w:sz w:val="30"/>
          <w:szCs w:val="30"/>
        </w:rPr>
        <w:t>Summary</w:t>
      </w:r>
    </w:p>
    <w:p w14:paraId="47E6F55F" w14:textId="20CF8843" w:rsidR="009B30DB" w:rsidRDefault="00534623" w:rsidP="0001586A">
      <w:pPr>
        <w:spacing w:after="120" w:line="276" w:lineRule="auto"/>
      </w:pPr>
      <w:r>
        <w:t>The taxonomy, telemetry contract and cost engine are proven and working against Langfuse. The remaining work is wiring real agent traffic through an OTel collector and formalising cost computation and AWS reconciliation, to make this a real-time, multi-agent enterprise instrument.</w:t>
      </w:r>
    </w:p>
    <w:sectPr w:rsidR="009B30DB">
      <w:footerReference w:type="default" r:id="rId15"/>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1D716" w14:textId="77777777" w:rsidR="00534623" w:rsidRDefault="00534623">
      <w:r>
        <w:separator/>
      </w:r>
    </w:p>
  </w:endnote>
  <w:endnote w:type="continuationSeparator" w:id="0">
    <w:p w14:paraId="07E3EB64" w14:textId="77777777" w:rsidR="00534623" w:rsidRDefault="00534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Display">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6BC1B" w14:textId="77777777" w:rsidR="009B30DB" w:rsidRDefault="00534623">
    <w:pPr>
      <w:jc w:val="center"/>
    </w:pPr>
    <w:r>
      <w:rPr>
        <w:color w:val="595959"/>
        <w:sz w:val="16"/>
        <w:szCs w:val="16"/>
      </w:rPr>
      <w:t xml:space="preserve">AI FinOps POC – Langfuse Observability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01586A">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F6813" w14:textId="77777777" w:rsidR="00534623" w:rsidRDefault="00534623">
      <w:r>
        <w:separator/>
      </w:r>
    </w:p>
  </w:footnote>
  <w:footnote w:type="continuationSeparator" w:id="0">
    <w:p w14:paraId="27E113CB" w14:textId="77777777" w:rsidR="00534623" w:rsidRDefault="005346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02CC"/>
    <w:multiLevelType w:val="hybridMultilevel"/>
    <w:tmpl w:val="8496E1F4"/>
    <w:lvl w:ilvl="0" w:tplc="F7203D3A">
      <w:start w:val="1"/>
      <w:numFmt w:val="bullet"/>
      <w:lvlText w:val="●"/>
      <w:lvlJc w:val="left"/>
      <w:pPr>
        <w:ind w:left="720" w:hanging="360"/>
      </w:pPr>
    </w:lvl>
    <w:lvl w:ilvl="1" w:tplc="232C9964">
      <w:start w:val="1"/>
      <w:numFmt w:val="bullet"/>
      <w:lvlText w:val="○"/>
      <w:lvlJc w:val="left"/>
      <w:pPr>
        <w:ind w:left="1440" w:hanging="360"/>
      </w:pPr>
    </w:lvl>
    <w:lvl w:ilvl="2" w:tplc="2A0A3D5E">
      <w:start w:val="1"/>
      <w:numFmt w:val="bullet"/>
      <w:lvlText w:val="■"/>
      <w:lvlJc w:val="left"/>
      <w:pPr>
        <w:ind w:left="2160" w:hanging="360"/>
      </w:pPr>
    </w:lvl>
    <w:lvl w:ilvl="3" w:tplc="C488245A">
      <w:start w:val="1"/>
      <w:numFmt w:val="bullet"/>
      <w:lvlText w:val="●"/>
      <w:lvlJc w:val="left"/>
      <w:pPr>
        <w:ind w:left="2880" w:hanging="360"/>
      </w:pPr>
    </w:lvl>
    <w:lvl w:ilvl="4" w:tplc="EA5ECE46">
      <w:start w:val="1"/>
      <w:numFmt w:val="bullet"/>
      <w:lvlText w:val="○"/>
      <w:lvlJc w:val="left"/>
      <w:pPr>
        <w:ind w:left="3600" w:hanging="360"/>
      </w:pPr>
    </w:lvl>
    <w:lvl w:ilvl="5" w:tplc="EB6E695A">
      <w:start w:val="1"/>
      <w:numFmt w:val="bullet"/>
      <w:lvlText w:val="■"/>
      <w:lvlJc w:val="left"/>
      <w:pPr>
        <w:ind w:left="4320" w:hanging="360"/>
      </w:pPr>
    </w:lvl>
    <w:lvl w:ilvl="6" w:tplc="0BEC99F4">
      <w:start w:val="1"/>
      <w:numFmt w:val="bullet"/>
      <w:lvlText w:val="●"/>
      <w:lvlJc w:val="left"/>
      <w:pPr>
        <w:ind w:left="5040" w:hanging="360"/>
      </w:pPr>
    </w:lvl>
    <w:lvl w:ilvl="7" w:tplc="8AB0F568">
      <w:start w:val="1"/>
      <w:numFmt w:val="bullet"/>
      <w:lvlText w:val="●"/>
      <w:lvlJc w:val="left"/>
      <w:pPr>
        <w:ind w:left="5760" w:hanging="360"/>
      </w:pPr>
    </w:lvl>
    <w:lvl w:ilvl="8" w:tplc="3E26A72E">
      <w:start w:val="1"/>
      <w:numFmt w:val="bullet"/>
      <w:lvlText w:val="●"/>
      <w:lvlJc w:val="left"/>
      <w:pPr>
        <w:ind w:left="6480" w:hanging="360"/>
      </w:pPr>
    </w:lvl>
  </w:abstractNum>
  <w:abstractNum w:abstractNumId="1" w15:restartNumberingAfterBreak="0">
    <w:nsid w:val="020409BA"/>
    <w:multiLevelType w:val="hybridMultilevel"/>
    <w:tmpl w:val="9074493A"/>
    <w:lvl w:ilvl="0" w:tplc="CE3A29DA">
      <w:start w:val="1"/>
      <w:numFmt w:val="bullet"/>
      <w:lvlText w:val="•"/>
      <w:lvlJc w:val="left"/>
      <w:pPr>
        <w:ind w:left="540" w:hanging="270"/>
      </w:pPr>
    </w:lvl>
    <w:lvl w:ilvl="1" w:tplc="FC0E37D4">
      <w:numFmt w:val="decimal"/>
      <w:lvlText w:val=""/>
      <w:lvlJc w:val="left"/>
    </w:lvl>
    <w:lvl w:ilvl="2" w:tplc="5290BF0C">
      <w:numFmt w:val="decimal"/>
      <w:lvlText w:val=""/>
      <w:lvlJc w:val="left"/>
    </w:lvl>
    <w:lvl w:ilvl="3" w:tplc="AE6E287E">
      <w:numFmt w:val="decimal"/>
      <w:lvlText w:val=""/>
      <w:lvlJc w:val="left"/>
    </w:lvl>
    <w:lvl w:ilvl="4" w:tplc="F592A06E">
      <w:numFmt w:val="decimal"/>
      <w:lvlText w:val=""/>
      <w:lvlJc w:val="left"/>
    </w:lvl>
    <w:lvl w:ilvl="5" w:tplc="4D2292C0">
      <w:numFmt w:val="decimal"/>
      <w:lvlText w:val=""/>
      <w:lvlJc w:val="left"/>
    </w:lvl>
    <w:lvl w:ilvl="6" w:tplc="6AB63D98">
      <w:numFmt w:val="decimal"/>
      <w:lvlText w:val=""/>
      <w:lvlJc w:val="left"/>
    </w:lvl>
    <w:lvl w:ilvl="7" w:tplc="4038313A">
      <w:numFmt w:val="decimal"/>
      <w:lvlText w:val=""/>
      <w:lvlJc w:val="left"/>
    </w:lvl>
    <w:lvl w:ilvl="8" w:tplc="D9763056">
      <w:numFmt w:val="decimal"/>
      <w:lvlText w:val=""/>
      <w:lvlJc w:val="left"/>
    </w:lvl>
  </w:abstractNum>
  <w:abstractNum w:abstractNumId="2" w15:restartNumberingAfterBreak="0">
    <w:nsid w:val="51904943"/>
    <w:multiLevelType w:val="hybridMultilevel"/>
    <w:tmpl w:val="BA386EDC"/>
    <w:lvl w:ilvl="0" w:tplc="743CA466">
      <w:start w:val="1"/>
      <w:numFmt w:val="decimal"/>
      <w:lvlText w:val="%1."/>
      <w:lvlJc w:val="left"/>
      <w:pPr>
        <w:ind w:left="540" w:hanging="360"/>
      </w:pPr>
      <w:rPr>
        <w:b/>
        <w:bCs/>
      </w:rPr>
    </w:lvl>
    <w:lvl w:ilvl="1" w:tplc="6762BBDE">
      <w:numFmt w:val="decimal"/>
      <w:lvlText w:val=""/>
      <w:lvlJc w:val="left"/>
    </w:lvl>
    <w:lvl w:ilvl="2" w:tplc="B6345B9C">
      <w:numFmt w:val="decimal"/>
      <w:lvlText w:val=""/>
      <w:lvlJc w:val="left"/>
    </w:lvl>
    <w:lvl w:ilvl="3" w:tplc="FEAE14CE">
      <w:numFmt w:val="decimal"/>
      <w:lvlText w:val=""/>
      <w:lvlJc w:val="left"/>
    </w:lvl>
    <w:lvl w:ilvl="4" w:tplc="A830EC0C">
      <w:numFmt w:val="decimal"/>
      <w:lvlText w:val=""/>
      <w:lvlJc w:val="left"/>
    </w:lvl>
    <w:lvl w:ilvl="5" w:tplc="23608BD6">
      <w:numFmt w:val="decimal"/>
      <w:lvlText w:val=""/>
      <w:lvlJc w:val="left"/>
    </w:lvl>
    <w:lvl w:ilvl="6" w:tplc="2D42BE78">
      <w:numFmt w:val="decimal"/>
      <w:lvlText w:val=""/>
      <w:lvlJc w:val="left"/>
    </w:lvl>
    <w:lvl w:ilvl="7" w:tplc="BB96DC46">
      <w:numFmt w:val="decimal"/>
      <w:lvlText w:val=""/>
      <w:lvlJc w:val="left"/>
    </w:lvl>
    <w:lvl w:ilvl="8" w:tplc="1BCCD1A6">
      <w:numFmt w:val="decimal"/>
      <w:lvlText w:val=""/>
      <w:lvlJc w:val="left"/>
    </w:lvl>
  </w:abstractNum>
  <w:num w:numId="1" w16cid:durableId="1478372750">
    <w:abstractNumId w:val="0"/>
    <w:lvlOverride w:ilvl="0">
      <w:startOverride w:val="1"/>
    </w:lvlOverride>
  </w:num>
  <w:num w:numId="2" w16cid:durableId="206721323">
    <w:abstractNumId w:val="1"/>
    <w:lvlOverride w:ilvl="0">
      <w:startOverride w:val="1"/>
    </w:lvlOverride>
  </w:num>
  <w:num w:numId="3" w16cid:durableId="7108798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0DB"/>
    <w:rsid w:val="0001586A"/>
    <w:rsid w:val="004913EF"/>
    <w:rsid w:val="00534623"/>
    <w:rsid w:val="006F39D0"/>
    <w:rsid w:val="009B30DB"/>
    <w:rsid w:val="00A51E41"/>
    <w:rsid w:val="00F307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B2826"/>
  <w15:docId w15:val="{A3DDFD7E-E17D-48CB-AED0-D19F59767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1141</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Raghu Adhithya B</cp:lastModifiedBy>
  <cp:revision>6</cp:revision>
  <dcterms:created xsi:type="dcterms:W3CDTF">2026-10-22T12:09:00Z</dcterms:created>
  <dcterms:modified xsi:type="dcterms:W3CDTF">2026-10-22T12:41:00Z</dcterms:modified>
</cp:coreProperties>
</file>