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B2A4A"/>
          <w:sz w:val="40"/>
          <w:szCs w:val="40"/>
        </w:rPr>
        <w:t xml:space="preserve">On-Prem Concurrent LLM — Runbook</w:t>
      </w:r>
    </w:p>
    <w:p>
      <w:pPr>
        <w:spacing w:after="40"/>
      </w:pPr>
      <w:r>
        <w:rPr>
          <w:rFonts w:ascii="Century Gothic" w:cs="Century Gothic" w:eastAsia="Century Gothic" w:hAnsi="Century Gothic"/>
          <w:b/>
          <w:bCs/>
          <w:color w:val="1A1A1A"/>
          <w:sz w:val="24"/>
          <w:szCs w:val="24"/>
        </w:rPr>
        <w:t xml:space="preserve">Self-hosted GPU LLM platform — NLABDLAS01 / NL-AI-Inference-01</w:t>
      </w:r>
    </w:p>
    <w:p>
      <w:pPr>
        <w:spacing w:after="400"/>
      </w:pPr>
      <w:r>
        <w:rPr>
          <w:rFonts w:ascii="Century Gothic" w:cs="Century Gothic" w:eastAsia="Century Gothic" w:hAnsi="Century Gothic"/>
          <w:color w:val="595959"/>
          <w:sz w:val="18"/>
          <w:szCs w:val="18"/>
        </w:rPr>
        <w:t xml:space="preserve">Last updated: 19-Jul-2026   |   Prepared for: Raghu, NationLabs Technical Research &amp; Development</w:t>
      </w:r>
    </w:p>
    <w:p>
      <w:pPr>
        <w:pBdr>
          <w:bottom w:val="single" w:color="1B2A4A" w:sz="6" w:space="4"/>
        </w:pBdr>
        <w:spacing w:after="160" w:before="320"/>
      </w:pPr>
      <w:r>
        <w:rPr>
          <w:rFonts w:ascii="Cambria" w:cs="Cambria" w:eastAsia="Cambria" w:hAnsi="Cambria"/>
          <w:b/>
          <w:bCs/>
          <w:color w:val="1B2A4A"/>
          <w:sz w:val="28"/>
          <w:szCs w:val="28"/>
        </w:rPr>
        <w:t xml:space="preserve">1. Purpose and Background</w:t>
      </w:r>
    </w:p>
    <w:p>
      <w:pPr>
        <w:spacing w:after="160"/>
        <w:jc w:val="both"/>
      </w:pPr>
      <w:r>
        <w:rPr>
          <w:rFonts w:ascii="Century Gothic" w:cs="Century Gothic" w:eastAsia="Century Gothic" w:hAnsi="Century Gothic"/>
          <w:i w:val="false"/>
          <w:iCs w:val="false"/>
          <w:color w:val="1A1A1A"/>
          <w:sz w:val="20"/>
          <w:szCs w:val="20"/>
        </w:rPr>
        <w:t xml:space="preserve">NationLabs needed a local, GPU-accelerated LLM platform for two consumers: NL-Proposal-Builder (currently on Groq's cloud API, moving to local) and Niren's AI agents (new build). Rather than each consumer needing its own GPU access, this platform exposes one shared internal API endpoint that both call over the network — architecturally identical to how NL-Proposal-Builder already calls Groq today, just pointed at an internal IP instead of a cloud one.</w:t>
      </w:r>
    </w:p>
    <w:p>
      <w:pPr>
        <w:spacing w:after="160"/>
        <w:jc w:val="both"/>
      </w:pPr>
      <w:r>
        <w:rPr>
          <w:rFonts w:ascii="Century Gothic" w:cs="Century Gothic" w:eastAsia="Century Gothic" w:hAnsi="Century Gothic"/>
          <w:i w:val="false"/>
          <w:iCs w:val="false"/>
          <w:color w:val="1A1A1A"/>
          <w:sz w:val="20"/>
          <w:szCs w:val="20"/>
        </w:rPr>
        <w:t xml:space="preserve">Why this design, specifically: the physical GPU (NVIDIA A30) lives in NLABDLAS01, a Windows Server 2019 Hyper-V host that also runs 10+ other production VMs. Windows Server 2019 cannot do GPU-P (paravirtualized GPU sharing across multiple VMs/WSL2 — that needs Windows Server 2022+), so the only way to get GPU access into a VM at all is DDA (Discrete Device Assignment), which binds the whole GPU to exactly one VM. Given that constraint, the only way for multiple consumers to share the GPU is for exactly one VM to hold it and run the serving layer, with everything else acting as a network client of that one endpoint.</w:t>
      </w:r>
    </w:p>
    <w:p>
      <w:pPr>
        <w:pBdr>
          <w:bottom w:val="single" w:color="1B2A4A" w:sz="6" w:space="4"/>
        </w:pBdr>
        <w:spacing w:after="160" w:before="320"/>
      </w:pPr>
      <w:r>
        <w:rPr>
          <w:rFonts w:ascii="Cambria" w:cs="Cambria" w:eastAsia="Cambria" w:hAnsi="Cambria"/>
          <w:b/>
          <w:bCs/>
          <w:color w:val="1B2A4A"/>
          <w:sz w:val="28"/>
          <w:szCs w:val="28"/>
        </w:rPr>
        <w:t xml:space="preserve">2. Host Environment</w:t>
      </w:r>
    </w:p>
    <w:tbl>
      <w:tblPr>
        <w:tblW w:type="dxa" w:w="9486"/>
        <w:tblBorders>
          <w:top w:val="single" w:color="auto" w:sz="4"/>
          <w:left w:val="single" w:color="auto" w:sz="4"/>
          <w:bottom w:val="single" w:color="auto" w:sz="4"/>
          <w:right w:val="single" w:color="auto" w:sz="4"/>
          <w:insideH w:val="single" w:color="auto" w:sz="4"/>
          <w:insideV w:val="single" w:color="auto" w:sz="4"/>
        </w:tblBorders>
      </w:tblPr>
      <w:tblGrid>
        <w:gridCol w:w="2600"/>
        <w:gridCol w:w="6886"/>
      </w:tblGrid>
      <w:tr>
        <w:trPr>
          <w:tblHeader/>
        </w:trPr>
        <w:tc>
          <w:tcPr>
            <w:tcW w:type="dxa" w:w="26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Attribute</w:t>
            </w:r>
          </w:p>
        </w:tc>
        <w:tc>
          <w:tcPr>
            <w:tcW w:type="dxa" w:w="6886"/>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Value</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Physical host</w:t>
            </w:r>
          </w:p>
        </w:tc>
        <w:tc>
          <w:tcPr>
            <w:tcW w:type="dxa" w:w="68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NLABDLAS01 — Dell PowerEdge R750, Windows Server 2019 Standard, BIOS 1.11.2</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CPU / RAM</w:t>
            </w:r>
          </w:p>
        </w:tc>
        <w:tc>
          <w:tcPr>
            <w:tcW w:type="dxa" w:w="68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Intel Xeon Silver 4310 (48 logical CPUs), 128GB RAM</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Host IP</w:t>
            </w:r>
          </w:p>
        </w:tc>
        <w:tc>
          <w:tcPr>
            <w:tcW w:type="dxa" w:w="68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192.168.71.2</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GPU</w:t>
            </w:r>
          </w:p>
        </w:tc>
        <w:tc>
          <w:tcPr>
            <w:tcW w:type="dxa" w:w="68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NVIDIA A30, 24GB VRAM, Ampere — health-checked clean on 19-Jul-2026 (0 ECC errors, PCIe Gen4 x16 full link)</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Host RAM headroom</w:t>
            </w:r>
          </w:p>
        </w:tc>
        <w:tc>
          <w:tcPr>
            <w:tcW w:type="dxa" w:w="68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~34GB free at build time (10 other VMs already running, ~94GB committed)</w:t>
            </w:r>
          </w:p>
        </w:tc>
      </w:tr>
    </w:tbl>
    <w:p>
      <w:pPr>
        <w:spacing w:after="240" w:before="80"/>
      </w:pPr>
      <w:r>
        <w:rPr>
          <w:rFonts w:ascii="Century Gothic" w:cs="Century Gothic" w:eastAsia="Century Gothic" w:hAnsi="Century Gothic"/>
          <w:i/>
          <w:iCs/>
          <w:color w:val="595959"/>
          <w:sz w:val="18"/>
          <w:szCs w:val="18"/>
        </w:rPr>
        <w:t xml:space="preserve">Do not touch: NLVMH1PTCPNS, NLVMH1PTEPP, NLVMH1PTNVS, NLVMH1PTSGV, NLVMH1PTSGV2, NLVMH1PTSMC, SAADAuditServer, SAADControllerServer, SAADGatewayServer — production VMs unrelated to this project. VM-AI_Assistant (44 vCPU / ~98GB RAM, off) was considered and rejected — origin unconfirmed and too large to fit alongside currently-running VMs.</w:t>
      </w:r>
    </w:p>
    <w:p>
      <w:pPr>
        <w:pBdr>
          <w:bottom w:val="single" w:color="1B2A4A" w:sz="6" w:space="4"/>
        </w:pBdr>
        <w:spacing w:after="160" w:before="320"/>
      </w:pPr>
      <w:r>
        <w:rPr>
          <w:rFonts w:ascii="Cambria" w:cs="Cambria" w:eastAsia="Cambria" w:hAnsi="Cambria"/>
          <w:b/>
          <w:bCs/>
          <w:color w:val="1B2A4A"/>
          <w:sz w:val="28"/>
          <w:szCs w:val="28"/>
        </w:rPr>
        <w:t xml:space="preserve">3. Phase 1 — VM Creation and GPU Passthrough</w:t>
      </w:r>
    </w:p>
    <w:p>
      <w:pPr>
        <w:spacing w:after="120" w:before="240"/>
      </w:pPr>
      <w:r>
        <w:rPr>
          <w:rFonts w:ascii="Cambria" w:cs="Cambria" w:eastAsia="Cambria" w:hAnsi="Cambria"/>
          <w:b/>
          <w:bCs/>
          <w:color w:val="1B2A4A"/>
          <w:sz w:val="22"/>
          <w:szCs w:val="22"/>
        </w:rPr>
        <w:t xml:space="preserve">3.1 VM Specs</w:t>
      </w:r>
    </w:p>
    <w:p>
      <w:pPr>
        <w:spacing w:after="160"/>
        <w:jc w:val="left"/>
      </w:pPr>
      <w:r>
        <w:rPr>
          <w:rFonts w:ascii="Century Gothic" w:cs="Century Gothic" w:eastAsia="Century Gothic" w:hAnsi="Century Gothic"/>
          <w:i w:val="false"/>
          <w:iCs w:val="false"/>
          <w:color w:val="1A1A1A"/>
          <w:sz w:val="20"/>
          <w:szCs w:val="20"/>
        </w:rPr>
        <w:t xml:space="preserve">New VM, not a reuse of the existing NL-ProposalBuilder-01 VM — kept separate deliberately so GPU/driver work carries zero risk to the live production app.</w:t>
      </w:r>
    </w:p>
    <w:tbl>
      <w:tblPr>
        <w:tblW w:type="dxa" w:w="9486"/>
        <w:tblBorders>
          <w:top w:val="single" w:color="auto" w:sz="4"/>
          <w:left w:val="single" w:color="auto" w:sz="4"/>
          <w:bottom w:val="single" w:color="auto" w:sz="4"/>
          <w:right w:val="single" w:color="auto" w:sz="4"/>
          <w:insideH w:val="single" w:color="auto" w:sz="4"/>
          <w:insideV w:val="single" w:color="auto" w:sz="4"/>
        </w:tblBorders>
      </w:tblPr>
      <w:tblGrid>
        <w:gridCol w:w="2600"/>
        <w:gridCol w:w="6886"/>
      </w:tblGrid>
      <w:tr>
        <w:trPr>
          <w:tblHeader/>
        </w:trPr>
        <w:tc>
          <w:tcPr>
            <w:tcW w:type="dxa" w:w="26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Setting</w:t>
            </w:r>
          </w:p>
        </w:tc>
        <w:tc>
          <w:tcPr>
            <w:tcW w:type="dxa" w:w="6886"/>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Value</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Name</w:t>
            </w:r>
          </w:p>
        </w:tc>
        <w:tc>
          <w:tcPr>
            <w:tcW w:type="dxa" w:w="68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NL-AI-Inference-01</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Generation</w:t>
            </w:r>
          </w:p>
        </w:tc>
        <w:tc>
          <w:tcPr>
            <w:tcW w:type="dxa" w:w="68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1</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vCPU</w:t>
            </w:r>
          </w:p>
        </w:tc>
        <w:tc>
          <w:tcPr>
            <w:tcW w:type="dxa" w:w="68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8</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RAM</w:t>
            </w:r>
          </w:p>
        </w:tc>
        <w:tc>
          <w:tcPr>
            <w:tcW w:type="dxa" w:w="68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24GB (static)</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Disk</w:t>
            </w:r>
          </w:p>
        </w:tc>
        <w:tc>
          <w:tcPr>
            <w:tcW w:type="dxa" w:w="68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250GB VHDX, D:\Virtual Machines\NL-AI-Inference-01\</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Checkpointing</w:t>
            </w:r>
          </w:p>
        </w:tc>
        <w:tc>
          <w:tcPr>
            <w:tcW w:type="dxa" w:w="68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Disabled (required for DDA)</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AutomaticStopAction</w:t>
            </w:r>
          </w:p>
        </w:tc>
        <w:tc>
          <w:tcPr>
            <w:tcW w:type="dxa" w:w="68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TurnOff (required for DDA)</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NICs</w:t>
            </w:r>
          </w:p>
        </w:tc>
        <w:tc>
          <w:tcPr>
            <w:tcW w:type="dxa" w:w="68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eth0 → LAN (192.168.71.11/24); eth1 → Mgmt-Switch internal (10.10.10.3/24)</w:t>
            </w:r>
          </w:p>
        </w:tc>
      </w:tr>
    </w:tbl>
    <w:p>
      <w:pPr>
        <w:spacing w:after="120" w:before="240"/>
      </w:pPr>
      <w:r>
        <w:rPr>
          <w:rFonts w:ascii="Cambria" w:cs="Cambria" w:eastAsia="Cambria" w:hAnsi="Cambria"/>
          <w:b/>
          <w:bCs/>
          <w:color w:val="1B2A4A"/>
          <w:sz w:val="22"/>
          <w:szCs w:val="22"/>
        </w:rPr>
        <w:t xml:space="preserve">3.2 GPU DDA Attachment — the MMIO Gotcha</w:t>
      </w:r>
    </w:p>
    <w:p>
      <w:pPr>
        <w:spacing w:after="160"/>
        <w:jc w:val="both"/>
      </w:pPr>
      <w:r>
        <w:rPr>
          <w:rFonts w:ascii="Century Gothic" w:cs="Century Gothic" w:eastAsia="Century Gothic" w:hAnsi="Century Gothic"/>
          <w:i w:val="false"/>
          <w:iCs w:val="false"/>
          <w:color w:val="1A1A1A"/>
          <w:sz w:val="20"/>
          <w:szCs w:val="20"/>
        </w:rPr>
        <w:t xml:space="preserve">DDA assignment requires the VM to be off. HighMemoryMappedIoSpace must exceed the GPU's BAR1 aperture size, not just roughly match its VRAM. Setting it to exactly 32GB (matching the A30's 24GB VRAM with what seemed like reasonable headroom) resulted in the VM booting and Ubuntu installing fine, but lspci inside the guest showed no NVIDIA device at all.</w:t>
      </w:r>
    </w:p>
    <w:p>
      <w:pPr>
        <w:spacing w:after="160"/>
        <w:jc w:val="left"/>
      </w:pPr>
      <w:r>
        <w:rPr>
          <w:rFonts w:ascii="Century Gothic" w:cs="Century Gothic" w:eastAsia="Century Gothic" w:hAnsi="Century Gothic"/>
          <w:i w:val="false"/>
          <w:iCs w:val="false"/>
          <w:color w:val="1A1A1A"/>
          <w:sz w:val="20"/>
          <w:szCs w:val="20"/>
        </w:rPr>
        <w:t xml:space="preserve">Root cause, found in dmesg:</w:t>
      </w:r>
    </w:p>
    <w:p>
      <w:pPr>
        <w:pBdr>
          <w:top w:val="single" w:color="D0D0D0" w:sz="4"/>
          <w:bottom w:val="single" w:color="D0D0D0" w:sz="4"/>
          <w:left w:val="single" w:color="D0D0D0" w:sz="4"/>
          <w:right w:val="single" w:color="D0D0D0" w:sz="4"/>
        </w:pBdr>
        <w:shd w:fill="F2F2F2" w:color="auto" w:val="clear"/>
        <w:spacing w:after="200" w:before="80"/>
      </w:pPr>
      <w:r>
        <w:rPr>
          <w:rFonts w:ascii="Consolas" w:cs="Consolas" w:eastAsia="Consolas" w:hAnsi="Consolas"/>
          <w:color w:val="1A1A1A"/>
          <w:sz w:val="18"/>
          <w:szCs w:val="18"/>
        </w:rPr>
        <w:t xml:space="preserve">hv_pci ...: Need 0x802000000 of high MMIO space. Consider reconfiguring the VM.</w:t>
      </w:r>
    </w:p>
    <w:p>
      <w:pPr>
        <w:spacing w:after="160"/>
        <w:jc w:val="left"/>
      </w:pPr>
      <w:r>
        <w:rPr>
          <w:rFonts w:ascii="Century Gothic" w:cs="Century Gothic" w:eastAsia="Century Gothic" w:hAnsi="Century Gothic"/>
          <w:i w:val="false"/>
          <w:iCs w:val="false"/>
          <w:color w:val="1A1A1A"/>
          <w:sz w:val="20"/>
          <w:szCs w:val="20"/>
        </w:rPr>
        <w:t xml:space="preserve">0x802000000 ≈ 32.03GB — about 32MB more than the 32GB allocated. Fix: set HighMemoryMappedIoSpace to 64GB, not the card's exact VRAM size.</w:t>
      </w:r>
    </w:p>
    <w:p>
      <w:pPr>
        <w:spacing w:after="100" w:before="160"/>
      </w:pPr>
      <w:r>
        <w:rPr>
          <w:rFonts w:ascii="Century Gothic" w:cs="Century Gothic" w:eastAsia="Century Gothic" w:hAnsi="Century Gothic"/>
          <w:b/>
          <w:bCs/>
          <w:color w:val="1B2A4A"/>
          <w:sz w:val="20"/>
          <w:szCs w:val="20"/>
        </w:rPr>
        <w:t xml:space="preserve">Diagnostic checklist if a DDA'd GPU doesn't show up in the guest:</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Get-VMAssignableDevice -VMName &lt;name&gt; on the host — confirms Hyper-V thinks it's assigned</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lspci (no grep filter) inside the guest — see the full device list, not a filtered search</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sudo dmesg | grep -iE "pci|nvidia" inside the guest — look for "Need 0x... of high MMIO space"</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If found: clean shutdown, bump HighMemoryMappedIoSpace from the host, restart</w:t>
      </w:r>
    </w:p>
    <w:p>
      <w:pPr>
        <w:spacing w:after="120" w:before="240"/>
      </w:pPr>
      <w:r>
        <w:rPr>
          <w:rFonts w:ascii="Cambria" w:cs="Cambria" w:eastAsia="Cambria" w:hAnsi="Cambria"/>
          <w:b/>
          <w:bCs/>
          <w:color w:val="1B2A4A"/>
          <w:sz w:val="22"/>
          <w:szCs w:val="22"/>
        </w:rPr>
        <w:t xml:space="preserve">3.3 Ubuntu Server Install — Choices Made</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ISO: Ubuntu Server 22.04.5 LTS, standard kernel (not HWE — HWE rotates more often and can break out-of-tree NVIDIA modules on auto-update)</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Base: "Ubuntu Server", not minimized — minimized strips tools useful for interactive admin</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Third-party drivers: left unchecked — NVIDIA driver installed deliberately afterward, matched to a specific version</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Storage: guided, entire disk, LVM, no LUKS (internal network box needs unattended reboots). Guided layout defaults to ~100GB of a 250GB disk for / — edit the ubuntu-lv size to the max available before continuing</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Network: static IPs, no DHCP available on either switch</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SSH: "Install OpenSSH server" must be checked — easy to miss, without it you're stuck on the Hyper-V console</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Snaps: none selected — Docker installed manually via apt, not as a snap (snap Docker has known GPU passthrough issues)</w:t>
      </w:r>
    </w:p>
    <w:p>
      <w:pPr>
        <w:spacing w:after="120" w:before="240"/>
      </w:pPr>
      <w:r>
        <w:rPr>
          <w:rFonts w:ascii="Cambria" w:cs="Cambria" w:eastAsia="Cambria" w:hAnsi="Cambria"/>
          <w:b/>
          <w:bCs/>
          <w:color w:val="1B2A4A"/>
          <w:sz w:val="22"/>
          <w:szCs w:val="22"/>
        </w:rPr>
        <w:t xml:space="preserve">3.4 Driver + Docker Install</w:t>
      </w:r>
    </w:p>
    <w:p>
      <w:pPr>
        <w:spacing w:after="160"/>
        <w:jc w:val="left"/>
      </w:pPr>
      <w:r>
        <w:rPr>
          <w:rFonts w:ascii="Century Gothic" w:cs="Century Gothic" w:eastAsia="Century Gothic" w:hAnsi="Century Gothic"/>
          <w:i w:val="false"/>
          <w:iCs w:val="false"/>
          <w:color w:val="1A1A1A"/>
          <w:sz w:val="20"/>
          <w:szCs w:val="20"/>
        </w:rPr>
        <w:t xml:space="preserve">Run infra/02-setup-gpu-docker.sh inside the guest. Installs, in order: build tools + kernel headers, NVIDIA driver + CUDA (NVIDIA's own apt repo — resulted in driver 610.43.02 / CUDA 13.3), Docker Engine (apt, not snap), nvidia-container-toolkit.</w:t>
      </w:r>
    </w:p>
    <w:p>
      <w:pPr>
        <w:spacing w:after="160"/>
        <w:jc w:val="left"/>
      </w:pPr>
      <w:r>
        <w:rPr>
          <w:rFonts w:ascii="Century Gothic" w:cs="Century Gothic" w:eastAsia="Century Gothic" w:hAnsi="Century Gothic"/>
          <w:i w:val="false"/>
          <w:iCs w:val="false"/>
          <w:color w:val="1A1A1A"/>
          <w:sz w:val="20"/>
          <w:szCs w:val="20"/>
        </w:rPr>
        <w:t xml:space="preserve">Two manual steps after the script (both need a fresh session, can't be scripted):</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sudo reboot — loads the new NVIDIA kernel module</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Log back in, verify: nvidia-smi, then docker run --rm --gpus all nvidia/cuda:12.4.0-base-ubuntu22.04 nvidia-smi (the real test)</w:t>
      </w:r>
    </w:p>
    <w:p>
      <w:pPr>
        <w:spacing w:after="240" w:before="80"/>
      </w:pPr>
      <w:r>
        <w:rPr>
          <w:rFonts w:ascii="Century Gothic" w:cs="Century Gothic" w:eastAsia="Century Gothic" w:hAnsi="Century Gothic"/>
          <w:i/>
          <w:iCs/>
          <w:color w:val="595959"/>
          <w:sz w:val="18"/>
          <w:szCs w:val="18"/>
        </w:rPr>
        <w:t xml:space="preserve">Common snag: sudo usermod -aG docker $USER does not take effect in the current shell. Don't use newgrp docker (can prompt for an unexpected password) — log out and reconnect via SSH instead, then confirm with `groups`.</w:t>
      </w:r>
    </w:p>
    <w:p>
      <w:pPr>
        <w:pBdr>
          <w:bottom w:val="single" w:color="1B2A4A" w:sz="6" w:space="4"/>
        </w:pBdr>
        <w:spacing w:after="160" w:before="320"/>
      </w:pPr>
      <w:r>
        <w:rPr>
          <w:rFonts w:ascii="Cambria" w:cs="Cambria" w:eastAsia="Cambria" w:hAnsi="Cambria"/>
          <w:b/>
          <w:bCs/>
          <w:color w:val="1B2A4A"/>
          <w:sz w:val="28"/>
          <w:szCs w:val="28"/>
        </w:rPr>
        <w:t xml:space="preserve">4. Phase 2 — Ollama Serving Layer</w:t>
      </w:r>
    </w:p>
    <w:p>
      <w:pPr>
        <w:spacing w:after="160"/>
        <w:jc w:val="left"/>
      </w:pPr>
      <w:r>
        <w:rPr>
          <w:rFonts w:ascii="Century Gothic" w:cs="Century Gothic" w:eastAsia="Century Gothic" w:hAnsi="Century Gothic"/>
          <w:i w:val="false"/>
          <w:iCs w:val="false"/>
          <w:color w:val="1A1A1A"/>
          <w:sz w:val="20"/>
          <w:szCs w:val="20"/>
        </w:rPr>
        <w:t xml:space="preserve">Deployed via serving/docker-compose.yml. Key config:</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OLLAMA_NUM_PARALLEL=1 — matches Niren's initial concurrency spec for the pilot</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OLLAMA_MAX_LOADED_MODELS=1 — 24GB VRAM cannot hold all three model tiers resident at once (14B Q4 ≈8-9GB + 32B Q4 ≈18-20GB alone exceeds it); forces predictable swap-on-demand</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OLLAMA_KEEP_ALIVE=30m — reduces how often intermittent traffic re-pays the cold-start cost (see 4.2)</w:t>
      </w:r>
    </w:p>
    <w:p>
      <w:pPr>
        <w:spacing w:after="120" w:before="240"/>
      </w:pPr>
      <w:r>
        <w:rPr>
          <w:rFonts w:ascii="Cambria" w:cs="Cambria" w:eastAsia="Cambria" w:hAnsi="Cambria"/>
          <w:b/>
          <w:bCs/>
          <w:color w:val="1B2A4A"/>
          <w:sz w:val="22"/>
          <w:szCs w:val="22"/>
        </w:rPr>
        <w:t xml:space="preserve">4.1 Models</w:t>
      </w:r>
    </w:p>
    <w:tbl>
      <w:tblPr>
        <w:tblW w:type="dxa" w:w="948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500"/>
        <w:gridCol w:w="2586"/>
      </w:tblGrid>
      <w:tr>
        <w:trPr>
          <w:tblHeader/>
        </w:trPr>
        <w:tc>
          <w:tcPr>
            <w:tcW w:type="dxa" w:w="20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Tier</w:t>
            </w:r>
          </w:p>
        </w:tc>
        <w:tc>
          <w:tcPr>
            <w:tcW w:type="dxa" w:w="34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Model / Tag</w:t>
            </w:r>
          </w:p>
        </w:tc>
        <w:tc>
          <w:tcPr>
            <w:tcW w:type="dxa" w:w="15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Size</w:t>
            </w:r>
          </w:p>
        </w:tc>
        <w:tc>
          <w:tcPr>
            <w:tcW w:type="dxa" w:w="2586"/>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License</w:t>
            </w:r>
          </w:p>
        </w:tc>
      </w:tr>
      <w:tr>
        <w:tc>
          <w:tcPr>
            <w:tcW w:type="dxa" w:w="20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Primary / everyday</w:t>
            </w:r>
          </w:p>
        </w:tc>
        <w:tc>
          <w:tcPr>
            <w:tcW w:type="dxa" w:w="34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Qwen3 14B — qwen3:14b</w:t>
            </w:r>
          </w:p>
        </w:tc>
        <w:tc>
          <w:tcPr>
            <w:tcW w:type="dxa" w:w="15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9.3GB</w:t>
            </w:r>
          </w:p>
        </w:tc>
        <w:tc>
          <w:tcPr>
            <w:tcW w:type="dxa" w:w="25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Apache 2.0</w:t>
            </w:r>
          </w:p>
        </w:tc>
      </w:tr>
      <w:tr>
        <w:tc>
          <w:tcPr>
            <w:tcW w:type="dxa" w:w="20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Heavy reasoning</w:t>
            </w:r>
          </w:p>
        </w:tc>
        <w:tc>
          <w:tcPr>
            <w:tcW w:type="dxa" w:w="34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DeepSeek-R1-Distill-Qwen-32B — deepseek-r1:32b</w:t>
            </w:r>
          </w:p>
        </w:tc>
        <w:tc>
          <w:tcPr>
            <w:tcW w:type="dxa" w:w="15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19GB</w:t>
            </w:r>
          </w:p>
        </w:tc>
        <w:tc>
          <w:tcPr>
            <w:tcW w:type="dxa" w:w="25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MIT (DeepSeek's own release, built on Qwen2.5-32B)</w:t>
            </w:r>
          </w:p>
        </w:tc>
      </w:tr>
      <w:tr>
        <w:tc>
          <w:tcPr>
            <w:tcW w:type="dxa" w:w="20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Fast utility</w:t>
            </w:r>
          </w:p>
        </w:tc>
        <w:tc>
          <w:tcPr>
            <w:tcW w:type="dxa" w:w="34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Gemma 3 4B — gemma3:4b</w:t>
            </w:r>
          </w:p>
        </w:tc>
        <w:tc>
          <w:tcPr>
            <w:tcW w:type="dxa" w:w="15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3.3GB</w:t>
            </w:r>
          </w:p>
        </w:tc>
        <w:tc>
          <w:tcPr>
            <w:tcW w:type="dxa" w:w="25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Apache 2.0</w:t>
            </w:r>
          </w:p>
        </w:tc>
      </w:tr>
    </w:tbl>
    <w:p>
      <w:pPr>
        <w:spacing w:after="240" w:before="80"/>
      </w:pPr>
      <w:r>
        <w:rPr>
          <w:rFonts w:ascii="Century Gothic" w:cs="Century Gothic" w:eastAsia="Century Gothic" w:hAnsi="Century Gothic"/>
          <w:i/>
          <w:iCs/>
          <w:color w:val="595959"/>
          <w:sz w:val="18"/>
          <w:szCs w:val="18"/>
        </w:rPr>
        <w:t xml:space="preserve">Licensing note: Alibaba closed Qwen 3.7-Max/Plus (flagship tier) to paid-API-only in 2026, but kept a mid-tier open under Apache 2.0 — what qwen3:14b and the DeepSeek distillation's base model both are. This doesn't affect anything already downloaded under an open license; there's no phone-home/enforcement mechanism for self-hosted open-weight models, and the risk is purely forward-looking, not a compliance issue with what's deployed here.</w:t>
      </w:r>
    </w:p>
    <w:p>
      <w:pPr>
        <w:spacing w:after="160"/>
        <w:jc w:val="left"/>
      </w:pPr>
      <w:r>
        <w:rPr>
          <w:rFonts w:ascii="Century Gothic" w:cs="Century Gothic" w:eastAsia="Century Gothic" w:hAnsi="Century Gothic"/>
          <w:i w:val="false"/>
          <w:iCs w:val="false"/>
          <w:color w:val="1A1A1A"/>
          <w:sz w:val="20"/>
          <w:szCs w:val="20"/>
        </w:rPr>
        <w:t xml:space="preserve">Scope note: only qwen3:14b is strictly required to validate the pipeline end to end. The reasoning and utility tiers exist for Niren's eventual usage plan but don't block getting the rest of the stack working.</w:t>
      </w:r>
    </w:p>
    <w:p>
      <w:pPr>
        <w:spacing w:after="120" w:before="240"/>
      </w:pPr>
      <w:r>
        <w:rPr>
          <w:rFonts w:ascii="Cambria" w:cs="Cambria" w:eastAsia="Cambria" w:hAnsi="Cambria"/>
          <w:b/>
          <w:bCs/>
          <w:color w:val="1B2A4A"/>
          <w:sz w:val="22"/>
          <w:szCs w:val="22"/>
        </w:rPr>
        <w:t xml:space="preserve">4.2 Benchmark Results (qwen3:14b, 19-Jul-2026)</w:t>
      </w:r>
    </w:p>
    <w:p>
      <w:pPr>
        <w:spacing w:after="160"/>
        <w:jc w:val="left"/>
      </w:pPr>
      <w:r>
        <w:rPr>
          <w:rFonts w:ascii="Century Gothic" w:cs="Century Gothic" w:eastAsia="Century Gothic" w:hAnsi="Century Gothic"/>
          <w:i w:val="false"/>
          <w:iCs w:val="false"/>
          <w:color w:val="1A1A1A"/>
          <w:sz w:val="20"/>
          <w:szCs w:val="20"/>
        </w:rPr>
        <w:t xml:space="preserve">ollama ps confirmed 100% GPU (no CPU offload).</w:t>
      </w:r>
    </w:p>
    <w:tbl>
      <w:tblPr>
        <w:tblW w:type="dxa" w:w="948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400"/>
        <w:gridCol w:w="1686"/>
      </w:tblGrid>
      <w:tr>
        <w:trPr>
          <w:tblHeader/>
        </w:trPr>
        <w:tc>
          <w:tcPr>
            <w:tcW w:type="dxa" w:w="32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Run</w:t>
            </w:r>
          </w:p>
        </w:tc>
        <w:tc>
          <w:tcPr>
            <w:tcW w:type="dxa" w:w="22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Prompt Eval Rate</w:t>
            </w:r>
          </w:p>
        </w:tc>
        <w:tc>
          <w:tcPr>
            <w:tcW w:type="dxa" w:w="24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Eval Rate (Generation)</w:t>
            </w:r>
          </w:p>
        </w:tc>
        <w:tc>
          <w:tcPr>
            <w:tcW w:type="dxa" w:w="1686"/>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Load Duration</w:t>
            </w:r>
          </w:p>
        </w:tc>
      </w:tr>
      <w:tr>
        <w:tc>
          <w:tcPr>
            <w:tcW w:type="dxa" w:w="32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Cold (first request after container start)</w:t>
            </w:r>
          </w:p>
        </w:tc>
        <w:tc>
          <w:tcPr>
            <w:tcW w:type="dxa" w:w="22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0.64 tok/s</w:t>
            </w:r>
          </w:p>
        </w:tc>
        <w:tc>
          <w:tcPr>
            <w:tcW w:type="dxa" w:w="24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w:t>
            </w:r>
          </w:p>
        </w:tc>
        <w:tc>
          <w:tcPr>
            <w:tcW w:type="dxa" w:w="16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36.2s</w:t>
            </w:r>
          </w:p>
        </w:tc>
      </w:tr>
      <w:tr>
        <w:tc>
          <w:tcPr>
            <w:tcW w:type="dxa" w:w="32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Warm (same prompt, second run)</w:t>
            </w:r>
          </w:p>
        </w:tc>
        <w:tc>
          <w:tcPr>
            <w:tcW w:type="dxa" w:w="22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106.06 tok/s</w:t>
            </w:r>
          </w:p>
        </w:tc>
        <w:tc>
          <w:tcPr>
            <w:tcW w:type="dxa" w:w="24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51.82 tok/s</w:t>
            </w:r>
          </w:p>
        </w:tc>
        <w:tc>
          <w:tcPr>
            <w:tcW w:type="dxa" w:w="16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4.9s</w:t>
            </w:r>
          </w:p>
        </w:tc>
      </w:tr>
    </w:tbl>
    <w:p>
      <w:pPr>
        <w:spacing w:after="240" w:before="80"/>
      </w:pPr>
      <w:r>
        <w:rPr>
          <w:rFonts w:ascii="Century Gothic" w:cs="Century Gothic" w:eastAsia="Century Gothic" w:hAnsi="Century Gothic"/>
          <w:i/>
          <w:iCs/>
          <w:color w:val="595959"/>
          <w:sz w:val="18"/>
          <w:szCs w:val="18"/>
        </w:rPr>
        <w:t xml:space="preserve">The first inference after any container/model (re)start is a cold-start outlier caused by one-time CUDA JIT/warmup — not a real performance problem. The warm number (51.82 tok/s) is the real figure and comfortably beats the ~35 tok/s reference point flagged as "not guaranteed." Always benchmark on the second request, not the first.</w:t>
      </w:r>
    </w:p>
    <w:p>
      <w:pPr>
        <w:spacing w:after="120" w:before="240"/>
      </w:pPr>
      <w:r>
        <w:rPr>
          <w:rFonts w:ascii="Cambria" w:cs="Cambria" w:eastAsia="Cambria" w:hAnsi="Cambria"/>
          <w:b/>
          <w:bCs/>
          <w:color w:val="1B2A4A"/>
          <w:sz w:val="22"/>
          <w:szCs w:val="22"/>
        </w:rPr>
        <w:t xml:space="preserve">4.3 Not Yet Configured</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num_ctx=8192 — plan is to set this per-request via API options (not baked into the model), so each consumer can override if needed. Not yet wired up — do this during Phase 5 integration</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Qwen3's default "thinking" mode (visible reasoning block, adds tokens/latency) — likely want to suppress this for proposal generation specifically. Revisit in Phase 5</w:t>
      </w:r>
    </w:p>
    <w:p>
      <w:pPr>
        <w:pBdr>
          <w:bottom w:val="single" w:color="1B2A4A" w:sz="6" w:space="4"/>
        </w:pBdr>
        <w:spacing w:after="160" w:before="320"/>
      </w:pPr>
      <w:r>
        <w:rPr>
          <w:rFonts w:ascii="Cambria" w:cs="Cambria" w:eastAsia="Cambria" w:hAnsi="Cambria"/>
          <w:b/>
          <w:bCs/>
          <w:color w:val="1B2A4A"/>
          <w:sz w:val="28"/>
          <w:szCs w:val="28"/>
        </w:rPr>
        <w:t xml:space="preserve">5. Remaining Phases</w:t>
      </w:r>
    </w:p>
    <w:p>
      <w:pPr>
        <w:spacing w:after="160"/>
        <w:jc w:val="left"/>
      </w:pPr>
      <w:r>
        <w:rPr>
          <w:rFonts w:ascii="Century Gothic" w:cs="Century Gothic" w:eastAsia="Century Gothic" w:hAnsi="Century Gothic"/>
          <w:i w:val="false"/>
          <w:iCs w:val="false"/>
          <w:color w:val="1A1A1A"/>
          <w:sz w:val="20"/>
          <w:szCs w:val="20"/>
        </w:rPr>
        <w:t xml:space="preserve">Phase 3 — Guardrails: NVIDIA NeMo Guardrails in front of the Ollama API — content safety, prompt injection defense, topic boundaries.</w:t>
      </w:r>
    </w:p>
    <w:p>
      <w:pPr>
        <w:spacing w:after="160"/>
        <w:jc w:val="left"/>
      </w:pPr>
      <w:r>
        <w:rPr>
          <w:rFonts w:ascii="Century Gothic" w:cs="Century Gothic" w:eastAsia="Century Gothic" w:hAnsi="Century Gothic"/>
          <w:i w:val="false"/>
          <w:iCs w:val="false"/>
          <w:color w:val="1A1A1A"/>
          <w:sz w:val="20"/>
          <w:szCs w:val="20"/>
        </w:rPr>
        <w:t xml:space="preserve">Phase 4 — Access layer: Open WebUI pointed at the guardrailed endpoint for staff chat access.</w:t>
      </w:r>
    </w:p>
    <w:p>
      <w:pPr>
        <w:spacing w:after="160"/>
        <w:jc w:val="left"/>
      </w:pPr>
      <w:r>
        <w:rPr>
          <w:rFonts w:ascii="Century Gothic" w:cs="Century Gothic" w:eastAsia="Century Gothic" w:hAnsi="Century Gothic"/>
          <w:i w:val="false"/>
          <w:iCs w:val="false"/>
          <w:color w:val="1A1A1A"/>
          <w:sz w:val="20"/>
          <w:szCs w:val="20"/>
        </w:rPr>
        <w:t xml:space="preserve">Phase 5 — NL-Proposal-Builder integration: update src/anthropic.js's multi-provider router, flip AI_PROVIDER, test end to end, decide on a Groq/OpenAI fallback strategy.</w:t>
      </w:r>
    </w:p>
    <w:p>
      <w:pPr>
        <w:spacing w:after="160"/>
        <w:jc w:val="left"/>
      </w:pPr>
      <w:r>
        <w:rPr>
          <w:rFonts w:ascii="Century Gothic" w:cs="Century Gothic" w:eastAsia="Century Gothic" w:hAnsi="Century Gothic"/>
          <w:i w:val="false"/>
          <w:iCs w:val="false"/>
          <w:color w:val="1A1A1A"/>
          <w:sz w:val="20"/>
          <w:szCs w:val="20"/>
        </w:rPr>
        <w:t xml:space="preserve">Phase 6 — Hand off to Niren: give him the guardrailed endpoint. Confirm he understands the concurrency=1 shared-queue behavior — his agent traffic and proposal-generation traffic queue behind each other, no priority lane yet.</w:t>
      </w:r>
    </w:p>
    <w:p>
      <w:pPr>
        <w:spacing w:after="160"/>
        <w:jc w:val="left"/>
      </w:pPr>
      <w:r>
        <w:rPr>
          <w:rFonts w:ascii="Century Gothic" w:cs="Century Gothic" w:eastAsia="Century Gothic" w:hAnsi="Century Gothic"/>
          <w:i w:val="false"/>
          <w:iCs w:val="false"/>
          <w:color w:val="1A1A1A"/>
          <w:sz w:val="20"/>
          <w:szCs w:val="20"/>
        </w:rPr>
        <w:t xml:space="preserve">Phase 7 — Backlog: document-vision and embedding/reranker model tiers, evaluate Ollama-to-vLLM migration once concurrency needs grow, consider a priority queue and/or MIG partitioning if needed.</w:t>
      </w:r>
    </w:p>
    <w:p>
      <w:pPr>
        <w:pBdr>
          <w:bottom w:val="single" w:color="1B2A4A" w:sz="6" w:space="4"/>
        </w:pBdr>
        <w:spacing w:after="160" w:before="320"/>
      </w:pPr>
      <w:r>
        <w:rPr>
          <w:rFonts w:ascii="Cambria" w:cs="Cambria" w:eastAsia="Cambria" w:hAnsi="Cambria"/>
          <w:b/>
          <w:bCs/>
          <w:color w:val="1B2A4A"/>
          <w:sz w:val="28"/>
          <w:szCs w:val="28"/>
        </w:rPr>
        <w:t xml:space="preserve">6. Troubleshooting Quick Reference</w:t>
      </w:r>
    </w:p>
    <w:tbl>
      <w:tblPr>
        <w:tblW w:type="dxa" w:w="8486"/>
        <w:tblBorders>
          <w:top w:val="single" w:color="auto" w:sz="4"/>
          <w:left w:val="single" w:color="auto" w:sz="4"/>
          <w:bottom w:val="single" w:color="auto" w:sz="4"/>
          <w:right w:val="single" w:color="auto" w:sz="4"/>
          <w:insideH w:val="single" w:color="auto" w:sz="4"/>
          <w:insideV w:val="single" w:color="auto" w:sz="4"/>
        </w:tblBorders>
      </w:tblPr>
      <w:tblGrid>
        <w:gridCol w:w="2800"/>
        <w:gridCol w:w="2843"/>
        <w:gridCol w:w="2843"/>
      </w:tblGrid>
      <w:tr>
        <w:trPr>
          <w:tblHeader/>
        </w:trPr>
        <w:tc>
          <w:tcPr>
            <w:tcW w:type="dxa" w:w="28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Symptom</w:t>
            </w:r>
          </w:p>
        </w:tc>
        <w:tc>
          <w:tcPr>
            <w:tcW w:type="dxa" w:w="2843"/>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Cause</w:t>
            </w:r>
          </w:p>
        </w:tc>
        <w:tc>
          <w:tcPr>
            <w:tcW w:type="dxa" w:w="2843"/>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Fix</w:t>
            </w:r>
          </w:p>
        </w:tc>
      </w:tr>
      <w:tr>
        <w:tc>
          <w:tcPr>
            <w:tcW w:type="dxa" w:w="28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GPU doesn't show in lspci inside guest</w:t>
            </w:r>
          </w:p>
        </w:tc>
        <w:tc>
          <w:tcPr>
            <w:tcW w:type="dxa" w:w="2843"/>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MMIO space too small</w:t>
            </w:r>
          </w:p>
        </w:tc>
        <w:tc>
          <w:tcPr>
            <w:tcW w:type="dxa" w:w="2843"/>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Bump HighMemoryMappedIoSpace to 64GB, restart guest (Section 3.2)</w:t>
            </w:r>
          </w:p>
        </w:tc>
      </w:tr>
      <w:tr>
        <w:tc>
          <w:tcPr>
            <w:tcW w:type="dxa" w:w="28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Mount-VMHostAssignableDevice fails: "cannot be deleted, in use"</w:t>
            </w:r>
          </w:p>
        </w:tc>
        <w:tc>
          <w:tcPr>
            <w:tcW w:type="dxa" w:w="2843"/>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Host has an active driver bound to the GPU</w:t>
            </w:r>
          </w:p>
        </w:tc>
        <w:tc>
          <w:tcPr>
            <w:tcW w:type="dxa" w:w="2843"/>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Disable-PnpDevice first, then retry dismount/mount</w:t>
            </w:r>
          </w:p>
        </w:tc>
      </w:tr>
      <w:tr>
        <w:tc>
          <w:tcPr>
            <w:tcW w:type="dxa" w:w="28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docker needs sudo even after usermod -aG docker</w:t>
            </w:r>
          </w:p>
        </w:tc>
        <w:tc>
          <w:tcPr>
            <w:tcW w:type="dxa" w:w="2843"/>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Group change needs a fresh login</w:t>
            </w:r>
          </w:p>
        </w:tc>
        <w:tc>
          <w:tcPr>
            <w:tcW w:type="dxa" w:w="2843"/>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Exit and reconnect via SSH — avoid newgrp</w:t>
            </w:r>
          </w:p>
        </w:tc>
      </w:tr>
      <w:tr>
        <w:tc>
          <w:tcPr>
            <w:tcW w:type="dxa" w:w="28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First LLM request very slow (30-40s, &lt;1 tok/s prompt eval)</w:t>
            </w:r>
          </w:p>
        </w:tc>
        <w:tc>
          <w:tcPr>
            <w:tcW w:type="dxa" w:w="2843"/>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One-time CUDA JIT/warmup</w:t>
            </w:r>
          </w:p>
        </w:tc>
        <w:tc>
          <w:tcPr>
            <w:tcW w:type="dxa" w:w="2843"/>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Not a bug — benchmark the second request</w:t>
            </w:r>
          </w:p>
        </w:tc>
      </w:tr>
      <w:tr>
        <w:tc>
          <w:tcPr>
            <w:tcW w:type="dxa" w:w="28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PowerShell paste produces garbled/merged commands</w:t>
            </w:r>
          </w:p>
        </w:tc>
        <w:tc>
          <w:tcPr>
            <w:tcW w:type="dxa" w:w="2843"/>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RDP clipboard can drop characters, merging commands via the &gt;&gt; continuation prompt</w:t>
            </w:r>
          </w:p>
        </w:tc>
        <w:tc>
          <w:tcPr>
            <w:tcW w:type="dxa" w:w="2843"/>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Paste commands one at a time; Ctrl+C and retry if &gt;&gt; appears unexpectedly</w:t>
            </w:r>
          </w:p>
        </w:tc>
      </w:tr>
    </w:tbl>
    <w:p>
      <w:pPr>
        <w:pBdr>
          <w:bottom w:val="single" w:color="1B2A4A" w:sz="6" w:space="4"/>
        </w:pBdr>
        <w:spacing w:after="160" w:before="320"/>
      </w:pPr>
      <w:r>
        <w:rPr>
          <w:rFonts w:ascii="Cambria" w:cs="Cambria" w:eastAsia="Cambria" w:hAnsi="Cambria"/>
          <w:b/>
          <w:bCs/>
          <w:color w:val="1B2A4A"/>
          <w:sz w:val="28"/>
          <w:szCs w:val="28"/>
        </w:rPr>
        <w:t xml:space="preserve">7. Credentials and Access</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VM SSH: ssh &lt;username&gt;@192.168.71.11 (LAN) — credentials held by whoever provisioned the VM, not stored in this document or the repo</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Ollama API (internal only, not yet guardrailed): http://192.168.71.11:11434</w:t>
      </w:r>
    </w:p>
    <w:p>
      <w:pPr>
        <w:pStyle w:val="ListParagraph"/>
        <w:numPr>
          <w:ilvl w:val="0"/>
          <w:numId w:val="2"/>
        </w:numPr>
        <w:spacing w:after="100"/>
      </w:pPr>
      <w:r>
        <w:rPr>
          <w:rFonts w:ascii="Century Gothic" w:cs="Century Gothic" w:eastAsia="Century Gothic" w:hAnsi="Century Gothic"/>
          <w:sz w:val="20"/>
          <w:szCs w:val="20"/>
        </w:rPr>
        <w:t xml:space="preserve"/>
      </w:r>
      <w:r>
        <w:rPr>
          <w:rFonts w:ascii="Century Gothic" w:cs="Century Gothic" w:eastAsia="Century Gothic" w:hAnsi="Century Gothic"/>
          <w:color w:val="1A1A1A"/>
          <w:sz w:val="20"/>
          <w:szCs w:val="20"/>
        </w:rPr>
        <w:t xml:space="preserve">Host PowerShell/RDP: 192.168.71.2 — standard NLABDLAS01 admin credentials, not stored in this document or the repo</w:t>
      </w:r>
    </w:p>
    <w:p>
      <w:pPr>
        <w:spacing w:after="240" w:before="80"/>
      </w:pPr>
      <w:r>
        <w:rPr>
          <w:rFonts w:ascii="Century Gothic" w:cs="Century Gothic" w:eastAsia="Century Gothic" w:hAnsi="Century Gothic"/>
          <w:i/>
          <w:iCs/>
          <w:color w:val="595959"/>
          <w:sz w:val="18"/>
          <w:szCs w:val="18"/>
        </w:rPr>
        <w:t xml:space="preserve">Full command-by-command detail and the source scripts live in the On-Prem-Concurrent-LLM GitHub repository (private, raghuforlearning account) — this document is the narrative/operational companion, not a replacement for the scripts.</w:t>
      </w:r>
    </w:p>
    <w:sectPr>
      <w:headerReference w:type="default" r:id="rId7"/>
      <w:footerReference w:type="default" r:id="rId8"/>
      <w:pgSz w:w="12240" w:h="15840" w:orient="portrait"/>
      <w:pgMar w:top="1440" w:right="616"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entury Gothic" w:cs="Century Gothic" w:eastAsia="Century Gothic" w:hAnsi="Century Gothic"/>
        <w:color w:val="595959"/>
        <w:sz w:val="16"/>
        <w:szCs w:val="16"/>
      </w:rPr>
      <w:t xml:space="preserve">Confidential — Internal Infrastructure Document</w:t>
    </w:r>
    <w:r>
      <w:rPr>
        <w:rFonts w:ascii="Century Gothic" w:cs="Century Gothic" w:eastAsia="Century Gothic" w:hAnsi="Century Gothic"/>
        <w:color w:val="595959"/>
        <w:sz w:val="16"/>
        <w:szCs w:val="16"/>
      </w:rPr>
      <w:t xml:space="preserve">	</w:t>
    </w:r>
    <w:r>
      <w:rPr>
        <w:rFonts w:ascii="Century Gothic" w:cs="Century Gothic" w:eastAsia="Century Gothic" w:hAnsi="Century Gothic"/>
        <w:color w:val="595959"/>
        <w:sz w:val="16"/>
        <w:szCs w:val="16"/>
      </w:rPr>
      <w:t xml:space="preserve">Page </w:t>
    </w:r>
    <w:r>
      <w:rPr>
        <w:rFonts w:ascii="Century Gothic" w:cs="Century Gothic" w:eastAsia="Century Gothic" w:hAnsi="Century Gothic"/>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entury Gothic" w:cs="Century Gothic" w:eastAsia="Century Gothic" w:hAnsi="Century Gothic"/>
        <w:color w:val="595959"/>
        <w:sz w:val="16"/>
        <w:szCs w:val="16"/>
      </w:rPr>
      <w:t xml:space="preserve">NationLabs Technical Research &amp;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2026-07-19T17:19:09.633Z</dcterms:created>
  <dcterms:modified xsi:type="dcterms:W3CDTF">2026-07-19T17:19:09.683Z</dcterms:modified>
</cp:coreProperties>
</file>

<file path=docProps/custom.xml><?xml version="1.0" encoding="utf-8"?>
<Properties xmlns="http://schemas.openxmlformats.org/officeDocument/2006/custom-properties" xmlns:vt="http://schemas.openxmlformats.org/officeDocument/2006/docPropsVTypes"/>
</file>