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B2A4A"/>
          <w:sz w:val="40"/>
          <w:szCs w:val="40"/>
        </w:rPr>
        <w:t xml:space="preserve">AI Guardrail Policy — v1.0 (Approved)</w:t>
      </w:r>
    </w:p>
    <w:p>
      <w:pPr>
        <w:spacing w:after="40"/>
      </w:pPr>
      <w:r>
        <w:rPr>
          <w:rFonts w:ascii="Century Gothic" w:cs="Century Gothic" w:eastAsia="Century Gothic" w:hAnsi="Century Gothic"/>
          <w:b/>
          <w:bCs/>
          <w:color w:val="1A1A1A"/>
          <w:sz w:val="24"/>
          <w:szCs w:val="24"/>
        </w:rPr>
        <w:t xml:space="preserve">On-Prem Concurrent LLM Platform — NL-AI-Inference-01</w:t>
      </w:r>
    </w:p>
    <w:p>
      <w:pPr>
        <w:spacing w:after="400"/>
      </w:pPr>
      <w:r>
        <w:rPr>
          <w:rFonts w:ascii="Century Gothic" w:cs="Century Gothic" w:eastAsia="Century Gothic" w:hAnsi="Century Gothic"/>
          <w:color w:val="595959"/>
          <w:sz w:val="18"/>
          <w:szCs w:val="18"/>
        </w:rPr>
        <w:t xml:space="preserve">21-Jul-2026   |   Approved by Niren   |   Prepared by Raghu, NationLabs Technical Research &amp; Development</w:t>
      </w:r>
    </w:p>
    <w:p>
      <w:pPr>
        <w:pBdr>
          <w:bottom w:val="single" w:color="1B2A4A" w:sz="6" w:space="4"/>
        </w:pBdr>
        <w:spacing w:after="160" w:before="320"/>
      </w:pPr>
      <w:r>
        <w:rPr>
          <w:rFonts w:ascii="Cambria" w:cs="Cambria" w:eastAsia="Cambria" w:hAnsi="Cambria"/>
          <w:b/>
          <w:bCs/>
          <w:color w:val="1B2A4A"/>
          <w:sz w:val="28"/>
          <w:szCs w:val="28"/>
        </w:rPr>
        <w:t xml:space="preserve">Version History</w:t>
      </w:r>
    </w:p>
    <w:tbl>
      <w:tblPr>
        <w:tblW w:type="dxa" w:w="948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586"/>
        <w:gridCol w:w="1500"/>
      </w:tblGrid>
      <w:tr>
        <w:trPr>
          <w:tblHeader/>
        </w:trPr>
        <w:tc>
          <w:tcPr>
            <w:tcW w:type="dxa" w:w="17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Version</w:t>
            </w:r>
          </w:p>
        </w:tc>
        <w:tc>
          <w:tcPr>
            <w:tcW w:type="dxa" w:w="17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Date</w:t>
            </w:r>
          </w:p>
        </w:tc>
        <w:tc>
          <w:tcPr>
            <w:tcW w:type="dxa" w:w="45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Changes</w:t>
            </w:r>
          </w:p>
        </w:tc>
        <w:tc>
          <w:tcPr>
            <w:tcW w:type="dxa" w:w="15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Status</w:t>
            </w:r>
          </w:p>
        </w:tc>
      </w:tr>
      <w:tr>
        <w:tc>
          <w:tcPr>
            <w:tcW w:type="dxa" w:w="17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v0.1 (Draft)</w:t>
            </w:r>
          </w:p>
        </w:tc>
        <w:tc>
          <w:tcPr>
            <w:tcW w:type="dxa" w:w="17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20-Jul-2026</w:t>
            </w:r>
          </w:p>
        </w:tc>
        <w:tc>
          <w:tcPr>
            <w:tcW w:type="dxa" w:w="45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Initial draft circulated for review</w:t>
            </w:r>
          </w:p>
        </w:tc>
        <w:tc>
          <w:tcPr>
            <w:tcW w:type="dxa" w:w="15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Superseded</w:t>
            </w:r>
          </w:p>
        </w:tc>
      </w:tr>
      <w:tr>
        <w:tc>
          <w:tcPr>
            <w:tcW w:type="dxa" w:w="17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v1.0</w:t>
            </w:r>
          </w:p>
        </w:tc>
        <w:tc>
          <w:tcPr>
            <w:tcW w:type="dxa" w:w="17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21-Jul-2026</w:t>
            </w:r>
          </w:p>
        </w:tc>
        <w:tc>
          <w:tcPr>
            <w:tcW w:type="dxa" w:w="45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Niren's decisions on Sections 5, 8, 10 incorporated; RBAC and UAT/Prod environment design added</w:t>
            </w:r>
          </w:p>
        </w:tc>
        <w:tc>
          <w:tcPr>
            <w:tcW w:type="dxa" w:w="15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Approved — current</w:t>
            </w:r>
          </w:p>
        </w:tc>
      </w:tr>
    </w:tbl>
    <w:p>
      <w:pPr>
        <w:spacing w:after="240" w:before="80"/>
      </w:pPr>
      <w:r>
        <w:rPr>
          <w:rFonts w:ascii="Century Gothic" w:cs="Century Gothic" w:eastAsia="Century Gothic" w:hAnsi="Century Gothic"/>
          <w:i/>
          <w:iCs/>
          <w:color w:val="595959"/>
          <w:sz w:val="18"/>
          <w:szCs w:val="18"/>
        </w:rPr>
        <w:t xml:space="preserve">Future changes go through the same draft → review → sign-off cycle and become v1.1, v1.2, etc. See Section 13.</w:t>
      </w:r>
    </w:p>
    <w:p>
      <w:pPr>
        <w:pBdr>
          <w:bottom w:val="single" w:color="1B2A4A" w:sz="6" w:space="4"/>
        </w:pBdr>
        <w:spacing w:after="160" w:before="320"/>
      </w:pPr>
      <w:r>
        <w:rPr>
          <w:rFonts w:ascii="Cambria" w:cs="Cambria" w:eastAsia="Cambria" w:hAnsi="Cambria"/>
          <w:b/>
          <w:bCs/>
          <w:color w:val="1B2A4A"/>
          <w:sz w:val="28"/>
          <w:szCs w:val="28"/>
        </w:rPr>
        <w:t xml:space="preserve">1. Purpose &amp; Scope</w:t>
      </w:r>
    </w:p>
    <w:p>
      <w:pPr>
        <w:spacing w:after="160"/>
        <w:jc w:val="both"/>
      </w:pPr>
      <w:r>
        <w:rPr>
          <w:rFonts w:ascii="Century Gothic" w:cs="Century Gothic" w:eastAsia="Century Gothic" w:hAnsi="Century Gothic"/>
          <w:i w:val="false"/>
          <w:iCs w:val="false"/>
          <w:color w:val="1A1A1A"/>
          <w:sz w:val="20"/>
          <w:szCs w:val="20"/>
        </w:rPr>
        <w:t xml:space="preserve">This is the approved v1.0 content-safety and behavior policy enforced by NVIDIA NeMo Guardrails in front of the Ollama serving layer on NL-AI-Inference-01. It applies to both consumers of the platform: NL-Proposal-Builder and Niren's AI agents. This version incorporates Niren's review comments on the v0.1 draft and is cleared for Phase 3 implementation.</w:t>
      </w:r>
    </w:p>
    <w:p>
      <w:pPr>
        <w:pBdr>
          <w:bottom w:val="single" w:color="1B2A4A" w:sz="6" w:space="4"/>
        </w:pBdr>
        <w:spacing w:after="160" w:before="320"/>
      </w:pPr>
      <w:r>
        <w:rPr>
          <w:rFonts w:ascii="Cambria" w:cs="Cambria" w:eastAsia="Cambria" w:hAnsi="Cambria"/>
          <w:b/>
          <w:bCs/>
          <w:color w:val="1B2A4A"/>
          <w:sz w:val="28"/>
          <w:szCs w:val="28"/>
        </w:rPr>
        <w:t xml:space="preserve">2. Content Safety Categories — Approved</w:t>
      </w:r>
    </w:p>
    <w:p>
      <w:pPr>
        <w:spacing w:after="160"/>
        <w:jc w:val="left"/>
      </w:pPr>
      <w:r>
        <w:rPr>
          <w:rFonts w:ascii="Century Gothic" w:cs="Century Gothic" w:eastAsia="Century Gothic" w:hAnsi="Century Gothic"/>
          <w:i w:val="false"/>
          <w:iCs w:val="false"/>
          <w:color w:val="1A1A1A"/>
          <w:sz w:val="20"/>
          <w:szCs w:val="20"/>
        </w:rPr>
        <w:t xml:space="preserve">Confirmed as proposed, no changes.</w:t>
      </w:r>
    </w:p>
    <w:tbl>
      <w:tblPr>
        <w:tblW w:type="dxa" w:w="948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86"/>
      </w:tblGrid>
      <w:tr>
        <w:trPr>
          <w:tblHeader/>
        </w:trPr>
        <w:tc>
          <w:tcPr>
            <w:tcW w:type="dxa" w:w="26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Category</w:t>
            </w:r>
          </w:p>
        </w:tc>
        <w:tc>
          <w:tcPr>
            <w:tcW w:type="dxa" w:w="18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Action</w:t>
            </w:r>
          </w:p>
        </w:tc>
        <w:tc>
          <w:tcPr>
            <w:tcW w:type="dxa" w:w="50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Notes</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Violence / graphic content</w:t>
            </w:r>
          </w:p>
        </w:tc>
        <w:tc>
          <w:tcPr>
            <w:tcW w:type="dxa" w:w="18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w:t>
            </w:r>
          </w:p>
        </w:tc>
        <w:tc>
          <w:tcPr>
            <w:tcW w:type="dxa" w:w="50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 legitimate use case for this platform</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Hate speech / harassment</w:t>
            </w:r>
          </w:p>
        </w:tc>
        <w:tc>
          <w:tcPr>
            <w:tcW w:type="dxa" w:w="18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w:t>
            </w:r>
          </w:p>
        </w:tc>
        <w:tc>
          <w:tcPr>
            <w:tcW w:type="dxa" w:w="50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 exceptions</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Sexual content</w:t>
            </w:r>
          </w:p>
        </w:tc>
        <w:tc>
          <w:tcPr>
            <w:tcW w:type="dxa" w:w="18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w:t>
            </w:r>
          </w:p>
        </w:tc>
        <w:tc>
          <w:tcPr>
            <w:tcW w:type="dxa" w:w="50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 exceptions</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Self-harm content</w:t>
            </w:r>
          </w:p>
        </w:tc>
        <w:tc>
          <w:tcPr>
            <w:tcW w:type="dxa" w:w="18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 + redirect</w:t>
            </w:r>
          </w:p>
        </w:tc>
        <w:tc>
          <w:tcPr>
            <w:tcW w:type="dxa" w:w="50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Refuse and redirect to a support resource where relevant</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Illegal activity (weapons, drugs, CBRN)</w:t>
            </w:r>
          </w:p>
        </w:tc>
        <w:tc>
          <w:tcPr>
            <w:tcW w:type="dxa" w:w="18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w:t>
            </w:r>
          </w:p>
        </w:tc>
        <w:tc>
          <w:tcPr>
            <w:tcW w:type="dxa" w:w="50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 exceptions regardless of framing</w:t>
            </w:r>
          </w:p>
        </w:tc>
      </w:tr>
      <w:tr>
        <w:tc>
          <w:tcPr>
            <w:tcW w:type="dxa" w:w="26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Extremist / hate ideology content</w:t>
            </w:r>
          </w:p>
        </w:tc>
        <w:tc>
          <w:tcPr>
            <w:tcW w:type="dxa" w:w="18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w:t>
            </w:r>
          </w:p>
        </w:tc>
        <w:tc>
          <w:tcPr>
            <w:tcW w:type="dxa" w:w="50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 exceptions</w:t>
            </w:r>
          </w:p>
        </w:tc>
      </w:tr>
      <w:tr>
        <w:tc>
          <w:tcPr>
            <w:tcW w:type="dxa" w:w="26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Profanity / mild toxicity</w:t>
            </w:r>
          </w:p>
        </w:tc>
        <w:tc>
          <w:tcPr>
            <w:tcW w:type="dxa" w:w="18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Flag + Log</w:t>
            </w:r>
          </w:p>
        </w:tc>
        <w:tc>
          <w:tcPr>
            <w:tcW w:type="dxa" w:w="50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Logged for visibility, not blocked</w:t>
            </w:r>
          </w:p>
        </w:tc>
      </w:tr>
    </w:tbl>
    <w:p>
      <w:pPr>
        <w:pBdr>
          <w:bottom w:val="single" w:color="1B2A4A" w:sz="6" w:space="4"/>
        </w:pBdr>
        <w:spacing w:after="160" w:before="320"/>
      </w:pPr>
      <w:r>
        <w:rPr>
          <w:rFonts w:ascii="Cambria" w:cs="Cambria" w:eastAsia="Cambria" w:hAnsi="Cambria"/>
          <w:b/>
          <w:bCs/>
          <w:color w:val="1B2A4A"/>
          <w:sz w:val="28"/>
          <w:szCs w:val="28"/>
        </w:rPr>
        <w:t xml:space="preserve">3. Prompt Injection &amp; Jailbreak Defense — Approved</w:t>
      </w:r>
    </w:p>
    <w:p>
      <w:pPr>
        <w:spacing w:after="160"/>
        <w:jc w:val="both"/>
      </w:pPr>
      <w:r>
        <w:rPr>
          <w:rFonts w:ascii="Century Gothic" w:cs="Century Gothic" w:eastAsia="Century Gothic" w:hAnsi="Century Gothic"/>
          <w:i w:val="false"/>
          <w:iCs w:val="false"/>
          <w:color w:val="1A1A1A"/>
          <w:sz w:val="20"/>
          <w:szCs w:val="20"/>
        </w:rPr>
        <w:t xml:space="preserve">Confirmed as proposed. NeMo Guardrails' built-in jailbreak-detection rails are enabled for both consumers. This is one of the two links (alongside Section 6 output-handling) in what security research calls the agent "kill-chain" — indirect prompt injection leading an over-permissioned tool to take an unintended action — so it stays mandatory for every current and future consumer, not optional per-app.</w:t>
      </w:r>
    </w:p>
    <w:p>
      <w:pPr>
        <w:pBdr>
          <w:bottom w:val="single" w:color="1B2A4A" w:sz="6" w:space="4"/>
        </w:pBdr>
        <w:spacing w:after="160" w:before="320"/>
      </w:pPr>
      <w:r>
        <w:rPr>
          <w:rFonts w:ascii="Cambria" w:cs="Cambria" w:eastAsia="Cambria" w:hAnsi="Cambria"/>
          <w:b/>
          <w:bCs/>
          <w:color w:val="1B2A4A"/>
          <w:sz w:val="28"/>
          <w:szCs w:val="28"/>
        </w:rPr>
        <w:t xml:space="preserve">4. Data Confidentiality &amp; PII Handling — Approved</w:t>
      </w:r>
    </w:p>
    <w:p>
      <w:pPr>
        <w:pStyle w:val="ListParagraph"/>
        <w:numPr>
          <w:ilvl w:val="0"/>
          <w:numId w:val="2"/>
        </w:numPr>
        <w:spacing w:after="100"/>
      </w:pPr>
      <w:r>
        <w:rPr>
          <w:rFonts w:ascii="Century Gothic" w:cs="Century Gothic" w:eastAsia="Century Gothic" w:hAnsi="Century Gothic"/>
          <w:color w:val="1A1A1A"/>
          <w:sz w:val="20"/>
          <w:szCs w:val="20"/>
        </w:rPr>
        <w:t xml:space="preserve">No output of credentials, internal IPs, or infrastructure details unless explicitly authorized in the request context.</w:t>
      </w:r>
    </w:p>
    <w:p>
      <w:pPr>
        <w:pStyle w:val="ListParagraph"/>
        <w:numPr>
          <w:ilvl w:val="0"/>
          <w:numId w:val="2"/>
        </w:numPr>
        <w:spacing w:after="100"/>
      </w:pPr>
      <w:r>
        <w:rPr>
          <w:rFonts w:ascii="Century Gothic" w:cs="Century Gothic" w:eastAsia="Century Gothic" w:hAnsi="Century Gothic"/>
          <w:color w:val="1A1A1A"/>
          <w:sz w:val="20"/>
          <w:szCs w:val="20"/>
        </w:rPr>
        <w:t xml:space="preserve">Client/proposal data isolation enforced at the application layer (session/context scoping) — dependency for Phase 5.</w:t>
      </w:r>
    </w:p>
    <w:p>
      <w:pPr>
        <w:pStyle w:val="ListParagraph"/>
        <w:numPr>
          <w:ilvl w:val="0"/>
          <w:numId w:val="2"/>
        </w:numPr>
        <w:spacing w:after="100"/>
      </w:pPr>
      <w:r>
        <w:rPr>
          <w:rFonts w:ascii="Century Gothic" w:cs="Century Gothic" w:eastAsia="Century Gothic" w:hAnsi="Century Gothic"/>
          <w:color w:val="1A1A1A"/>
          <w:sz w:val="20"/>
          <w:szCs w:val="20"/>
        </w:rPr>
        <w:t xml:space="preserve">PII redaction — mask SSNs, credit cards, personal emails/phone numbers unless the business context specifically requires them.</w:t>
      </w:r>
    </w:p>
    <w:p>
      <w:pPr>
        <w:pBdr>
          <w:bottom w:val="single" w:color="1B2A4A" w:sz="6" w:space="4"/>
        </w:pBdr>
        <w:spacing w:after="160" w:before="320"/>
      </w:pPr>
      <w:r>
        <w:rPr>
          <w:rFonts w:ascii="Cambria" w:cs="Cambria" w:eastAsia="Cambria" w:hAnsi="Cambria"/>
          <w:b/>
          <w:bCs/>
          <w:color w:val="1B2A4A"/>
          <w:sz w:val="28"/>
          <w:szCs w:val="28"/>
        </w:rPr>
        <w:t xml:space="preserve">5. Topic / Scope Boundaries — Decision: Open, Shared Responsibility</w:t>
      </w:r>
    </w:p>
    <w:p>
      <w:pPr>
        <w:spacing w:after="160"/>
        <w:jc w:val="both"/>
      </w:pPr>
      <w:r>
        <w:rPr>
          <w:rFonts w:ascii="Century Gothic" w:cs="Century Gothic" w:eastAsia="Century Gothic" w:hAnsi="Century Gothic"/>
          <w:i w:val="false"/>
          <w:iCs w:val="false"/>
          <w:color w:val="1A1A1A"/>
          <w:sz w:val="20"/>
          <w:szCs w:val="20"/>
        </w:rPr>
        <w:t xml:space="preserve">Niren's decision: keep the guardrail layer open (no platform-wide topic restriction). Scope boundaries are instead built into each consuming application's own interface or system prompt.</w:t>
      </w:r>
    </w:p>
    <w:p>
      <w:pPr>
        <w:spacing w:after="120" w:before="240"/>
      </w:pPr>
      <w:r>
        <w:rPr>
          <w:rFonts w:ascii="Cambria" w:cs="Cambria" w:eastAsia="Cambria" w:hAnsi="Cambria"/>
          <w:b/>
          <w:bCs/>
          <w:color w:val="1B2A4A"/>
          <w:sz w:val="22"/>
          <w:szCs w:val="22"/>
        </w:rPr>
        <w:t xml:space="preserve">5.1 What this means in practice</w:t>
      </w:r>
    </w:p>
    <w:p>
      <w:pPr>
        <w:spacing w:after="160"/>
        <w:jc w:val="left"/>
      </w:pPr>
      <w:r>
        <w:rPr>
          <w:rFonts w:ascii="Century Gothic" w:cs="Century Gothic" w:eastAsia="Century Gothic" w:hAnsi="Century Gothic"/>
          <w:i w:val="false"/>
          <w:iCs w:val="false"/>
          <w:color w:val="1A1A1A"/>
          <w:sz w:val="20"/>
          <w:szCs w:val="20"/>
        </w:rPr>
        <w:t xml:space="preserve">The guardrail platform provides the universal safety net — Sections 2, 3, 4, 6, and 7 apply to everyone, no exceptions. Topic/scope boundaries (e.g. "only answer presales/infrastructure questions") are each application's own responsibility, defined in its system prompt, not enforced centrally.</w:t>
      </w:r>
    </w:p>
    <w:p>
      <w:pPr>
        <w:spacing w:after="120" w:before="240"/>
      </w:pPr>
      <w:r>
        <w:rPr>
          <w:rFonts w:ascii="Cambria" w:cs="Cambria" w:eastAsia="Cambria" w:hAnsi="Cambria"/>
          <w:b/>
          <w:bCs/>
          <w:color w:val="1B2A4A"/>
          <w:sz w:val="22"/>
          <w:szCs w:val="22"/>
        </w:rPr>
        <w:t xml:space="preserve">5.2 New requirement this creates</w:t>
      </w:r>
    </w:p>
    <w:p>
      <w:pPr>
        <w:spacing w:after="160"/>
        <w:jc w:val="both"/>
      </w:pPr>
      <w:r>
        <w:rPr>
          <w:rFonts w:ascii="Century Gothic" w:cs="Century Gothic" w:eastAsia="Century Gothic" w:hAnsi="Century Gothic"/>
          <w:i w:val="false"/>
          <w:iCs w:val="false"/>
          <w:color w:val="1A1A1A"/>
          <w:sz w:val="20"/>
          <w:szCs w:val="20"/>
        </w:rPr>
        <w:t xml:space="preserve">Because scope enforcement moves to the application layer, every new application or agent built on this platform needs its system prompt and scope design reviewed before go-live — otherwise "open" at the guardrail layer plus an unreviewed app-level prompt is a gap, not a feature. This is now a standing requirement, folded into the go-live checklist in the companion AI Security Framework document (Section 6 of that document).</w:t>
      </w:r>
    </w:p>
    <w:p>
      <w:pPr>
        <w:pBdr>
          <w:bottom w:val="single" w:color="1B2A4A" w:sz="6" w:space="4"/>
        </w:pBdr>
        <w:spacing w:after="160" w:before="320"/>
      </w:pPr>
      <w:r>
        <w:rPr>
          <w:rFonts w:ascii="Cambria" w:cs="Cambria" w:eastAsia="Cambria" w:hAnsi="Cambria"/>
          <w:b/>
          <w:bCs/>
          <w:color w:val="1B2A4A"/>
          <w:sz w:val="28"/>
          <w:szCs w:val="28"/>
        </w:rPr>
        <w:t xml:space="preserve">6. Technical Output Accuracy — Approved</w:t>
      </w:r>
    </w:p>
    <w:p>
      <w:pPr>
        <w:spacing w:after="160"/>
        <w:jc w:val="left"/>
      </w:pPr>
      <w:r>
        <w:rPr>
          <w:rFonts w:ascii="Century Gothic" w:cs="Century Gothic" w:eastAsia="Century Gothic" w:hAnsi="Century Gothic"/>
          <w:i w:val="false"/>
          <w:iCs w:val="false"/>
          <w:color w:val="1A1A1A"/>
          <w:sz w:val="20"/>
          <w:szCs w:val="20"/>
        </w:rPr>
        <w:t xml:space="preserve">Confirmed as proposed. Numeric/technical claims in proposal-generation output carry a confidence flag or "verify before sending" marker rather than being presented as fact by default.</w:t>
      </w:r>
    </w:p>
    <w:p>
      <w:pPr>
        <w:pBdr>
          <w:bottom w:val="single" w:color="1B2A4A" w:sz="6" w:space="4"/>
        </w:pBdr>
        <w:spacing w:after="160" w:before="320"/>
      </w:pPr>
      <w:r>
        <w:rPr>
          <w:rFonts w:ascii="Cambria" w:cs="Cambria" w:eastAsia="Cambria" w:hAnsi="Cambria"/>
          <w:b/>
          <w:bCs/>
          <w:color w:val="1B2A4A"/>
          <w:sz w:val="28"/>
          <w:szCs w:val="28"/>
        </w:rPr>
        <w:t xml:space="preserve">7. Code Generation Safety — Approved</w:t>
      </w:r>
    </w:p>
    <w:p>
      <w:pPr>
        <w:spacing w:after="160"/>
        <w:jc w:val="left"/>
      </w:pPr>
      <w:r>
        <w:rPr>
          <w:rFonts w:ascii="Century Gothic" w:cs="Century Gothic" w:eastAsia="Century Gothic" w:hAnsi="Century Gothic"/>
          <w:i w:val="false"/>
          <w:iCs w:val="false"/>
          <w:color w:val="1A1A1A"/>
          <w:sz w:val="20"/>
          <w:szCs w:val="20"/>
        </w:rPr>
        <w:t xml:space="preserve">Confirmed as proposed. Refuse malware, exploit code, and credential-harvesting tools regardless of stated intent, for both consumers.</w:t>
      </w:r>
    </w:p>
    <w:p>
      <w:pPr>
        <w:pBdr>
          <w:bottom w:val="single" w:color="1B2A4A" w:sz="6" w:space="4"/>
        </w:pBdr>
        <w:spacing w:after="160" w:before="320"/>
      </w:pPr>
      <w:r>
        <w:rPr>
          <w:rFonts w:ascii="Cambria" w:cs="Cambria" w:eastAsia="Cambria" w:hAnsi="Cambria"/>
          <w:b/>
          <w:bCs/>
          <w:color w:val="1B2A4A"/>
          <w:sz w:val="28"/>
          <w:szCs w:val="28"/>
        </w:rPr>
        <w:t xml:space="preserve">8. Reasoning Model Transparency — Decision: UAT Visible, Prod Hidden</w:t>
      </w:r>
    </w:p>
    <w:p>
      <w:pPr>
        <w:spacing w:after="160"/>
        <w:jc w:val="both"/>
      </w:pPr>
      <w:r>
        <w:rPr>
          <w:rFonts w:ascii="Century Gothic" w:cs="Century Gothic" w:eastAsia="Century Gothic" w:hAnsi="Century Gothic"/>
          <w:i w:val="false"/>
          <w:iCs w:val="false"/>
          <w:color w:val="1A1A1A"/>
          <w:sz w:val="20"/>
          <w:szCs w:val="20"/>
        </w:rPr>
        <w:t xml:space="preserve">Niren's decision: deepseek-r1's reasoning trace stays visible in UAT and is turned off in Prod. This requires two environments, which is addressed below.</w:t>
      </w:r>
    </w:p>
    <w:p>
      <w:pPr>
        <w:spacing w:after="120" w:before="240"/>
      </w:pPr>
      <w:r>
        <w:rPr>
          <w:rFonts w:ascii="Cambria" w:cs="Cambria" w:eastAsia="Cambria" w:hAnsi="Cambria"/>
          <w:b/>
          <w:bCs/>
          <w:color w:val="1B2A4A"/>
          <w:sz w:val="22"/>
          <w:szCs w:val="22"/>
        </w:rPr>
        <w:t xml:space="preserve">8.1 Environment design — one GPU, two environments</w:t>
      </w:r>
    </w:p>
    <w:p>
      <w:pPr>
        <w:spacing w:after="160"/>
        <w:jc w:val="both"/>
      </w:pPr>
      <w:r>
        <w:rPr>
          <w:rFonts w:ascii="Century Gothic" w:cs="Century Gothic" w:eastAsia="Century Gothic" w:hAnsi="Century Gothic"/>
          <w:i w:val="false"/>
          <w:iCs w:val="false"/>
          <w:color w:val="1A1A1A"/>
          <w:sz w:val="20"/>
          <w:szCs w:val="20"/>
        </w:rPr>
        <w:t xml:space="preserve">NL-AI-Inference-01 has a single A30, so UAT and Prod share the same Ollama model-serving backend rather than duplicating hardware — that's the only practical option on current infrastructure, and it's also the standard pattern the industry uses for GPU-constrained self-hosted LLM platforms. Separation happens one layer up, at the guardrails config:</w:t>
      </w:r>
    </w:p>
    <w:p>
      <w:pPr>
        <w:pStyle w:val="ListParagraph"/>
        <w:numPr>
          <w:ilvl w:val="0"/>
          <w:numId w:val="2"/>
        </w:numPr>
        <w:spacing w:after="100"/>
      </w:pPr>
      <w:r>
        <w:rPr>
          <w:rFonts w:ascii="Century Gothic" w:cs="Century Gothic" w:eastAsia="Century Gothic" w:hAnsi="Century Gothic"/>
          <w:color w:val="1A1A1A"/>
          <w:sz w:val="20"/>
          <w:szCs w:val="20"/>
        </w:rPr>
        <w:t xml:space="preserve">One shared Ollama instance (the existing container, unchanged) serving all three models.</w:t>
      </w:r>
    </w:p>
    <w:p>
      <w:pPr>
        <w:pStyle w:val="ListParagraph"/>
        <w:numPr>
          <w:ilvl w:val="0"/>
          <w:numId w:val="2"/>
        </w:numPr>
        <w:spacing w:after="100"/>
      </w:pPr>
      <w:r>
        <w:rPr>
          <w:rFonts w:ascii="Century Gothic" w:cs="Century Gothic" w:eastAsia="Century Gothic" w:hAnsi="Century Gothic"/>
          <w:color w:val="1A1A1A"/>
          <w:sz w:val="20"/>
          <w:szCs w:val="20"/>
        </w:rPr>
        <w:t xml:space="preserve">Two NeMo Guardrails configurations — config_uat/ and config_prod/ — both pointed at the same Ollama backend. config_uat passes the model's reasoning/"thinking" content through untouched; config_prod strips it before the response reaches the client.</w:t>
      </w:r>
    </w:p>
    <w:p>
      <w:pPr>
        <w:pStyle w:val="ListParagraph"/>
        <w:numPr>
          <w:ilvl w:val="0"/>
          <w:numId w:val="2"/>
        </w:numPr>
        <w:spacing w:after="100"/>
      </w:pPr>
      <w:r>
        <w:rPr>
          <w:rFonts w:ascii="Century Gothic" w:cs="Century Gothic" w:eastAsia="Century Gothic" w:hAnsi="Century Gothic"/>
          <w:color w:val="1A1A1A"/>
          <w:sz w:val="20"/>
          <w:szCs w:val="20"/>
        </w:rPr>
        <w:t xml:space="preserve">Two access points — a UAT Open WebUI instance/URL for testing and development (visible reasoning), and a Prod endpoint (Open WebUI instance and/or the raw API) for live traffic (reasoning hidden). Distinguished by port or subdomain, e.g. uat.* vs the production URL.</w:t>
      </w:r>
    </w:p>
    <w:p>
      <w:pPr>
        <w:spacing w:after="120" w:before="240"/>
      </w:pPr>
      <w:r>
        <w:rPr>
          <w:rFonts w:ascii="Cambria" w:cs="Cambria" w:eastAsia="Cambria" w:hAnsi="Cambria"/>
          <w:b/>
          <w:bCs/>
          <w:color w:val="1B2A4A"/>
          <w:sz w:val="22"/>
          <w:szCs w:val="22"/>
        </w:rPr>
        <w:t xml:space="preserve">8.2 Promotion process</w:t>
      </w:r>
    </w:p>
    <w:p>
      <w:pPr>
        <w:spacing w:after="160"/>
        <w:jc w:val="both"/>
      </w:pPr>
      <w:r>
        <w:rPr>
          <w:rFonts w:ascii="Century Gothic" w:cs="Century Gothic" w:eastAsia="Century Gothic" w:hAnsi="Century Gothic"/>
          <w:i w:val="false"/>
          <w:iCs w:val="false"/>
          <w:color w:val="1A1A1A"/>
          <w:sz w:val="20"/>
          <w:szCs w:val="20"/>
        </w:rPr>
        <w:t xml:space="preserve">Any guardrail policy or prompt change is tested against config_uat first. Once verified, the same change is copied into config_prod as part of a version bump (e.g. v1.0 → v1.1) — never edited directly in prod. Both configs live in the GitHub repo under version control, so every promotion is a reviewable diff.</w:t>
      </w:r>
    </w:p>
    <w:p>
      <w:pPr>
        <w:spacing w:after="240" w:before="80"/>
      </w:pPr>
      <w:r>
        <w:rPr>
          <w:rFonts w:ascii="Century Gothic" w:cs="Century Gothic" w:eastAsia="Century Gothic" w:hAnsi="Century Gothic"/>
          <w:i/>
          <w:iCs/>
          <w:color w:val="595959"/>
          <w:sz w:val="18"/>
          <w:szCs w:val="18"/>
        </w:rPr>
        <w:t xml:space="preserve">This UAT/Prod pattern — one shared backend, environment-specific guardrail config — is intended to be the standard template for future deployments too, not a one-off for this platform. See the companion Security Framework document.</w:t>
      </w:r>
    </w:p>
    <w:p>
      <w:pPr>
        <w:pBdr>
          <w:bottom w:val="single" w:color="1B2A4A" w:sz="6" w:space="4"/>
        </w:pBdr>
        <w:spacing w:after="160" w:before="320"/>
      </w:pPr>
      <w:r>
        <w:rPr>
          <w:rFonts w:ascii="Cambria" w:cs="Cambria" w:eastAsia="Cambria" w:hAnsi="Cambria"/>
          <w:b/>
          <w:bCs/>
          <w:color w:val="1B2A4A"/>
          <w:sz w:val="28"/>
          <w:szCs w:val="28"/>
        </w:rPr>
        <w:t xml:space="preserve">9. Enforcement Behavior — Approved</w:t>
      </w:r>
    </w:p>
    <w:tbl>
      <w:tblPr>
        <w:tblW w:type="dxa" w:w="948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686"/>
      </w:tblGrid>
      <w:tr>
        <w:trPr>
          <w:tblHeader/>
        </w:trPr>
        <w:tc>
          <w:tcPr>
            <w:tcW w:type="dxa" w:w="29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Trigger Severity</w:t>
            </w:r>
          </w:p>
        </w:tc>
        <w:tc>
          <w:tcPr>
            <w:tcW w:type="dxa" w:w="29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Action</w:t>
            </w:r>
          </w:p>
        </w:tc>
        <w:tc>
          <w:tcPr>
            <w:tcW w:type="dxa" w:w="36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Example</w:t>
            </w:r>
          </w:p>
        </w:tc>
      </w:tr>
      <w:tr>
        <w:tc>
          <w:tcPr>
            <w:tcW w:type="dxa" w:w="29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High (Section 2 "Block" categories)</w:t>
            </w:r>
          </w:p>
        </w:tc>
        <w:tc>
          <w:tcPr>
            <w:tcW w:type="dxa" w:w="29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 outright, generic refusal, no exceptions</w:t>
            </w:r>
          </w:p>
        </w:tc>
        <w:tc>
          <w:tcPr>
            <w:tcW w:type="dxa" w:w="36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Weapons instructions, hate speech, sexual content</w:t>
            </w:r>
          </w:p>
        </w:tc>
      </w:tr>
      <w:tr>
        <w:tc>
          <w:tcPr>
            <w:tcW w:type="dxa" w:w="29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Medium (ambiguous / borderline)</w:t>
            </w:r>
          </w:p>
        </w:tc>
        <w:tc>
          <w:tcPr>
            <w:tcW w:type="dxa" w:w="29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Flag + log, allow through, queue for periodic review</w:t>
            </w:r>
          </w:p>
        </w:tc>
        <w:tc>
          <w:tcPr>
            <w:tcW w:type="dxa" w:w="36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Borderline profanity, unclear intent</w:t>
            </w:r>
          </w:p>
        </w:tc>
      </w:tr>
      <w:tr>
        <w:tc>
          <w:tcPr>
            <w:tcW w:type="dxa" w:w="29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Prompt injection detected</w:t>
            </w:r>
          </w:p>
        </w:tc>
        <w:tc>
          <w:tcPr>
            <w:tcW w:type="dxa" w:w="29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Block the request, log the attempt</w:t>
            </w:r>
          </w:p>
        </w:tc>
        <w:tc>
          <w:tcPr>
            <w:tcW w:type="dxa" w:w="36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"Ignore previous instructions and..."</w:t>
            </w:r>
          </w:p>
        </w:tc>
      </w:tr>
    </w:tbl>
    <w:p>
      <w:pPr>
        <w:pBdr>
          <w:bottom w:val="single" w:color="1B2A4A" w:sz="6" w:space="4"/>
        </w:pBdr>
        <w:spacing w:after="160" w:before="320"/>
      </w:pPr>
      <w:r>
        <w:rPr>
          <w:rFonts w:ascii="Cambria" w:cs="Cambria" w:eastAsia="Cambria" w:hAnsi="Cambria"/>
          <w:b/>
          <w:bCs/>
          <w:color w:val="1B2A4A"/>
          <w:sz w:val="28"/>
          <w:szCs w:val="28"/>
        </w:rPr>
        <w:t xml:space="preserve">10. Logging &amp; Audit — Decision: 180-Day Retention, Admin + Manager Access</w:t>
      </w:r>
    </w:p>
    <w:p>
      <w:pPr>
        <w:spacing w:after="120" w:before="240"/>
      </w:pPr>
      <w:r>
        <w:rPr>
          <w:rFonts w:ascii="Cambria" w:cs="Cambria" w:eastAsia="Cambria" w:hAnsi="Cambria"/>
          <w:b/>
          <w:bCs/>
          <w:color w:val="1B2A4A"/>
          <w:sz w:val="22"/>
          <w:szCs w:val="22"/>
        </w:rPr>
        <w:t xml:space="preserve">10.1 What gets logged</w:t>
      </w:r>
    </w:p>
    <w:p>
      <w:pPr>
        <w:spacing w:after="160"/>
        <w:jc w:val="left"/>
      </w:pPr>
      <w:r>
        <w:rPr>
          <w:rFonts w:ascii="Century Gothic" w:cs="Century Gothic" w:eastAsia="Century Gothic" w:hAnsi="Century Gothic"/>
          <w:i w:val="false"/>
          <w:iCs w:val="false"/>
          <w:color w:val="1A1A1A"/>
          <w:sz w:val="20"/>
          <w:szCs w:val="20"/>
        </w:rPr>
        <w:t xml:space="preserve">Every guardrail decision event (category triggered, severity, action taken, timestamp, which model, which consumer — NL-Proposal-Builder vs. which agent, which environment — UAT or Prod). For allowed/normal traffic, only metadata is logged, not content, for privacy. For flagged or blocked events specifically, the prompt and response text are also captured, since the actual content is needed to review whether the guardrail called it correctly.</w:t>
      </w:r>
    </w:p>
    <w:p>
      <w:pPr>
        <w:spacing w:after="120" w:before="240"/>
      </w:pPr>
      <w:r>
        <w:rPr>
          <w:rFonts w:ascii="Cambria" w:cs="Cambria" w:eastAsia="Cambria" w:hAnsi="Cambria"/>
          <w:b/>
          <w:bCs/>
          <w:color w:val="1B2A4A"/>
          <w:sz w:val="22"/>
          <w:szCs w:val="22"/>
        </w:rPr>
        <w:t xml:space="preserve">10.2 Retention</w:t>
      </w:r>
    </w:p>
    <w:p>
      <w:pPr>
        <w:spacing w:after="160"/>
        <w:jc w:val="left"/>
      </w:pPr>
      <w:r>
        <w:rPr>
          <w:rFonts w:ascii="Century Gothic" w:cs="Century Gothic" w:eastAsia="Century Gothic" w:hAnsi="Century Gothic"/>
          <w:i w:val="false"/>
          <w:iCs w:val="false"/>
          <w:color w:val="1A1A1A"/>
          <w:sz w:val="20"/>
          <w:szCs w:val="20"/>
        </w:rPr>
        <w:t xml:space="preserve">180 days, enforced automatically by a scheduled retention policy on the log store (not a manual cleanup task).</w:t>
      </w:r>
    </w:p>
    <w:p>
      <w:pPr>
        <w:spacing w:after="120" w:before="240"/>
      </w:pPr>
      <w:r>
        <w:rPr>
          <w:rFonts w:ascii="Cambria" w:cs="Cambria" w:eastAsia="Cambria" w:hAnsi="Cambria"/>
          <w:b/>
          <w:bCs/>
          <w:color w:val="1B2A4A"/>
          <w:sz w:val="22"/>
          <w:szCs w:val="22"/>
        </w:rPr>
        <w:t xml:space="preserve">10.3 Recommended tooling</w:t>
      </w:r>
    </w:p>
    <w:p>
      <w:pPr>
        <w:spacing w:after="160"/>
        <w:jc w:val="both"/>
      </w:pPr>
      <w:r>
        <w:rPr>
          <w:rFonts w:ascii="Century Gothic" w:cs="Century Gothic" w:eastAsia="Century Gothic" w:hAnsi="Century Gothic"/>
          <w:i w:val="false"/>
          <w:iCs w:val="false"/>
          <w:color w:val="1A1A1A"/>
          <w:sz w:val="20"/>
          <w:szCs w:val="20"/>
        </w:rPr>
        <w:t xml:space="preserve">NeMo Guardrails' own local audit file is telemetry-only and not designed for multi-user review. Its structured per-interaction tracing (which rails fired, what action was taken, timing) can be exported via an OpenTelemetry adapter — the standard way to get guardrail decisions into an external, reviewable store. Recommend shipping these events to a self-hosted Grafana + Loki instance on the same VM: free, open-source, stays entirely on-prem (nothing leaves the network), and — importantly for this requirement — has real role-based access control out of the box, unlike Open WebUI's own admin panel (which currently only supports Admin/User/Pending roles, with no native "Manager" tier). Loki's built-in retention setting handles the 180-day rule natively.</w:t>
      </w:r>
    </w:p>
    <w:p>
      <w:pPr>
        <w:spacing w:after="120" w:before="240"/>
      </w:pPr>
      <w:r>
        <w:rPr>
          <w:rFonts w:ascii="Cambria" w:cs="Cambria" w:eastAsia="Cambria" w:hAnsi="Cambria"/>
          <w:b/>
          <w:bCs/>
          <w:color w:val="1B2A4A"/>
          <w:sz w:val="22"/>
          <w:szCs w:val="22"/>
        </w:rPr>
        <w:t xml:space="preserve">10.4 Proposed RBAC</w:t>
      </w:r>
    </w:p>
    <w:tbl>
      <w:tblPr>
        <w:tblW w:type="dxa" w:w="848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500"/>
        <w:gridCol w:w="2300"/>
        <w:gridCol w:w="1386"/>
      </w:tblGrid>
      <w:tr>
        <w:trPr>
          <w:tblHeader/>
        </w:trPr>
        <w:tc>
          <w:tcPr>
            <w:tcW w:type="dxa" w:w="19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Role</w:t>
            </w:r>
          </w:p>
        </w:tc>
        <w:tc>
          <w:tcPr>
            <w:tcW w:type="dxa" w:w="14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View Logs</w:t>
            </w:r>
          </w:p>
        </w:tc>
        <w:tc>
          <w:tcPr>
            <w:tcW w:type="dxa" w:w="15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Export Logs</w:t>
            </w:r>
          </w:p>
        </w:tc>
        <w:tc>
          <w:tcPr>
            <w:tcW w:type="dxa" w:w="2300"/>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Modify Retention / Guardrail Config</w:t>
            </w:r>
          </w:p>
        </w:tc>
        <w:tc>
          <w:tcPr>
            <w:tcW w:type="dxa" w:w="1386"/>
            <w:shd w:fill="1B2A4A" w:color="auto" w:val="clear"/>
            <w:tcMar>
              <w:top w:type="dxa" w:w="80"/>
              <w:left w:type="dxa" w:w="120"/>
              <w:bottom w:type="dxa" w:w="80"/>
              <w:right w:type="dxa" w:w="120"/>
            </w:tcMar>
            <w:vAlign w:val="center"/>
          </w:tcPr>
          <w:p>
            <w:r>
              <w:rPr>
                <w:rFonts w:ascii="Century Gothic" w:cs="Century Gothic" w:eastAsia="Century Gothic" w:hAnsi="Century Gothic"/>
                <w:b/>
                <w:bCs/>
                <w:color w:val="FFFFFF"/>
                <w:sz w:val="19"/>
                <w:szCs w:val="19"/>
              </w:rPr>
              <w:t xml:space="preserve">Manage Users &amp; Roles</w:t>
            </w:r>
          </w:p>
        </w:tc>
      </w:tr>
      <w:tr>
        <w:tc>
          <w:tcPr>
            <w:tcW w:type="dxa" w:w="19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Admin</w:t>
            </w:r>
          </w:p>
        </w:tc>
        <w:tc>
          <w:tcPr>
            <w:tcW w:type="dxa" w:w="14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Yes</w:t>
            </w:r>
          </w:p>
        </w:tc>
        <w:tc>
          <w:tcPr>
            <w:tcW w:type="dxa" w:w="15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Yes</w:t>
            </w:r>
          </w:p>
        </w:tc>
        <w:tc>
          <w:tcPr>
            <w:tcW w:type="dxa" w:w="23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Yes</w:t>
            </w:r>
          </w:p>
        </w:tc>
        <w:tc>
          <w:tcPr>
            <w:tcW w:type="dxa" w:w="13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Yes</w:t>
            </w:r>
          </w:p>
        </w:tc>
      </w:tr>
      <w:tr>
        <w:tc>
          <w:tcPr>
            <w:tcW w:type="dxa" w:w="1900"/>
            <w:shd w:fill="F2F2F2" w:color="auto" w:val="clear"/>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Manager</w:t>
            </w:r>
          </w:p>
        </w:tc>
        <w:tc>
          <w:tcPr>
            <w:tcW w:type="dxa" w:w="14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Yes</w:t>
            </w:r>
          </w:p>
        </w:tc>
        <w:tc>
          <w:tcPr>
            <w:tcW w:type="dxa" w:w="15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Yes</w:t>
            </w:r>
          </w:p>
        </w:tc>
        <w:tc>
          <w:tcPr>
            <w:tcW w:type="dxa" w:w="2300"/>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w:t>
            </w:r>
          </w:p>
        </w:tc>
        <w:tc>
          <w:tcPr>
            <w:tcW w:type="dxa" w:w="1386"/>
            <w:shd w:fill="F2F2F2" w:color="auto" w:val="clear"/>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w:t>
            </w:r>
          </w:p>
        </w:tc>
      </w:tr>
      <w:tr>
        <w:tc>
          <w:tcPr>
            <w:tcW w:type="dxa" w:w="1900"/>
            <w:tcMar>
              <w:top w:type="dxa" w:w="80"/>
              <w:left w:type="dxa" w:w="120"/>
              <w:bottom w:type="dxa" w:w="80"/>
              <w:right w:type="dxa" w:w="120"/>
            </w:tcMar>
            <w:vAlign w:val="center"/>
          </w:tcPr>
          <w:p>
            <w:r>
              <w:rPr>
                <w:rFonts w:ascii="Century Gothic" w:cs="Century Gothic" w:eastAsia="Century Gothic" w:hAnsi="Century Gothic"/>
                <w:b/>
                <w:bCs/>
                <w:color w:val="1A1A1A"/>
                <w:sz w:val="18"/>
                <w:szCs w:val="18"/>
              </w:rPr>
              <w:t xml:space="preserve">Standard user / agent identity</w:t>
            </w:r>
          </w:p>
        </w:tc>
        <w:tc>
          <w:tcPr>
            <w:tcW w:type="dxa" w:w="14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w:t>
            </w:r>
          </w:p>
        </w:tc>
        <w:tc>
          <w:tcPr>
            <w:tcW w:type="dxa" w:w="15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w:t>
            </w:r>
          </w:p>
        </w:tc>
        <w:tc>
          <w:tcPr>
            <w:tcW w:type="dxa" w:w="2300"/>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w:t>
            </w:r>
          </w:p>
        </w:tc>
        <w:tc>
          <w:tcPr>
            <w:tcW w:type="dxa" w:w="1386"/>
            <w:tcMar>
              <w:top w:type="dxa" w:w="80"/>
              <w:left w:type="dxa" w:w="120"/>
              <w:bottom w:type="dxa" w:w="80"/>
              <w:right w:type="dxa" w:w="120"/>
            </w:tcMar>
            <w:vAlign w:val="center"/>
          </w:tcPr>
          <w:p>
            <w:r>
              <w:rPr>
                <w:rFonts w:ascii="Century Gothic" w:cs="Century Gothic" w:eastAsia="Century Gothic" w:hAnsi="Century Gothic"/>
                <w:b w:val="false"/>
                <w:bCs w:val="false"/>
                <w:color w:val="1A1A1A"/>
                <w:sz w:val="18"/>
                <w:szCs w:val="18"/>
              </w:rPr>
              <w:t xml:space="preserve">No</w:t>
            </w:r>
          </w:p>
        </w:tc>
      </w:tr>
    </w:tbl>
    <w:p>
      <w:pPr>
        <w:spacing w:after="160"/>
        <w:jc w:val="left"/>
      </w:pPr>
      <w:r>
        <w:rPr>
          <w:rFonts w:ascii="Century Gothic" w:cs="Century Gothic" w:eastAsia="Century Gothic" w:hAnsi="Century Gothic"/>
          <w:i w:val="false"/>
          <w:iCs w:val="false"/>
          <w:color w:val="1A1A1A"/>
          <w:sz w:val="20"/>
          <w:szCs w:val="20"/>
        </w:rPr>
        <w:t xml:space="preserve">Maps to Grafana's built-in Admin / Editor / Viewer roles: Admin → Admin, Manager → Editor (can view and export dashboards, cannot change data source config or retention settings, cannot manage other users). Proposal: Niren and Raghu as Admin; Niren to nominate which additional profiles get Manager access.</w:t>
      </w:r>
    </w:p>
    <w:p>
      <w:pPr>
        <w:spacing w:after="240" w:before="80"/>
      </w:pPr>
      <w:r>
        <w:rPr>
          <w:rFonts w:ascii="Century Gothic" w:cs="Century Gothic" w:eastAsia="Century Gothic" w:hAnsi="Century Gothic"/>
          <w:i/>
          <w:iCs/>
          <w:color w:val="595959"/>
          <w:sz w:val="18"/>
          <w:szCs w:val="18"/>
        </w:rPr>
        <w:t xml:space="preserve">Open question: who specifically should hold Manager access? Confirm names/profiles and we'll provision accordingly.</w:t>
      </w:r>
    </w:p>
    <w:p>
      <w:pPr>
        <w:pBdr>
          <w:bottom w:val="single" w:color="1B2A4A" w:sz="6" w:space="4"/>
        </w:pBdr>
        <w:spacing w:after="160" w:before="320"/>
      </w:pPr>
      <w:r>
        <w:rPr>
          <w:rFonts w:ascii="Cambria" w:cs="Cambria" w:eastAsia="Cambria" w:hAnsi="Cambria"/>
          <w:b/>
          <w:bCs/>
          <w:color w:val="1B2A4A"/>
          <w:sz w:val="28"/>
          <w:szCs w:val="28"/>
        </w:rPr>
        <w:t xml:space="preserve">11. Code Generation &amp; Output Handling — Approved (cross-reference)</w:t>
      </w:r>
    </w:p>
    <w:p>
      <w:pPr>
        <w:spacing w:after="160"/>
        <w:jc w:val="left"/>
      </w:pPr>
      <w:r>
        <w:rPr>
          <w:rFonts w:ascii="Century Gothic" w:cs="Century Gothic" w:eastAsia="Century Gothic" w:hAnsi="Century Gothic"/>
          <w:i w:val="false"/>
          <w:iCs w:val="false"/>
          <w:color w:val="1A1A1A"/>
          <w:sz w:val="20"/>
          <w:szCs w:val="20"/>
        </w:rPr>
        <w:t xml:space="preserve">See Sections 6 and 7 — both approved as proposed. Flagging here only to note these two sections together are what security frameworks call "output handling," the third link in the standard prompt-injection → excessive-agency → bad-output chain, and stay mandatory as this platform grows to support tool-using agents.</w:t>
      </w:r>
    </w:p>
    <w:p>
      <w:pPr>
        <w:pBdr>
          <w:bottom w:val="single" w:color="1B2A4A" w:sz="6" w:space="4"/>
        </w:pBdr>
        <w:spacing w:after="160" w:before="320"/>
      </w:pPr>
      <w:r>
        <w:rPr>
          <w:rFonts w:ascii="Cambria" w:cs="Cambria" w:eastAsia="Cambria" w:hAnsi="Cambria"/>
          <w:b/>
          <w:bCs/>
          <w:color w:val="1B2A4A"/>
          <w:sz w:val="28"/>
          <w:szCs w:val="28"/>
        </w:rPr>
        <w:t xml:space="preserve">12. Sign-off</w:t>
      </w:r>
    </w:p>
    <w:p>
      <w:pPr>
        <w:spacing w:after="160"/>
        <w:jc w:val="left"/>
      </w:pPr>
      <w:r>
        <w:rPr>
          <w:rFonts w:ascii="Century Gothic" w:cs="Century Gothic" w:eastAsia="Century Gothic" w:hAnsi="Century Gothic"/>
          <w:i w:val="false"/>
          <w:iCs w:val="false"/>
          <w:color w:val="1A1A1A"/>
          <w:sz w:val="20"/>
          <w:szCs w:val="20"/>
        </w:rPr>
        <w:t xml:space="preserve">Approved by Niren via written review comments, 21-Jul-2026. Sections 2, 3, 4, 6, 7, 9 confirmed as originally proposed. Sections 5, 8, and 10 updated per his decisions above. Cleared to proceed with Phase 3 implementation against this v1.0 policy.</w:t>
      </w:r>
    </w:p>
    <w:p>
      <w:pPr>
        <w:pBdr>
          <w:bottom w:val="single" w:color="1B2A4A" w:sz="6" w:space="4"/>
        </w:pBdr>
        <w:spacing w:after="160" w:before="320"/>
      </w:pPr>
      <w:r>
        <w:rPr>
          <w:rFonts w:ascii="Cambria" w:cs="Cambria" w:eastAsia="Cambria" w:hAnsi="Cambria"/>
          <w:b/>
          <w:bCs/>
          <w:color w:val="1B2A4A"/>
          <w:sz w:val="28"/>
          <w:szCs w:val="28"/>
        </w:rPr>
        <w:t xml:space="preserve">13. Versioning Going Forward</w:t>
      </w:r>
    </w:p>
    <w:p>
      <w:pPr>
        <w:spacing w:after="160"/>
        <w:jc w:val="both"/>
      </w:pPr>
      <w:r>
        <w:rPr>
          <w:rFonts w:ascii="Century Gothic" w:cs="Century Gothic" w:eastAsia="Century Gothic" w:hAnsi="Century Gothic"/>
          <w:i w:val="false"/>
          <w:iCs w:val="false"/>
          <w:color w:val="1A1A1A"/>
          <w:sz w:val="20"/>
          <w:szCs w:val="20"/>
        </w:rPr>
        <w:t xml:space="preserve">This policy is stored under version control in the On-Prem-Concurrent-LLM GitHub repo. Any future change — new category, adjusted enforcement action, scope change — gets drafted, reviewed by Niren, and released as the next minor or major version (v1.1, v2.0, etc.) with an entry added to the Version History table at the top of this document. No silent edits to an approved version.</w:t>
      </w:r>
    </w:p>
    <w:p>
      <w:pPr>
        <w:spacing w:after="160"/>
        <w:jc w:val="left"/>
      </w:pPr>
      <w:r>
        <w:rPr>
          <w:rFonts w:ascii="Century Gothic" w:cs="Century Gothic" w:eastAsia="Century Gothic" w:hAnsi="Century Gothic"/>
          <w:i w:val="false"/>
          <w:iCs w:val="false"/>
          <w:color w:val="1A1A1A"/>
          <w:sz w:val="20"/>
          <w:szCs w:val="20"/>
        </w:rPr>
        <w:t xml:space="preserve">A companion document, the NationLabs AI Security Framework v1.0, generalizes the patterns proven here (guardrails, UAT/Prod separation, RBAC, audit logging) into a standard that every future AI deployment or agent must meet before going live — see that document for the full framework and go-live checklist.</w:t>
      </w:r>
    </w:p>
    <w:sectPr>
      <w:headerReference w:type="default" r:id="rId7"/>
      <w:footerReference w:type="default" r:id="rId8"/>
      <w:pgSz w:w="12240" w:h="15840" w:orient="portrait"/>
      <w:pgMar w:top="1440" w:right="616"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entury Gothic" w:cs="Century Gothic" w:eastAsia="Century Gothic" w:hAnsi="Century Gothic"/>
        <w:color w:val="595959"/>
        <w:sz w:val="16"/>
        <w:szCs w:val="16"/>
      </w:rPr>
      <w:t xml:space="preserve">Confidential — Internal — v1.0 Approved</w:t>
    </w:r>
    <w:r>
      <w:rPr>
        <w:rFonts w:ascii="Century Gothic" w:cs="Century Gothic" w:eastAsia="Century Gothic" w:hAnsi="Century Gothic"/>
        <w:color w:val="595959"/>
        <w:sz w:val="16"/>
        <w:szCs w:val="16"/>
      </w:rPr>
      <w:t xml:space="preserve">	</w:t>
    </w:r>
    <w:r>
      <w:rPr>
        <w:rFonts w:ascii="Century Gothic" w:cs="Century Gothic" w:eastAsia="Century Gothic" w:hAnsi="Century Gothic"/>
        <w:color w:val="595959"/>
        <w:sz w:val="16"/>
        <w:szCs w:val="16"/>
      </w:rPr>
      <w:t xml:space="preserve">Page </w:t>
    </w:r>
    <w:r>
      <w:rPr>
        <w:rFonts w:ascii="Century Gothic" w:cs="Century Gothic" w:eastAsia="Century Gothic" w:hAnsi="Century Gothic"/>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entury Gothic" w:cs="Century Gothic" w:eastAsia="Century Gothic" w:hAnsi="Century Gothic"/>
        <w:color w:val="595959"/>
        <w:sz w:val="16"/>
        <w:szCs w:val="16"/>
      </w:rPr>
      <w:t xml:space="preserve">NationLabs Technical Research &amp;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2026-07-21T07:06:32.843Z</dcterms:created>
  <dcterms:modified xsi:type="dcterms:W3CDTF">2026-07-21T07:06:32.855Z</dcterms:modified>
</cp:coreProperties>
</file>

<file path=docProps/custom.xml><?xml version="1.0" encoding="utf-8"?>
<Properties xmlns="http://schemas.openxmlformats.org/officeDocument/2006/custom-properties" xmlns:vt="http://schemas.openxmlformats.org/officeDocument/2006/docPropsVTypes"/>
</file>