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B2A4A"/>
          <w:sz w:val="40"/>
          <w:szCs w:val="40"/>
        </w:rPr>
        <w:t xml:space="preserve">NationLabs AI Security Framework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color w:val="1A1A1A"/>
          <w:sz w:val="24"/>
          <w:szCs w:val="24"/>
        </w:rPr>
        <w:t xml:space="preserve">Standard for All Current and Future AI / Agent Deployments — v1.0</w:t>
      </w:r>
    </w:p>
    <w:p>
      <w:pPr>
        <w:spacing w:after="400"/>
      </w:pPr>
      <w:r>
        <w:rPr>
          <w:rFonts w:ascii="Century Gothic" w:cs="Century Gothic" w:eastAsia="Century Gothic" w:hAnsi="Century Gothic"/>
          <w:color w:val="595959"/>
          <w:sz w:val="18"/>
          <w:szCs w:val="18"/>
        </w:rPr>
        <w:t xml:space="preserve">21-Jul-2026   |   Prepared by Raghu, NationLabs Technical Research &amp; Development   |   Companion to AI Guardrail Policy v1.0</w:t>
      </w:r>
    </w:p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1. Purpose</w:t>
      </w:r>
    </w:p>
    <w:p>
      <w:pPr>
        <w:spacing w:after="160"/>
        <w:jc w:val="both"/>
      </w:pPr>
      <w:r>
        <w:rPr>
          <w:rFonts w:ascii="Century Gothic" w:cs="Century Gothic" w:eastAsia="Century Gothic" w:hAnsi="Century Gothic"/>
          <w:i w:val="false"/>
          <w:iCs w:val="false"/>
          <w:color w:val="1A1A1A"/>
          <w:sz w:val="20"/>
          <w:szCs w:val="20"/>
        </w:rPr>
        <w:t xml:space="preserve">This document generalizes the security decisions made for the On-Prem Concurrent LLM platform into a standard every future AI deployment or agent at NationLabs must meet before going live. Niren's directive: security is the most important part of this work, and it applies beyond this one platform — whatever we build next has to be built to the same bar from the start, not retrofitted later.</w:t>
      </w:r>
    </w:p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2. Governing Frameworks</w:t>
      </w:r>
    </w:p>
    <w:p>
      <w:pPr>
        <w:spacing w:after="160"/>
        <w:jc w:val="left"/>
      </w:pPr>
      <w:r>
        <w:rPr>
          <w:rFonts w:ascii="Century Gothic" w:cs="Century Gothic" w:eastAsia="Century Gothic" w:hAnsi="Century Gothic"/>
          <w:i w:val="false"/>
          <w:iCs w:val="false"/>
          <w:color w:val="1A1A1A"/>
          <w:sz w:val="20"/>
          <w:szCs w:val="20"/>
        </w:rPr>
        <w:t xml:space="preserve">Rather than inventing rules from scratch, this framework maps NationLabs' controls to established, actively maintained industry standards, so we stay aligned as the threat landscape evolves:</w:t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86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34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  <w:tc>
          <w:tcPr>
            <w:tcW w:type="dxa" w:w="3486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9"/>
                <w:szCs w:val="19"/>
              </w:rPr>
              <w:t xml:space="preserve">How we use it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OWASP Top 10 for LLM Applications (2025)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Core LLM application risks — prompt injection, sensitive info disclosure, supply chain, data/model poisoning, improper output handling</w:t>
            </w:r>
          </w:p>
        </w:tc>
        <w:tc>
          <w:tcPr>
            <w:tcW w:type="dxa" w:w="34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Baseline checklist for any single-model deployment (this platform today)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OWASP Top 10 for Agentic Applications (2026)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Risks specific to tool-using, autonomous agents — excessive agency, memory poisoning, tool misuse</w:t>
            </w:r>
          </w:p>
        </w:tc>
        <w:tc>
          <w:tcPr>
            <w:tcW w:type="dxa" w:w="348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Baseline for Niren's agents once they move beyond simple chat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OWASP Non-Human Identity (NHI) Top 10 (2025)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Credential and identity risks for service accounts, API keys, and agent identities</w:t>
            </w:r>
          </w:p>
        </w:tc>
        <w:tc>
          <w:tcPr>
            <w:tcW w:type="dxa" w:w="34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Governs how agents authenticate to tools and to each other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NIST AI RMF 1.0 + Generative AI Profile (AI 600-1)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Organizational risk-management process for AI systems across their lifecycle</w:t>
            </w:r>
          </w:p>
        </w:tc>
        <w:tc>
          <w:tcPr>
            <w:tcW w:type="dxa" w:w="348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Governance structure — who owns what risk, how it's reviewed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MITRE ATLAS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Real-world adversarial tactics and techniques against AI/ML systems, including agent-specific attacks</w:t>
            </w:r>
          </w:p>
        </w:tc>
        <w:tc>
          <w:tcPr>
            <w:tcW w:type="dxa" w:w="34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Threat-informed defense — used to sanity-check that our controls actually cover known attack techniques, not just theoretical risk</w:t>
            </w:r>
          </w:p>
        </w:tc>
      </w:tr>
    </w:tbl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3. Core Principles</w:t>
      </w:r>
    </w:p>
    <w:p>
      <w:pPr>
        <w:spacing w:after="160"/>
        <w:jc w:val="left"/>
      </w:pPr>
      <w:r>
        <w:rPr>
          <w:rFonts w:ascii="Century Gothic" w:cs="Century Gothic" w:eastAsia="Century Gothic" w:hAnsi="Century Gothic"/>
          <w:i w:val="false"/>
          <w:iCs w:val="false"/>
          <w:color w:val="1A1A1A"/>
          <w:sz w:val="20"/>
          <w:szCs w:val="20"/>
        </w:rPr>
        <w:t xml:space="preserve">Everything below reduces to a short list of principles. If a future deployment can't clearly show it meets these, it isn't ready for production, regardless of how good the demo looked.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Default-deny, least privilege. Every agent or integration starts with zero permissions. Access to a tool, an API, or a data source is granted explicitly, one action at a time — not "give it broad access and restrict later."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Short-lived, scoped credentials. No long-lived tokens embedded in code, config files, or agent memory. This isn't theoretical — it's a lesson we already paid for on this project (see Section 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Human-in-the-loop on irreversible actions. Anything an agent can't undo — sending an external email, deleting data, submitting a client-facing document — requires explicit human approval before it happens.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Full tool-call logging. Every action any agent takes through any tool is logged — not just chat messages. This extends the audit logging design in the Guardrail Policy (Section 10) to cover agent actions, not only conversations.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Mandatory prompt-injection defense. Not optional per-app — every deployment sits behind the same guardrail layer that defends against instruction-override attempts, regardless of how trusted the input source seems.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Mandatory scope review before go-live. Per the Guardrail Policy's Section 5 decision, topic/scope boundaries live in each application's system prompt rather than centrally — which means every new app or agent's system prompt gets reviewed before production, not after.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No sensitive data in model context without access control. Credentials, infrastructure details, and cross-client data never enter a prompt unless the access boundary for that specific request has already been enforced.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Environment separation is standard, not optional. Every deployment gets a UAT and a Prod environment, following the same shared-backend-plus-environment-specific-config pattern used for this platform (Guardrail Policy Section 8) — this is a template for reuse, not a one-off.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Supply chain integrity. Pin model versions, verify checksums on downloaded weights, and review any third-party tool, plugin, or package before it's given to an agent.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Validate before acting on output. Model output is never passed directly to a shell, database query, or browser action without validation — this is what closes off the most damaging attack path (see Section 4).</w:t>
      </w:r>
    </w:p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4. The Kill-Chain We're Defending Against</w:t>
      </w:r>
    </w:p>
    <w:p>
      <w:pPr>
        <w:spacing w:after="160"/>
        <w:jc w:val="both"/>
      </w:pPr>
      <w:r>
        <w:rPr>
          <w:rFonts w:ascii="Century Gothic" w:cs="Century Gothic" w:eastAsia="Century Gothic" w:hAnsi="Century Gothic"/>
          <w:i w:val="false"/>
          <w:iCs w:val="false"/>
          <w:color w:val="1A1A1A"/>
          <w:sz w:val="20"/>
          <w:szCs w:val="20"/>
        </w:rPr>
        <w:t xml:space="preserve">Current security research describes a common pattern behind the most damaging agent incidents: indirect prompt injection (a poisoned document or web page changes what the agent thinks it should do) leads to excessive agency (an over-permissioned tool lets it actually do something harmful) leads to improper output handling (the unsanitized result reaches a shell, a database, or an external system). Breaking any one link stops the chain — our controls are deliberately layered to break all three, not just one:</w:t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86"/>
      </w:tblGrid>
      <w:tr>
        <w:trPr>
          <w:tblHeader/>
        </w:trPr>
        <w:tc>
          <w:tcPr>
            <w:tcW w:type="dxa" w:w="24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9"/>
                <w:szCs w:val="19"/>
              </w:rPr>
              <w:t xml:space="preserve">Kill-chain link</w:t>
            </w:r>
          </w:p>
        </w:tc>
        <w:tc>
          <w:tcPr>
            <w:tcW w:type="dxa" w:w="42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9"/>
                <w:szCs w:val="19"/>
              </w:rPr>
              <w:t xml:space="preserve">NationLabs control</w:t>
            </w:r>
          </w:p>
        </w:tc>
        <w:tc>
          <w:tcPr>
            <w:tcW w:type="dxa" w:w="2886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9"/>
                <w:szCs w:val="19"/>
              </w:rPr>
              <w:t xml:space="preserve">Where it's defined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Indirect prompt injection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Mandatory jailbreak/injection-detection rails on every deployment</w:t>
            </w:r>
          </w:p>
        </w:tc>
        <w:tc>
          <w:tcPr>
            <w:tcW w:type="dxa" w:w="2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Guardrail Policy §3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Excessive agency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Default-deny, least-privilege tool permissions for every agent</w:t>
            </w:r>
          </w:p>
        </w:tc>
        <w:tc>
          <w:tcPr>
            <w:tcW w:type="dxa" w:w="288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This document §3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18"/>
                <w:szCs w:val="18"/>
              </w:rPr>
              <w:t xml:space="preserve">Improper output handling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Output validation before any model result reaches a shell, DB, or external action</w:t>
            </w:r>
          </w:p>
        </w:tc>
        <w:tc>
          <w:tcPr>
            <w:tcW w:type="dxa" w:w="288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18"/>
                <w:szCs w:val="18"/>
              </w:rPr>
              <w:t xml:space="preserve">This document §3</w:t>
            </w:r>
          </w:p>
        </w:tc>
      </w:tr>
    </w:tbl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5. A Lesson Already Learned</w:t>
      </w:r>
    </w:p>
    <w:p>
      <w:pPr>
        <w:spacing w:after="160"/>
        <w:jc w:val="both"/>
      </w:pPr>
      <w:r>
        <w:rPr>
          <w:rFonts w:ascii="Century Gothic" w:cs="Century Gothic" w:eastAsia="Century Gothic" w:hAnsi="Century Gothic"/>
          <w:i w:val="false"/>
          <w:iCs w:val="false"/>
          <w:color w:val="1A1A1A"/>
          <w:sz w:val="20"/>
          <w:szCs w:val="20"/>
        </w:rPr>
        <w:t xml:space="preserve">During this project, a GitHub personal access token was pasted directly into a working session to push infrastructure code. It was used once and revoked immediately afterward — no long-term exposure — but it's a real example of exactly the credential-handling risk this framework exists to prevent. Going forward, no future deployment should rely on manually-pasted long-lived credentials at all: use short-lived tokens scoped to a single repo or resource, or move to SSH deploy keys / service accounts with automatic rotation where the deployment is persistent (as we should for any VM that pulls from GitHub regularly).</w:t>
      </w:r>
    </w:p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6. Go-Live Checklist</w:t>
      </w:r>
    </w:p>
    <w:p>
      <w:pPr>
        <w:spacing w:after="160"/>
        <w:jc w:val="left"/>
      </w:pPr>
      <w:r>
        <w:rPr>
          <w:rFonts w:ascii="Century Gothic" w:cs="Century Gothic" w:eastAsia="Century Gothic" w:hAnsi="Century Gothic"/>
          <w:i w:val="false"/>
          <w:iCs w:val="false"/>
          <w:color w:val="1A1A1A"/>
          <w:sz w:val="20"/>
          <w:szCs w:val="20"/>
        </w:rPr>
        <w:t xml:space="preserve">Before any new AI deployment or agent goes to production, confirm every item below. This is a working checklist — copy it per project and fill it in as part of the release record.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Guardrails: deployment sits behind the shared guardrail layer (or an equivalent) with prompt-injection defense and content-safety categories enabled.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Least privilege: every tool/API the agent can call has been explicitly listed and justified — no default broad access.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Credentials: no long-lived secrets embedded in code or config; short-lived/scoped tokens or service accounts only.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Human-in-the-loop: irreversible actions identified and gated behind explicit approval.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Logging: tool calls and guardrail decisions are logged to the shared audit store, not just local files.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Scope review: system prompt / topic boundaries reviewed and signed off before go-live.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Output handling: any point where model output reaches a shell, database, or external system has validation/sanitization in place.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Environments: UAT and Prod both exist, with any policy or prompt change tested in UAT before promotion.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Supply chain: model versions/weights and any third-party tools or packages have been reviewed, not just pulled and trusted.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Sign-off recorded: reviewed and approved by Niren (or designated owner) with the decision documented, same as this policy's Section 12.</w:t>
      </w:r>
    </w:p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7. Ownership &amp; Review Cadence</w:t>
      </w:r>
    </w:p>
    <w:p>
      <w:pPr>
        <w:spacing w:after="160"/>
        <w:jc w:val="left"/>
      </w:pPr>
      <w:r>
        <w:rPr>
          <w:rFonts w:ascii="Century Gothic" w:cs="Century Gothic" w:eastAsia="Century Gothic" w:hAnsi="Century Gothic"/>
          <w:i w:val="false"/>
          <w:iCs w:val="false"/>
          <w:color w:val="1A1A1A"/>
          <w:sz w:val="20"/>
          <w:szCs w:val="20"/>
        </w:rPr>
        <w:t xml:space="preserve">Raghu owns day-to-day implementation and this document's upkeep. Niren owns policy sign-off and any go/no-go decision on new deployments. This framework itself should be revisited whenever a materially new capability is added (e.g. agents gaining write access to a new system) or at minimum annually, since the underlying frameworks (OWASP, NIST, MITRE ATLAS) are themselves updated on a similar cycle.</w:t>
      </w:r>
    </w:p>
    <w:p>
      <w:pPr>
        <w:pBdr>
          <w:bottom w:val="single" w:color="1B2A4A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OWASP Top 10 for LLM Applications (2025) — </w:t>
      </w:r>
      <w:hyperlink w:history="1" r:id="rIdttb44bu-y4onwpe7gnzgh">
        <w:r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</w:rPr>
          <w:t xml:space="preserve">https://genai.owasp.org/resource/owasp-top-10-for-llm-applications-2025/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OWASP AI Agent Security Cheat Sheet — </w:t>
      </w:r>
      <w:hyperlink w:history="1" r:id="rIddu2fbpdlrj69cw0sfxfgf">
        <w:r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</w:rPr>
          <w:t xml:space="preserve">https://cheatsheetseries.owasp.org/cheatsheets/AI_Agent_Security_Cheat_Sheet.html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NIST AI Risk Management Framework — </w:t>
      </w:r>
      <w:hyperlink w:history="1" r:id="rIdkvuyaig2mur8ea-l-6c29">
        <w:r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</w:rPr>
          <w:t xml:space="preserve">https://www.nist.gov/itl/ai-risk-management-framework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MITRE ATLAS — </w:t>
      </w:r>
      <w:hyperlink w:history="1" r:id="rIdyjy38lzyrld7mj9g2rngx">
        <w:r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</w:rPr>
          <w:t xml:space="preserve">https://atlas.mitre.org/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NVIDIA NeMo Guardrails — Observability &amp; Logging — </w:t>
      </w:r>
      <w:hyperlink w:history="1" r:id="rIdljyajmix7yb-jzfmlah2a">
        <w:r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</w:rPr>
          <w:t xml:space="preserve">https://docs.nvidia.com/nemo/guardrails/latest/observability/logging/index.html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entury Gothic" w:cs="Century Gothic" w:eastAsia="Century Gothic" w:hAnsi="Century Gothic"/>
          <w:color w:val="1A1A1A"/>
          <w:sz w:val="20"/>
          <w:szCs w:val="20"/>
        </w:rPr>
        <w:t xml:space="preserve">Open WebUI — Role-Based Access Control — </w:t>
      </w:r>
      <w:hyperlink w:history="1" r:id="rId-e5v-ylalcnojgxrwpbqn">
        <w:r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</w:rPr>
          <w:t xml:space="preserve">https://docs.openwebui.com/features/authentication-access/rbac/</w:t>
        </w:r>
      </w:hyperlink>
    </w:p>
    <w:sectPr>
      <w:headerReference w:type="default" r:id="rId7"/>
      <w:footerReference w:type="default" r:id="rId8"/>
      <w:pgSz w:w="12240" w:h="15840" w:orient="portrait"/>
      <w:pgMar w:top="1440" w:right="616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entury Gothic" w:cs="Century Gothic" w:eastAsia="Century Gothic" w:hAnsi="Century Gothic"/>
        <w:color w:val="595959"/>
        <w:sz w:val="16"/>
        <w:szCs w:val="16"/>
      </w:rPr>
      <w:t xml:space="preserve">Confidential — Internal — v1.0</w:t>
    </w:r>
    <w:r>
      <w:rPr>
        <w:rFonts w:ascii="Century Gothic" w:cs="Century Gothic" w:eastAsia="Century Gothic" w:hAnsi="Century Gothic"/>
        <w:color w:val="595959"/>
        <w:sz w:val="16"/>
        <w:szCs w:val="16"/>
      </w:rPr>
      <w:t xml:space="preserve">	</w:t>
    </w:r>
    <w:r>
      <w:rPr>
        <w:rFonts w:ascii="Century Gothic" w:cs="Century Gothic" w:eastAsia="Century Gothic" w:hAnsi="Century Gothic"/>
        <w:color w:val="595959"/>
        <w:sz w:val="16"/>
        <w:szCs w:val="16"/>
      </w:rPr>
      <w:t xml:space="preserve">Page </w:t>
    </w:r>
    <w:r>
      <w:rPr>
        <w:rFonts w:ascii="Century Gothic" w:cs="Century Gothic" w:eastAsia="Century Gothic" w:hAnsi="Century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entury Gothic" w:cs="Century Gothic" w:eastAsia="Century Gothic" w:hAnsi="Century Gothic"/>
        <w:color w:val="595959"/>
        <w:sz w:val="16"/>
        <w:szCs w:val="16"/>
      </w:rPr>
      <w:t xml:space="preserve">NationLabs Technical Research &amp;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tb44bu-y4onwpe7gnzgh" Type="http://schemas.openxmlformats.org/officeDocument/2006/relationships/hyperlink" Target="https://genai.owasp.org/resource/owasp-top-10-for-llm-applications-2025/" TargetMode="External"/><Relationship Id="rIddu2fbpdlrj69cw0sfxfgf" Type="http://schemas.openxmlformats.org/officeDocument/2006/relationships/hyperlink" Target="https://cheatsheetseries.owasp.org/cheatsheets/AI_Agent_Security_Cheat_Sheet.html" TargetMode="External"/><Relationship Id="rIdkvuyaig2mur8ea-l-6c29" Type="http://schemas.openxmlformats.org/officeDocument/2006/relationships/hyperlink" Target="https://www.nist.gov/itl/ai-risk-management-framework" TargetMode="External"/><Relationship Id="rIdyjy38lzyrld7mj9g2rngx" Type="http://schemas.openxmlformats.org/officeDocument/2006/relationships/hyperlink" Target="https://atlas.mitre.org/" TargetMode="External"/><Relationship Id="rIdljyajmix7yb-jzfmlah2a" Type="http://schemas.openxmlformats.org/officeDocument/2006/relationships/hyperlink" Target="https://docs.nvidia.com/nemo/guardrails/latest/observability/logging/index.html" TargetMode="External"/><Relationship Id="rId-e5v-ylalcnojgxrwpbqn" Type="http://schemas.openxmlformats.org/officeDocument/2006/relationships/hyperlink" Target="https://docs.openwebui.com/features/authentication-access/rbac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2026-07-21T07:06:33.040Z</dcterms:created>
  <dcterms:modified xsi:type="dcterms:W3CDTF">2026-07-21T07:06:33.040Z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