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20" w:after="360"/>
        <w:jc w:val="center"/>
      </w:pPr>
      <w:r>
        <w:rPr>
          <w:rFonts w:ascii="Arial" w:hAnsi="Arial"/>
          <w:b/>
          <w:color w:val="2F5D8C"/>
          <w:sz w:val="50"/>
        </w:rPr>
        <w:t>PROCESS FLOW SPECIFICATION</w:t>
      </w:r>
    </w:p>
    <w:p>
      <w:pPr>
        <w:spacing w:after="240"/>
        <w:jc w:val="center"/>
      </w:pPr>
      <w:r>
        <w:rPr>
          <w:rFonts w:ascii="Arial" w:hAnsi="Arial"/>
          <w:b/>
          <w:color w:val="1F2937"/>
          <w:sz w:val="36"/>
        </w:rPr>
        <w:t>Ontology and Knowledge Graph-Driven</w:t>
        <w:br/>
        <w:t>Sustainability Principles Recommendation System</w:t>
      </w:r>
    </w:p>
    <w:p>
      <w:pPr>
        <w:spacing w:after="560"/>
        <w:jc w:val="center"/>
      </w:pPr>
      <w:r>
        <w:rPr>
          <w:rFonts w:ascii="Arial" w:hAnsi="Arial"/>
          <w:color w:val="6B7280"/>
          <w:sz w:val="22"/>
        </w:rPr>
        <w:t>SEQ-06  |  Version 0.1  |  September 2026</w:t>
      </w:r>
    </w:p>
    <w:p>
      <w:pPr>
        <w:spacing w:before="800" w:after="120"/>
      </w:pPr>
      <w:r>
        <w:rPr>
          <w:b/>
          <w:color w:val="2F5D8C"/>
          <w:sz w:val="24"/>
        </w:rPr>
        <w:t>Purpose</w:t>
      </w:r>
    </w:p>
    <w:p>
      <w:pPr>
        <w:spacing w:after="0"/>
      </w:pPr>
      <w:r>
        <w:t>Formalize V1 operational processes, state transitions, decision points, branching, prerequisites, termination conditions and exceptional paths without changing the data flows or algorithms already established.</w:t>
      </w:r>
    </w:p>
    <w:p>
      <w:r>
        <w:br w:type="page"/>
      </w:r>
    </w:p>
    <w:p>
      <w:pPr>
        <w:pStyle w:val="Heading1"/>
        <w:keepNext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448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632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44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Sequence</w:t>
            </w:r>
          </w:p>
        </w:tc>
        <w:tc>
          <w:tcPr>
            <w:tcW w:type="dxa" w:w="763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SEQ-06</w:t>
            </w:r>
          </w:p>
        </w:tc>
      </w:tr>
      <w:tr>
        <w:tc>
          <w:tcPr>
            <w:tcW w:type="dxa" w:w="244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Version</w:t>
            </w:r>
          </w:p>
        </w:tc>
        <w:tc>
          <w:tcPr>
            <w:tcW w:type="dxa" w:w="763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0.1</w:t>
            </w:r>
          </w:p>
        </w:tc>
      </w:tr>
      <w:tr>
        <w:tc>
          <w:tcPr>
            <w:tcW w:type="dxa" w:w="244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Status</w:t>
            </w:r>
          </w:p>
        </w:tc>
        <w:tc>
          <w:tcPr>
            <w:tcW w:type="dxa" w:w="763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V1 process-flow baseline</w:t>
            </w:r>
          </w:p>
        </w:tc>
      </w:tr>
      <w:tr>
        <w:tc>
          <w:tcPr>
            <w:tcW w:type="dxa" w:w="244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Date</w:t>
            </w:r>
          </w:p>
        </w:tc>
        <w:tc>
          <w:tcPr>
            <w:tcW w:type="dxa" w:w="763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September 2026</w:t>
            </w:r>
          </w:p>
        </w:tc>
      </w:tr>
      <w:tr>
        <w:tc>
          <w:tcPr>
            <w:tcW w:type="dxa" w:w="244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Upstream baseline</w:t>
            </w:r>
          </w:p>
        </w:tc>
        <w:tc>
          <w:tcPr>
            <w:tcW w:type="dxa" w:w="763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System Architecture Design v1.1 Final; UI Design v0.3; Technical Interface Design v0.2; Interface Contract Registry v0.1; Data Flow Design v0.1 Final; Data Flow Registry v0.1; SEQ-04/05 decision registers.</w:t>
            </w:r>
          </w:p>
        </w:tc>
      </w:tr>
      <w:tr>
        <w:tc>
          <w:tcPr>
            <w:tcW w:type="dxa" w:w="244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Change rule</w:t>
            </w:r>
          </w:p>
        </w:tc>
        <w:tc>
          <w:tcPr>
            <w:tcW w:type="dxa" w:w="763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This specification formalizes already agreed behavior; it must not silently alter architecture, UI, interface, data-flow or validated recommendation semantics.</w:t>
            </w:r>
          </w:p>
        </w:tc>
      </w:tr>
    </w:tbl>
    <w:p/>
    <w:p>
      <w:pPr>
        <w:pStyle w:val="Heading2"/>
        <w:keepNext/>
      </w:pPr>
      <w:r>
        <w:t>Contents and reading order</w:t>
      </w:r>
    </w:p>
    <w:p>
      <w:pPr>
        <w:pStyle w:val="ListBullet"/>
        <w:spacing w:after="40"/>
      </w:pPr>
      <w:r>
        <w:t>1–3 define scope, notation and cross-process invariants.</w:t>
      </w:r>
    </w:p>
    <w:p>
      <w:pPr>
        <w:pStyle w:val="ListBullet"/>
        <w:spacing w:after="40"/>
      </w:pPr>
      <w:r>
        <w:t>4–7 define recommendation and Application Context processes.</w:t>
      </w:r>
    </w:p>
    <w:p>
      <w:pPr>
        <w:pStyle w:val="ListBullet"/>
        <w:spacing w:after="40"/>
      </w:pPr>
      <w:r>
        <w:t>8–11 define Educator Kit, Knowledge Graph and runtime-startup processes.</w:t>
      </w:r>
    </w:p>
    <w:p>
      <w:pPr>
        <w:pStyle w:val="ListBullet"/>
        <w:spacing w:after="40"/>
      </w:pPr>
      <w:r>
        <w:t>12–15 define persistence/replay, exceptional states, process registry and acceptance.</w:t>
      </w:r>
    </w:p>
    <w:p>
      <w:pPr>
        <w:pStyle w:val="Heading1"/>
        <w:keepNext/>
      </w:pPr>
      <w:r>
        <w:t>1. Purpose and scope</w:t>
      </w:r>
    </w:p>
    <w:p>
      <w:pPr>
        <w:spacing w:after="100"/>
      </w:pPr>
      <w:r>
        <w:rPr>
          <w:rFonts w:ascii="Arial" w:hAnsi="Arial"/>
          <w:color w:val="1F2937"/>
          <w:sz w:val="20"/>
        </w:rPr>
        <w:t>SEQ-06 converts the frozen UI, interface and data-flow design into executable behavioral processes. It answers what happens next, which branch is taken, what blocks progress, what persists, and when a process terminates. It does not define scoring mathematics or physical database schema.</w:t>
      </w:r>
    </w:p>
    <w:p>
      <w:pPr>
        <w:pStyle w:val="Heading2"/>
        <w:keepNext/>
      </w:pPr>
      <w:r>
        <w:t>1.1 In scope</w:t>
      </w:r>
    </w:p>
    <w:p>
      <w:pPr>
        <w:pStyle w:val="ListBullet"/>
        <w:spacing w:after="40"/>
      </w:pPr>
      <w:r>
        <w:t>Educator recommendation journey and Application Context acceptance.</w:t>
      </w:r>
    </w:p>
    <w:p>
      <w:pPr>
        <w:pStyle w:val="ListBullet"/>
        <w:spacing w:after="40"/>
      </w:pPr>
      <w:r>
        <w:t>Recommendation execution, abstention, trace retrieval and persistence ordering.</w:t>
      </w:r>
    </w:p>
    <w:p>
      <w:pPr>
        <w:pStyle w:val="ListBullet"/>
        <w:spacing w:after="40"/>
      </w:pPr>
      <w:r>
        <w:t>Educator Kit generation, explicit alternative selection, validation failure, view/export and educator decisions.</w:t>
      </w:r>
    </w:p>
    <w:p>
      <w:pPr>
        <w:pStyle w:val="ListBullet"/>
        <w:spacing w:after="40"/>
      </w:pPr>
      <w:r>
        <w:t>Knowledge Graph Explorer process and repository/runtime startup.</w:t>
      </w:r>
    </w:p>
    <w:p>
      <w:pPr>
        <w:pStyle w:val="ListBullet"/>
        <w:spacing w:after="40"/>
      </w:pPr>
      <w:r>
        <w:t>Domain outcomes versus technical failures, idempotent retries and replay.</w:t>
      </w:r>
    </w:p>
    <w:p>
      <w:pPr>
        <w:pStyle w:val="Heading2"/>
        <w:keepNext/>
      </w:pPr>
      <w:r>
        <w:t>1.2 Out of scope</w:t>
      </w:r>
    </w:p>
    <w:p>
      <w:pPr>
        <w:pStyle w:val="ListBullet"/>
        <w:spacing w:after="40"/>
      </w:pPr>
      <w:r>
        <w:t>Algorithm scoring/threshold derivation — SEQ-07.</w:t>
      </w:r>
    </w:p>
    <w:p>
      <w:pPr>
        <w:pStyle w:val="ListBullet"/>
        <w:spacing w:after="40"/>
      </w:pPr>
      <w:r>
        <w:t>Module/package ownership — SEQ-08.</w:t>
      </w:r>
    </w:p>
    <w:p>
      <w:pPr>
        <w:pStyle w:val="ListBullet"/>
        <w:spacing w:after="40"/>
      </w:pPr>
      <w:r>
        <w:t>Physical tables/transactions — SEQ-09.</w:t>
      </w:r>
    </w:p>
    <w:p>
      <w:pPr>
        <w:pStyle w:val="ListBullet"/>
        <w:spacing w:after="40"/>
      </w:pPr>
      <w:r>
        <w:t>Authentication/secrets/security controls — SEQ-10.</w:t>
      </w:r>
    </w:p>
    <w:p>
      <w:pPr>
        <w:pStyle w:val="ListBullet"/>
        <w:spacing w:after="40"/>
      </w:pPr>
      <w:r>
        <w:t>Deferred text-only V1 anchor route and functional Admin publication lifecycle.</w:t>
      </w:r>
    </w:p>
    <w:p>
      <w:pPr>
        <w:pStyle w:val="Heading1"/>
        <w:keepNext/>
      </w:pPr>
      <w:r>
        <w:t>2. Process notation and state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304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Notation</w:t>
            </w:r>
          </w:p>
        </w:tc>
        <w:tc>
          <w:tcPr>
            <w:tcW w:type="dxa" w:w="7776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2304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Rectangle</w:t>
            </w:r>
          </w:p>
        </w:tc>
        <w:tc>
          <w:tcPr>
            <w:tcW w:type="dxa" w:w="77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Action, state transition or component-owned process step.</w:t>
            </w:r>
          </w:p>
        </w:tc>
      </w:tr>
      <w:tr>
        <w:tc>
          <w:tcPr>
            <w:tcW w:type="dxa" w:w="2304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Diamond</w:t>
            </w:r>
          </w:p>
        </w:tc>
        <w:tc>
          <w:tcPr>
            <w:tcW w:type="dxa" w:w="777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Decision/gate with explicit branches.</w:t>
            </w:r>
          </w:p>
        </w:tc>
      </w:tr>
      <w:tr>
        <w:tc>
          <w:tcPr>
            <w:tcW w:type="dxa" w:w="2304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Arrow</w:t>
            </w:r>
          </w:p>
        </w:tc>
        <w:tc>
          <w:tcPr>
            <w:tcW w:type="dxa" w:w="77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Permitted process transition; labels describe conditions where useful.</w:t>
            </w:r>
          </w:p>
        </w:tc>
      </w:tr>
      <w:tr>
        <w:tc>
          <w:tcPr>
            <w:tcW w:type="dxa" w:w="2304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Data store box</w:t>
            </w:r>
          </w:p>
        </w:tc>
        <w:tc>
          <w:tcPr>
            <w:tcW w:type="dxa" w:w="777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Persisted or governed state read/written by the process.</w:t>
            </w:r>
          </w:p>
        </w:tc>
      </w:tr>
      <w:tr>
        <w:tc>
          <w:tcPr>
            <w:tcW w:type="dxa" w:w="2304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Domain outcome</w:t>
            </w:r>
          </w:p>
        </w:tc>
        <w:tc>
          <w:tcPr>
            <w:tcW w:type="dxa" w:w="77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Expected business/domain state such as ABSTAINED, NO_COMPATIBLE_SUGGESTIONS or NO_GOVERNED_PATH.</w:t>
            </w:r>
          </w:p>
        </w:tc>
      </w:tr>
      <w:tr>
        <w:tc>
          <w:tcPr>
            <w:tcW w:type="dxa" w:w="2304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TechnicalError</w:t>
            </w:r>
          </w:p>
        </w:tc>
        <w:tc>
          <w:tcPr>
            <w:tcW w:type="dxa" w:w="777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Infrastructure/runtime failure outside the normal domain-state branch.</w:t>
            </w:r>
          </w:p>
        </w:tc>
      </w:tr>
    </w:tbl>
    <w:p/>
    <w:p>
      <w:pPr>
        <w:pStyle w:val="Heading1"/>
        <w:keepNext/>
      </w:pPr>
      <w:r>
        <w:t>3. Cross-process invariants</w:t>
      </w:r>
    </w:p>
    <w:p>
      <w:pPr>
        <w:pStyle w:val="ListBullet"/>
        <w:spacing w:after="40"/>
      </w:pPr>
      <w:r>
        <w:t>Course → Module → Subtopic is mandatory in V1 and Subtopic is the authoritative technical anchor.</w:t>
      </w:r>
    </w:p>
    <w:p>
      <w:pPr>
        <w:pStyle w:val="ListBullet"/>
        <w:spacing w:after="40"/>
      </w:pPr>
      <w:r>
        <w:t>One accepted Application Context is required before final Recommendation Core execution.</w:t>
      </w:r>
    </w:p>
    <w:p>
      <w:pPr>
        <w:pStyle w:val="ListBullet"/>
        <w:spacing w:after="40"/>
      </w:pPr>
      <w:r>
        <w:t>Educator-entered Application Context supersedes generated suggestions on the main path; the exact text is preserved.</w:t>
      </w:r>
    </w:p>
    <w:p>
      <w:pPr>
        <w:pStyle w:val="ListBullet"/>
        <w:spacing w:after="40"/>
      </w:pPr>
      <w:r>
        <w:t>A material anchor/context mismatch blocks execution and returns the educator to review; V1 does not silently re-anchor.</w:t>
      </w:r>
    </w:p>
    <w:p>
      <w:pPr>
        <w:pStyle w:val="ListBullet"/>
        <w:spacing w:after="40"/>
      </w:pPr>
      <w:r>
        <w:t>Eligibility and guardrail checks precede SCR ranking.</w:t>
      </w:r>
    </w:p>
    <w:p>
      <w:pPr>
        <w:pStyle w:val="ListBullet"/>
        <w:spacing w:after="40"/>
      </w:pPr>
      <w:r>
        <w:t>Educator Kit starts only from a successful accepted recommendation; downstream pedagogy/framework/generation cannot create SCR eligibility.</w:t>
      </w:r>
    </w:p>
    <w:p>
      <w:pPr>
        <w:pStyle w:val="ListBullet"/>
        <w:spacing w:after="40"/>
      </w:pPr>
      <w:r>
        <w:t>Failed Kit validation is retained but never shown as a ready Kit; no hidden repair/regeneration loop exists.</w:t>
      </w:r>
    </w:p>
    <w:p>
      <w:pPr>
        <w:pStyle w:val="ListBullet"/>
        <w:spacing w:after="40"/>
      </w:pPr>
      <w:r>
        <w:t>Knowledge Graph Explorer is read-only and does not invoke or change Recommendation Core state.</w:t>
      </w:r>
    </w:p>
    <w:p>
      <w:pPr>
        <w:pStyle w:val="ListBullet"/>
        <w:spacing w:after="40"/>
      </w:pPr>
      <w:r>
        <w:t>Operational outputs never write back into canonical repositories.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2791632"/>
            <wp:docPr id="1" name="Picture 1" descr="Flowchart showing mandatory curriculum selection, Application Context acceptance, Teaching Context, review, mismatch gate, recommendation execution and result/abstention." title="Figure 1. PF-01 V1 recommendation creation proc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06_fig1_recommendation_proce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79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t>Figure 1. PF-01 V1 recommendation creation process</w:t>
      </w:r>
    </w:p>
    <w:p>
      <w:pPr>
        <w:pStyle w:val="Heading1"/>
        <w:keepNext/>
      </w:pPr>
      <w:r>
        <w:t>4. PF-01 — Recommendation creation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720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Step</w:t>
            </w:r>
          </w:p>
        </w:tc>
        <w:tc>
          <w:tcPr>
            <w:tcW w:type="dxa" w:w="1800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Actor / owner</w:t>
            </w:r>
          </w:p>
        </w:tc>
        <w:tc>
          <w:tcPr>
            <w:tcW w:type="dxa" w:w="5976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Process rule</w:t>
            </w:r>
          </w:p>
        </w:tc>
        <w:tc>
          <w:tcPr>
            <w:tcW w:type="dxa" w:w="1656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Next state</w:t>
            </w:r>
          </w:p>
        </w:tc>
      </w:tr>
      <w:tr>
        <w:tc>
          <w:tcPr>
            <w:tcW w:type="dxa" w:w="72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1</w:t>
            </w:r>
          </w:p>
        </w:tc>
        <w:tc>
          <w:tcPr>
            <w:tcW w:type="dxa" w:w="180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Educator UI</w:t>
            </w:r>
          </w:p>
        </w:tc>
        <w:tc>
          <w:tcPr>
            <w:tcW w:type="dxa" w:w="59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Select active Course; load Modules filtered by Course_ID.</w:t>
            </w:r>
          </w:p>
        </w:tc>
        <w:tc>
          <w:tcPr>
            <w:tcW w:type="dxa" w:w="165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Module selection</w:t>
            </w:r>
          </w:p>
        </w:tc>
      </w:tr>
      <w:tr>
        <w:tc>
          <w:tcPr>
            <w:tcW w:type="dxa" w:w="72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2</w:t>
            </w:r>
          </w:p>
        </w:tc>
        <w:tc>
          <w:tcPr>
            <w:tcW w:type="dxa" w:w="180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Educator UI</w:t>
            </w:r>
          </w:p>
        </w:tc>
        <w:tc>
          <w:tcPr>
            <w:tcW w:type="dxa" w:w="597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Select Module; load Subtopics filtered by Module_ID.</w:t>
            </w:r>
          </w:p>
        </w:tc>
        <w:tc>
          <w:tcPr>
            <w:tcW w:type="dxa" w:w="165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Subtopic selection</w:t>
            </w:r>
          </w:p>
        </w:tc>
      </w:tr>
      <w:tr>
        <w:tc>
          <w:tcPr>
            <w:tcW w:type="dxa" w:w="72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3</w:t>
            </w:r>
          </w:p>
        </w:tc>
        <w:tc>
          <w:tcPr>
            <w:tcW w:type="dxa" w:w="180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Educator UI</w:t>
            </w:r>
          </w:p>
        </w:tc>
        <w:tc>
          <w:tcPr>
            <w:tcW w:type="dxa" w:w="59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Select Subtopic; retain canonical hierarchy IDs.</w:t>
            </w:r>
          </w:p>
        </w:tc>
        <w:tc>
          <w:tcPr>
            <w:tcW w:type="dxa" w:w="165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Application Context</w:t>
            </w:r>
          </w:p>
        </w:tc>
      </w:tr>
      <w:tr>
        <w:tc>
          <w:tcPr>
            <w:tcW w:type="dxa" w:w="72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4</w:t>
            </w:r>
          </w:p>
        </w:tc>
        <w:tc>
          <w:tcPr>
            <w:tcW w:type="dxa" w:w="180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Application Context process</w:t>
            </w:r>
          </w:p>
        </w:tc>
        <w:tc>
          <w:tcPr>
            <w:tcW w:type="dxa" w:w="597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Automatically evaluate suggestions; educator field is immediately usable.</w:t>
            </w:r>
          </w:p>
        </w:tc>
        <w:tc>
          <w:tcPr>
            <w:tcW w:type="dxa" w:w="165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Accepted/entered context or wait</w:t>
            </w:r>
          </w:p>
        </w:tc>
      </w:tr>
      <w:tr>
        <w:tc>
          <w:tcPr>
            <w:tcW w:type="dxa" w:w="72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5</w:t>
            </w:r>
          </w:p>
        </w:tc>
        <w:tc>
          <w:tcPr>
            <w:tcW w:type="dxa" w:w="180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Educator UI</w:t>
            </w:r>
          </w:p>
        </w:tc>
        <w:tc>
          <w:tcPr>
            <w:tcW w:type="dxa" w:w="59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Collect optional Teaching Context.</w:t>
            </w:r>
          </w:p>
        </w:tc>
        <w:tc>
          <w:tcPr>
            <w:tcW w:type="dxa" w:w="165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Review</w:t>
            </w:r>
          </w:p>
        </w:tc>
      </w:tr>
      <w:tr>
        <w:tc>
          <w:tcPr>
            <w:tcW w:type="dxa" w:w="72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6</w:t>
            </w:r>
          </w:p>
        </w:tc>
        <w:tc>
          <w:tcPr>
            <w:tcW w:type="dxa" w:w="180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Review/Generate</w:t>
            </w:r>
          </w:p>
        </w:tc>
        <w:tc>
          <w:tcPr>
            <w:tcW w:type="dxa" w:w="597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Validate hierarchy, accepted context, candidate provenance and mismatch.</w:t>
            </w:r>
          </w:p>
        </w:tc>
        <w:tc>
          <w:tcPr>
            <w:tcW w:type="dxa" w:w="165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Block or execute</w:t>
            </w:r>
          </w:p>
        </w:tc>
      </w:tr>
      <w:tr>
        <w:tc>
          <w:tcPr>
            <w:tcW w:type="dxa" w:w="72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7</w:t>
            </w:r>
          </w:p>
        </w:tc>
        <w:tc>
          <w:tcPr>
            <w:tcW w:type="dxa" w:w="180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Recommendation Core</w:t>
            </w:r>
          </w:p>
        </w:tc>
        <w:tc>
          <w:tcPr>
            <w:tcW w:type="dxa" w:w="59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Execute deterministic recommendation and persistence.</w:t>
            </w:r>
          </w:p>
        </w:tc>
        <w:tc>
          <w:tcPr>
            <w:tcW w:type="dxa" w:w="165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RecommendationResult</w:t>
            </w:r>
          </w:p>
        </w:tc>
      </w:tr>
      <w:tr>
        <w:tc>
          <w:tcPr>
            <w:tcW w:type="dxa" w:w="72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8</w:t>
            </w:r>
          </w:p>
        </w:tc>
        <w:tc>
          <w:tcPr>
            <w:tcW w:type="dxa" w:w="180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UI</w:t>
            </w:r>
          </w:p>
        </w:tc>
        <w:tc>
          <w:tcPr>
            <w:tcW w:type="dxa" w:w="597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Render SUCCESS or ABSTAINED; Kit action only for SUCCESS.</w:t>
            </w:r>
          </w:p>
        </w:tc>
        <w:tc>
          <w:tcPr>
            <w:tcW w:type="dxa" w:w="165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End / trace / Kit</w:t>
            </w:r>
          </w:p>
        </w:tc>
      </w:tr>
    </w:tbl>
    <w:p/>
    <w:p>
      <w:pPr>
        <w:pStyle w:val="Heading2"/>
        <w:keepNext/>
      </w:pPr>
      <w:r>
        <w:t>4.1 Process gates</w:t>
      </w:r>
    </w:p>
    <w:p>
      <w:pPr>
        <w:pStyle w:val="ListBullet"/>
        <w:spacing w:after="40"/>
      </w:pPr>
      <w:r>
        <w:t>Changing Course invalidates Module, Subtopic, suggestion and accepted-context state.</w:t>
      </w:r>
    </w:p>
    <w:p>
      <w:pPr>
        <w:pStyle w:val="ListBullet"/>
        <w:spacing w:after="40"/>
      </w:pPr>
      <w:r>
        <w:t>Changing Module invalidates Subtopic, suggestion and accepted-context state.</w:t>
      </w:r>
    </w:p>
    <w:p>
      <w:pPr>
        <w:pStyle w:val="ListBullet"/>
        <w:spacing w:after="40"/>
      </w:pPr>
      <w:r>
        <w:t>Changing Subtopic invalidates the suggestion set and accepted generated candidate tied to the old anchor.</w:t>
      </w:r>
    </w:p>
    <w:p>
      <w:pPr>
        <w:pStyle w:val="ListBullet"/>
        <w:spacing w:after="40"/>
      </w:pPr>
      <w:r>
        <w:t>Changing educator Application Context invalidates prior mismatch validation; educator-entered text becomes primary.</w:t>
      </w:r>
    </w:p>
    <w:p>
      <w:pPr>
        <w:pStyle w:val="ListBullet"/>
        <w:spacing w:after="40"/>
      </w:pPr>
      <w:r>
        <w:t>During Generate, the primary action is disabled; duplicate Request_ID is handled idempotently.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2661920"/>
            <wp:docPr id="2" name="Picture 2" descr="Flowchart showing anchor-based eligibility, broader candidate pool, semantic ranking, educator-facing generated suggestions, own-text option and provenance retention." title="Figure 2. PF-02 Application Context suggestion and acceptance proc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06_fig2_context_proce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6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t>Figure 2. PF-02 Application Context suggestion and acceptance process</w:t>
      </w:r>
    </w:p>
    <w:p>
      <w:pPr>
        <w:pStyle w:val="Heading1"/>
        <w:keepNext/>
      </w:pPr>
      <w:r>
        <w:t>5. PF-02 — Application Context suggestion and acceptance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736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Branch</w:t>
            </w:r>
          </w:p>
        </w:tc>
        <w:tc>
          <w:tcPr>
            <w:tcW w:type="dxa" w:w="7344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Behavior</w:t>
            </w:r>
          </w:p>
        </w:tc>
      </w:tr>
      <w:tr>
        <w:tc>
          <w:tcPr>
            <w:tcW w:type="dxa" w:w="273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Anchor available, no educator text yet</w:t>
            </w:r>
          </w:p>
        </w:tc>
        <w:tc>
          <w:tcPr>
            <w:tcW w:type="dxa" w:w="7344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Resolver uses the selected hierarchy and governed semantic evidence to generate candidate alternatives.</w:t>
            </w:r>
          </w:p>
        </w:tc>
      </w:tr>
      <w:tr>
        <w:tc>
          <w:tcPr>
            <w:tcW w:type="dxa" w:w="273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Anchor + educator text already present</w:t>
            </w:r>
          </w:p>
        </w:tc>
        <w:tc>
          <w:tcPr>
            <w:tcW w:type="dxa" w:w="7344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Send the existing text as application/mechanism evidence; the anchor remains technical authority.</w:t>
            </w:r>
          </w:p>
        </w:tc>
      </w:tr>
      <w:tr>
        <w:tc>
          <w:tcPr>
            <w:tcW w:type="dxa" w:w="273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Compatible candidate pool</w:t>
            </w:r>
          </w:p>
        </w:tc>
        <w:tc>
          <w:tcPr>
            <w:tcW w:type="dxa" w:w="7344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Evaluate structural/metadata plus mechanism/boundary compatibility before semantic ranking.</w:t>
            </w:r>
          </w:p>
        </w:tc>
      </w:tr>
      <w:tr>
        <w:tc>
          <w:tcPr>
            <w:tcW w:type="dxa" w:w="273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No direct structural candidate</w:t>
            </w:r>
          </w:p>
        </w:tc>
        <w:tc>
          <w:tcPr>
            <w:tcW w:type="dxa" w:w="7344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Controlled semantic fallback may be used under the same mechanism/scope checks.</w:t>
            </w:r>
          </w:p>
        </w:tc>
      </w:tr>
      <w:tr>
        <w:tc>
          <w:tcPr>
            <w:tcW w:type="dxa" w:w="273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Suggestions available</w:t>
            </w:r>
          </w:p>
        </w:tc>
        <w:tc>
          <w:tcPr>
            <w:tcW w:type="dxa" w:w="7344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Display at most 1–2 system-generated alternatives; retain their runtime candidate IDs and final shown set in session state.</w:t>
            </w:r>
          </w:p>
        </w:tc>
      </w:tr>
      <w:tr>
        <w:tc>
          <w:tcPr>
            <w:tcW w:type="dxa" w:w="273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No compatible suggestions</w:t>
            </w:r>
          </w:p>
        </w:tc>
        <w:tc>
          <w:tcPr>
            <w:tcW w:type="dxa" w:w="7344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Return NO_COMPATIBLE_SUGGESTIONS; keep free-text entry available.</w:t>
            </w:r>
          </w:p>
        </w:tc>
      </w:tr>
      <w:tr>
        <w:tc>
          <w:tcPr>
            <w:tcW w:type="dxa" w:w="273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Educator enters own context</w:t>
            </w:r>
          </w:p>
        </w:tc>
        <w:tc>
          <w:tcPr>
            <w:tcW w:type="dxa" w:w="7344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Set source EDUCATOR_ENTERED; accepted generated candidate ID must be null.</w:t>
            </w:r>
          </w:p>
        </w:tc>
      </w:tr>
      <w:tr>
        <w:tc>
          <w:tcPr>
            <w:tcW w:type="dxa" w:w="273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Educator accepts generated suggestion</w:t>
            </w:r>
          </w:p>
        </w:tc>
        <w:tc>
          <w:tcPr>
            <w:tcW w:type="dxa" w:w="7344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Set source ACCEPTED_SYSTEM_GENERATED; retain exact candidate text and Context_Candidate_ID.</w:t>
            </w:r>
          </w:p>
        </w:tc>
      </w:tr>
    </w:tbl>
    <w:p/>
    <w:p>
      <w:pPr>
        <w:pStyle w:val="Heading1"/>
        <w:keepNext/>
      </w:pPr>
      <w:r>
        <w:t>6. PF-03/PF-04 — Recommendation execution and abstention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2858719"/>
            <wp:docPr id="3" name="Picture 3" descr="Flowchart showing normalization, evidence construction, mechanism gate, eligibility/ranking/promotion/veto, atomic persistence and success/abstention result." title="Figure 3. PF-03/PF-04 recommendation execution and abstention proc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06_fig3_recommendation_execu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858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t>Figure 3. PF-03/PF-04 recommendation execution and abstention process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232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7848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Required behavior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Input Adapter</w:t>
            </w:r>
          </w:p>
        </w:tc>
        <w:tc>
          <w:tcPr>
            <w:tcW w:type="dxa" w:w="784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Validate canonical hierarchy and source/candidate consistency; preserve raw context; material mismatch blocks before core execution.</w:t>
            </w:r>
          </w:p>
        </w:tc>
      </w:tr>
      <w:tr>
        <w:tc>
          <w:tcPr>
            <w:tcW w:type="dxa" w:w="223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Mechanism profile</w:t>
            </w:r>
          </w:p>
        </w:tc>
        <w:tc>
          <w:tcPr>
            <w:tcW w:type="dxa" w:w="784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Build positive and explicit-negative facets separately.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Evidence</w:t>
            </w:r>
          </w:p>
        </w:tc>
        <w:tc>
          <w:tcPr>
            <w:tcW w:type="dxa" w:w="784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Use controlled graph/context evidence; narrower evidence normally precedes broader fallback.</w:t>
            </w:r>
          </w:p>
        </w:tc>
      </w:tr>
      <w:tr>
        <w:tc>
          <w:tcPr>
            <w:tcW w:type="dxa" w:w="223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No defensible mechanism</w:t>
            </w:r>
          </w:p>
        </w:tc>
        <w:tc>
          <w:tcPr>
            <w:tcW w:type="dxa" w:w="784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Return ABSTAINED / NO_DEFENSIBLE_SUSTAINABILITY_MECHANISM and persist completed event/snapshot.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Eligibility/ranking</w:t>
            </w:r>
          </w:p>
        </w:tc>
        <w:tc>
          <w:tcPr>
            <w:tcW w:type="dxa" w:w="784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Apply technical scope, mechanism, guardrail/boundary and evidence rules before ranking eligible SCRs.</w:t>
            </w:r>
          </w:p>
        </w:tc>
      </w:tr>
      <w:tr>
        <w:tc>
          <w:tcPr>
            <w:tcW w:type="dxa" w:w="223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Secondary promotion</w:t>
            </w:r>
          </w:p>
        </w:tc>
        <w:tc>
          <w:tcPr>
            <w:tcW w:type="dxa" w:w="784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Only independently supported mechanism facets may add secondary SCRs; explicit negation can veto.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Persistence</w:t>
            </w:r>
          </w:p>
        </w:tc>
        <w:tc>
          <w:tcPr>
            <w:tcW w:type="dxa" w:w="784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RecommendationContextSnapshot and RecommendationEvent commit before completed RecommendationResult is returned.</w:t>
            </w:r>
          </w:p>
        </w:tc>
      </w:tr>
      <w:tr>
        <w:tc>
          <w:tcPr>
            <w:tcW w:type="dxa" w:w="223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Insufficient evidence</w:t>
            </w:r>
          </w:p>
        </w:tc>
        <w:tc>
          <w:tcPr>
            <w:tcW w:type="dxa" w:w="784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Return ABSTAINED / INSUFFICIENT_EVIDENCE and no Kit action.</w:t>
            </w:r>
          </w:p>
        </w:tc>
      </w:tr>
    </w:tbl>
    <w:p/>
    <w:p>
      <w:pPr>
        <w:pStyle w:val="Heading1"/>
        <w:keepNext/>
      </w:pPr>
      <w:r>
        <w:t>7. PF-05 — Recommendation trace retrieval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792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Step</w:t>
            </w:r>
          </w:p>
        </w:tc>
        <w:tc>
          <w:tcPr>
            <w:tcW w:type="dxa" w:w="9288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Behavior</w:t>
            </w:r>
          </w:p>
        </w:tc>
      </w:tr>
      <w:tr>
        <w:tc>
          <w:tcPr>
            <w:tcW w:type="dxa" w:w="79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1</w:t>
            </w:r>
          </w:p>
        </w:tc>
        <w:tc>
          <w:tcPr>
            <w:tcW w:type="dxa" w:w="928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UI receives Recommendation_Event_ID with completed result.</w:t>
            </w:r>
          </w:p>
        </w:tc>
      </w:tr>
      <w:tr>
        <w:tc>
          <w:tcPr>
            <w:tcW w:type="dxa" w:w="79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2</w:t>
            </w:r>
          </w:p>
        </w:tc>
        <w:tc>
          <w:tcPr>
            <w:tcW w:type="dxa" w:w="928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On Why this recommendation?, call trace lookup by event ID.</w:t>
            </w:r>
          </w:p>
        </w:tc>
      </w:tr>
      <w:tr>
        <w:tc>
          <w:tcPr>
            <w:tcW w:type="dxa" w:w="79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3</w:t>
            </w:r>
          </w:p>
        </w:tc>
        <w:tc>
          <w:tcPr>
            <w:tcW w:type="dxa" w:w="928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Resolve exact persisted RecommendationEvent and linked ContextSnapshot/version references.</w:t>
            </w:r>
          </w:p>
        </w:tc>
      </w:tr>
      <w:tr>
        <w:tc>
          <w:tcPr>
            <w:tcW w:type="dxa" w:w="79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4</w:t>
            </w:r>
          </w:p>
        </w:tc>
        <w:tc>
          <w:tcPr>
            <w:tcW w:type="dxa" w:w="928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Build educator-readable Explanation and collapsed Audit_Detail from persisted provenance only.</w:t>
            </w:r>
          </w:p>
        </w:tc>
      </w:tr>
      <w:tr>
        <w:tc>
          <w:tcPr>
            <w:tcW w:type="dxa" w:w="79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5</w:t>
            </w:r>
          </w:p>
        </w:tc>
        <w:tc>
          <w:tcPr>
            <w:tcW w:type="dxa" w:w="928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If trace record is unavailable, return NOT_AVAILABLE; do not recompute recommendation or synthesize rationale.</w:t>
            </w:r>
          </w:p>
        </w:tc>
      </w:tr>
    </w:tbl>
    <w:p/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51345"/>
            <wp:docPr id="4" name="Picture 4" descr="Flowchart showing accepted recommendation, pedagogy selection, deterministic resolvers, bounded generation, validation, immutable snapshot, ready view/PDF or retained validation failure." title="Figure 4. PF-06/PF-08 Educator Kit generation and validation proc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06_fig4_kit_proces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51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t>Figure 4. PF-06/PF-08 Educator Kit generation and validation process</w:t>
      </w:r>
    </w:p>
    <w:p>
      <w:pPr>
        <w:pStyle w:val="Heading1"/>
        <w:keepNext/>
      </w:pPr>
      <w:r>
        <w:t>8. PF-06/PF-07/PF-08 — Educator Kit lifecycle</w:t>
      </w:r>
    </w:p>
    <w:p>
      <w:pPr>
        <w:pStyle w:val="Heading2"/>
        <w:keepNext/>
      </w:pPr>
      <w:r>
        <w:t>8.1 Initial primary Kit generation</w:t>
      </w:r>
    </w:p>
    <w:p>
      <w:pPr>
        <w:pStyle w:val="ListBullet"/>
        <w:spacing w:after="40"/>
      </w:pPr>
      <w:r>
        <w:t>Start only from Recommendation_Status = SUCCESS and a valid accepted primary SCR.</w:t>
      </w:r>
    </w:p>
    <w:p>
      <w:pPr>
        <w:pStyle w:val="ListBullet"/>
        <w:spacing w:after="40"/>
      </w:pPr>
      <w:r>
        <w:t>Pedagogy Selector determines one primary Template_ID and up to two materially distinct alternative summaries.</w:t>
      </w:r>
    </w:p>
    <w:p>
      <w:pPr>
        <w:pStyle w:val="ListBullet"/>
        <w:spacing w:after="40"/>
      </w:pPr>
      <w:r>
        <w:t>Only the primary template is fully resolved/generated/validated on initial Kit generation.</w:t>
      </w:r>
    </w:p>
    <w:p>
      <w:pPr>
        <w:pStyle w:val="ListBullet"/>
        <w:spacing w:after="40"/>
      </w:pPr>
      <w:r>
        <w:t>PKCR resolves REQUIRED and triggered CONDITIONAL output elements.</w:t>
      </w:r>
    </w:p>
    <w:p>
      <w:pPr>
        <w:pStyle w:val="ListBullet"/>
        <w:spacing w:after="40"/>
      </w:pPr>
      <w:r>
        <w:t>Teaching Material Resolver and FCR produce provenance-preserving packets; framework mappings cannot alter SCR eligibility or choose/re-rank Template_ID.</w:t>
      </w:r>
    </w:p>
    <w:p>
      <w:pPr>
        <w:pStyle w:val="ListBullet"/>
        <w:spacing w:after="40"/>
      </w:pPr>
      <w:r>
        <w:t>Generation provider receives only the bounded packet after deterministic resolution.</w:t>
      </w:r>
    </w:p>
    <w:p>
      <w:pPr>
        <w:pStyle w:val="ListBullet"/>
        <w:spacing w:after="40"/>
      </w:pPr>
      <w:r>
        <w:t>Validator checks every required/triggered element against the same contract.</w:t>
      </w:r>
    </w:p>
    <w:p>
      <w:pPr>
        <w:pStyle w:val="Heading2"/>
        <w:keepNext/>
      </w:pPr>
      <w:r>
        <w:t>8.2 Explicit alternative flow</w:t>
      </w:r>
    </w:p>
    <w:p>
      <w:pPr>
        <w:pStyle w:val="ListBullet"/>
        <w:spacing w:after="40"/>
      </w:pPr>
      <w:r>
        <w:t>Choosing an alternative is an explicit educator action, not automatic regeneration.</w:t>
      </w:r>
    </w:p>
    <w:p>
      <w:pPr>
        <w:pStyle w:val="ListBullet"/>
        <w:spacing w:after="40"/>
      </w:pPr>
      <w:r>
        <w:t>The chosen alternative Template_ID becomes Requested_Template_ID in a new Kit request.</w:t>
      </w:r>
    </w:p>
    <w:p>
      <w:pPr>
        <w:pStyle w:val="ListBullet"/>
        <w:spacing w:after="40"/>
      </w:pPr>
      <w:r>
        <w:t>A new immutable EducatorKitSnapshot is produced if generation reaches persistence.</w:t>
      </w:r>
    </w:p>
    <w:p>
      <w:pPr>
        <w:pStyle w:val="Heading2"/>
        <w:keepNext/>
      </w:pPr>
      <w:r>
        <w:t>8.3 Validation failure</w:t>
      </w:r>
    </w:p>
    <w:p>
      <w:pPr>
        <w:pStyle w:val="ListBullet"/>
        <w:spacing w:after="40"/>
      </w:pPr>
      <w:r>
        <w:t>VALIDATION_FAILED retains failed element/reason and provenance.</w:t>
      </w:r>
    </w:p>
    <w:p>
      <w:pPr>
        <w:pStyle w:val="ListBullet"/>
        <w:spacing w:after="40"/>
      </w:pPr>
      <w:r>
        <w:t>The accepted SCR recommendation remains visible/valid.</w:t>
      </w:r>
    </w:p>
    <w:p>
      <w:pPr>
        <w:pStyle w:val="ListBullet"/>
        <w:spacing w:after="40"/>
      </w:pPr>
      <w:r>
        <w:t>The failed Kit is not presented as ready-to-use.</w:t>
      </w:r>
    </w:p>
    <w:p>
      <w:pPr>
        <w:pStyle w:val="ListBullet"/>
        <w:spacing w:after="40"/>
      </w:pPr>
      <w:r>
        <w:t>No hidden automatic repair/regeneration loop runs.</w:t>
      </w:r>
    </w:p>
    <w:p>
      <w:pPr>
        <w:pStyle w:val="Heading1"/>
        <w:keepNext/>
      </w:pPr>
      <w:r>
        <w:t>9. PF-09/PF-10 — Kit view, PDF and educator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376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7704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Process</w:t>
            </w:r>
          </w:p>
        </w:tc>
      </w:tr>
      <w:tr>
        <w:tc>
          <w:tcPr>
            <w:tcW w:type="dxa" w:w="23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Open Kit</w:t>
            </w:r>
          </w:p>
        </w:tc>
        <w:tc>
          <w:tcPr>
            <w:tcW w:type="dxa" w:w="7704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Read EducatorKitSnapshot by ID; render in-app web view only from persisted content.</w:t>
            </w:r>
          </w:p>
        </w:tc>
      </w:tr>
      <w:tr>
        <w:tc>
          <w:tcPr>
            <w:tcW w:type="dxa" w:w="237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Export PDF</w:t>
            </w:r>
          </w:p>
        </w:tc>
        <w:tc>
          <w:tcPr>
            <w:tcW w:type="dxa" w:w="7704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Render PDF on demand from the same immutable snapshot; no LLM call, no new export entity required.</w:t>
            </w:r>
          </w:p>
        </w:tc>
      </w:tr>
      <w:tr>
        <w:tc>
          <w:tcPr>
            <w:tcW w:type="dxa" w:w="23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Use as suggested</w:t>
            </w:r>
          </w:p>
        </w:tc>
        <w:tc>
          <w:tcPr>
            <w:tcW w:type="dxa" w:w="7704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Append EducatorDecision linked to current Kit snapshot.</w:t>
            </w:r>
          </w:p>
        </w:tc>
      </w:tr>
      <w:tr>
        <w:tc>
          <w:tcPr>
            <w:tcW w:type="dxa" w:w="237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Adapt</w:t>
            </w:r>
          </w:p>
        </w:tc>
        <w:tc>
          <w:tcPr>
            <w:tcW w:type="dxa" w:w="7704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Store educator adaptation separately; do not overwrite original Kit snapshot/template.</w:t>
            </w:r>
          </w:p>
        </w:tc>
      </w:tr>
      <w:tr>
        <w:tc>
          <w:tcPr>
            <w:tcW w:type="dxa" w:w="23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Choose alternative</w:t>
            </w:r>
          </w:p>
        </w:tc>
        <w:tc>
          <w:tcPr>
            <w:tcW w:type="dxa" w:w="7704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Start PF-07 new explicit Kit generation.</w:t>
            </w:r>
          </w:p>
        </w:tc>
      </w:tr>
      <w:tr>
        <w:tc>
          <w:tcPr>
            <w:tcW w:type="dxa" w:w="237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Not use / Save for later</w:t>
            </w:r>
          </w:p>
        </w:tc>
        <w:tc>
          <w:tcPr>
            <w:tcW w:type="dxa" w:w="7704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Append decision record; no canonical repository mutation.</w:t>
            </w:r>
          </w:p>
        </w:tc>
      </w:tr>
    </w:tbl>
    <w:p/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2639361"/>
            <wp:docPr id="5" name="Picture 5" descr="Flowchart showing complete compiled graph, lean initial presentation, search/inspect/path branches and explicit no-governed-path outcome." title="Figure 5. PF-11 Knowledge Graph Explorer proc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06_fig5_kg_proces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39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t>Figure 5. PF-11 Knowledge Graph Explorer process</w:t>
      </w:r>
    </w:p>
    <w:p>
      <w:pPr>
        <w:pStyle w:val="Heading1"/>
        <w:keepNext/>
      </w:pPr>
      <w:r>
        <w:t>10. PF-11 — Knowledge Graph Explorer</w:t>
      </w:r>
    </w:p>
    <w:p>
      <w:pPr>
        <w:pStyle w:val="ListBullet"/>
        <w:spacing w:after="40"/>
      </w:pPr>
      <w:r>
        <w:t>Initial entry may be lean/grouped for readability, but semantic availability remains the complete active compiled governed graph.</w:t>
      </w:r>
    </w:p>
    <w:p>
      <w:pPr>
        <w:pStyle w:val="ListBullet"/>
        <w:spacing w:after="40"/>
      </w:pPr>
      <w:r>
        <w:t>Search resolves readable terms to canonical entity IDs; NO_MATCHES is a normal outcome.</w:t>
      </w:r>
    </w:p>
    <w:p>
      <w:pPr>
        <w:pStyle w:val="ListBullet"/>
        <w:spacing w:after="40"/>
      </w:pPr>
      <w:r>
        <w:t>Entity/relationship inspection loads governed details on demand and never generates missing authoritative descriptions.</w:t>
      </w:r>
    </w:p>
    <w:p>
      <w:pPr>
        <w:pStyle w:val="ListBullet"/>
        <w:spacing w:after="40"/>
      </w:pPr>
      <w:r>
        <w:t>Path query uses canonical endpoints, directed governed edges and returns one deterministic shortest path or NO_GOVERNED_PATH.</w:t>
      </w:r>
    </w:p>
    <w:p>
      <w:pPr>
        <w:pStyle w:val="ListBullet"/>
        <w:spacing w:after="40"/>
      </w:pPr>
      <w:r>
        <w:t>Focus, reset, fit, expand/collapse and display filters are local view state and do not change path semantics or Recommendation Core traversal.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2588604"/>
            <wp:docPr id="6" name="Picture 6" descr="Flowchart showing controlled repositories validated/compiled into graph and embedding artifacts, failure blocking load, and startup readiness checks." title="Figure 6. PF-12 repository compilation and runtime startup proc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06_fig6_runtime_startu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588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t>Figure 6. PF-12 repository compilation and runtime startup process</w:t>
      </w:r>
    </w:p>
    <w:p>
      <w:pPr>
        <w:pStyle w:val="Heading1"/>
        <w:keepNext/>
      </w:pPr>
      <w:r>
        <w:t>11. PF-12 — Repository build and runtime startup</w:t>
      </w:r>
    </w:p>
    <w:p>
      <w:pPr>
        <w:pStyle w:val="ListBullet"/>
        <w:spacing w:after="40"/>
      </w:pPr>
      <w:r>
        <w:t>Controlled repositories are versioned authoring/governance artifacts; they are not live query tables.</w:t>
      </w:r>
    </w:p>
    <w:p>
      <w:pPr>
        <w:pStyle w:val="ListBullet"/>
        <w:spacing w:after="40"/>
      </w:pPr>
      <w:r>
        <w:t>Repository Build validates schema, controlled values, referential integrity and build invariants.</w:t>
      </w:r>
    </w:p>
    <w:p>
      <w:pPr>
        <w:pStyle w:val="ListBullet"/>
        <w:spacing w:after="40"/>
      </w:pPr>
      <w:r>
        <w:t>Invalid source fails the build; active runtime truth is not silently replaced.</w:t>
      </w:r>
    </w:p>
    <w:p>
      <w:pPr>
        <w:pStyle w:val="ListBullet"/>
        <w:spacing w:after="40"/>
      </w:pPr>
      <w:r>
        <w:t>Compile separate graph and embedding artifacts with version/checksum metadata.</w:t>
      </w:r>
    </w:p>
    <w:p>
      <w:pPr>
        <w:pStyle w:val="ListBullet"/>
        <w:spacing w:after="40"/>
      </w:pPr>
      <w:r>
        <w:t>Graph Runtime and Semantic Engine load approved artifacts at startup and expose readiness.</w:t>
      </w:r>
    </w:p>
    <w:p>
      <w:pPr>
        <w:pStyle w:val="ListBullet"/>
        <w:spacing w:after="40"/>
      </w:pPr>
      <w:r>
        <w:t>This process is deployment/development preparation; V1 Administration does not expose upload/build/publish/rollback execution.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2639361"/>
            <wp:docPr id="7" name="Picture 7" descr="Line diagram showing immutable RecommendationContextSnapshot, append-only RecommendationEvent, immutable EducatorKitSnapshot and append-only EducatorDecision, with trace and rendering reads." title="Figure 7. PF-14 operational provenance and replay proc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06_fig7_provenanc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39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t>Figure 7. PF-14 operational provenance and replay process</w:t>
      </w:r>
    </w:p>
    <w:p>
      <w:pPr>
        <w:pStyle w:val="Heading1"/>
        <w:keepNext/>
      </w:pPr>
      <w:r>
        <w:t>12. PF-13/PF-14 — Exceptional flow, persistence and replay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2880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Condition</w:t>
            </w:r>
          </w:p>
        </w:tc>
        <w:tc>
          <w:tcPr>
            <w:tcW w:type="dxa" w:w="2088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Outcome type</w:t>
            </w:r>
          </w:p>
        </w:tc>
        <w:tc>
          <w:tcPr>
            <w:tcW w:type="dxa" w:w="5112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Required behavior</w:t>
            </w:r>
          </w:p>
        </w:tc>
      </w:tr>
      <w:tr>
        <w:tc>
          <w:tcPr>
            <w:tcW w:type="dxa" w:w="288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Missing/invalid hierarchy</w:t>
            </w:r>
          </w:p>
        </w:tc>
        <w:tc>
          <w:tcPr>
            <w:tcW w:type="dxa" w:w="208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Blocking validation</w:t>
            </w:r>
          </w:p>
        </w:tc>
        <w:tc>
          <w:tcPr>
            <w:tcW w:type="dxa" w:w="511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Return to Curriculum; no completed event.</w:t>
            </w:r>
          </w:p>
        </w:tc>
      </w:tr>
      <w:tr>
        <w:tc>
          <w:tcPr>
            <w:tcW w:type="dxa" w:w="288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Anchor/context mismatch</w:t>
            </w:r>
          </w:p>
        </w:tc>
        <w:tc>
          <w:tcPr>
            <w:tcW w:type="dxa" w:w="208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Blocking validation</w:t>
            </w:r>
          </w:p>
        </w:tc>
        <w:tc>
          <w:tcPr>
            <w:tcW w:type="dxa" w:w="511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Return to review; no silent re-anchor.</w:t>
            </w:r>
          </w:p>
        </w:tc>
      </w:tr>
      <w:tr>
        <w:tc>
          <w:tcPr>
            <w:tcW w:type="dxa" w:w="288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No compatible context suggestion</w:t>
            </w:r>
          </w:p>
        </w:tc>
        <w:tc>
          <w:tcPr>
            <w:tcW w:type="dxa" w:w="208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Domain outcome</w:t>
            </w:r>
          </w:p>
        </w:tc>
        <w:tc>
          <w:tcPr>
            <w:tcW w:type="dxa" w:w="511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Allow educator text; no fabricated suggestion.</w:t>
            </w:r>
          </w:p>
        </w:tc>
      </w:tr>
      <w:tr>
        <w:tc>
          <w:tcPr>
            <w:tcW w:type="dxa" w:w="288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Recommendation abstention</w:t>
            </w:r>
          </w:p>
        </w:tc>
        <w:tc>
          <w:tcPr>
            <w:tcW w:type="dxa" w:w="208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Domain outcome</w:t>
            </w:r>
          </w:p>
        </w:tc>
        <w:tc>
          <w:tcPr>
            <w:tcW w:type="dxa" w:w="511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Persist context snapshot + event; no Kit.</w:t>
            </w:r>
          </w:p>
        </w:tc>
      </w:tr>
      <w:tr>
        <w:tc>
          <w:tcPr>
            <w:tcW w:type="dxa" w:w="288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Trace unavailable</w:t>
            </w:r>
          </w:p>
        </w:tc>
        <w:tc>
          <w:tcPr>
            <w:tcW w:type="dxa" w:w="208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Domain outcome</w:t>
            </w:r>
          </w:p>
        </w:tc>
        <w:tc>
          <w:tcPr>
            <w:tcW w:type="dxa" w:w="511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Keep recommendation; do not synthesize trace.</w:t>
            </w:r>
          </w:p>
        </w:tc>
      </w:tr>
      <w:tr>
        <w:tc>
          <w:tcPr>
            <w:tcW w:type="dxa" w:w="288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No eligible template</w:t>
            </w:r>
          </w:p>
        </w:tc>
        <w:tc>
          <w:tcPr>
            <w:tcW w:type="dxa" w:w="208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Domain outcome</w:t>
            </w:r>
          </w:p>
        </w:tc>
        <w:tc>
          <w:tcPr>
            <w:tcW w:type="dxa" w:w="511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Keep recommendation; no Kit snapshot because no generated Kit exists.</w:t>
            </w:r>
          </w:p>
        </w:tc>
      </w:tr>
      <w:tr>
        <w:tc>
          <w:tcPr>
            <w:tcW w:type="dxa" w:w="288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Kit validation failed</w:t>
            </w:r>
          </w:p>
        </w:tc>
        <w:tc>
          <w:tcPr>
            <w:tcW w:type="dxa" w:w="208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Domain outcome</w:t>
            </w:r>
          </w:p>
        </w:tc>
        <w:tc>
          <w:tcPr>
            <w:tcW w:type="dxa" w:w="511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Persist failure provenance; no ready Kit/no auto-repair.</w:t>
            </w:r>
          </w:p>
        </w:tc>
      </w:tr>
      <w:tr>
        <w:tc>
          <w:tcPr>
            <w:tcW w:type="dxa" w:w="288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Provider/model/database failure</w:t>
            </w:r>
          </w:p>
        </w:tc>
        <w:tc>
          <w:tcPr>
            <w:tcW w:type="dxa" w:w="208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TechnicalError</w:t>
            </w:r>
          </w:p>
        </w:tc>
        <w:tc>
          <w:tcPr>
            <w:tcW w:type="dxa" w:w="511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No fake success/domain-state substitution; sanitized operational logging as configured.</w:t>
            </w:r>
          </w:p>
        </w:tc>
      </w:tr>
      <w:tr>
        <w:tc>
          <w:tcPr>
            <w:tcW w:type="dxa" w:w="288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No KG path</w:t>
            </w:r>
          </w:p>
        </w:tc>
        <w:tc>
          <w:tcPr>
            <w:tcW w:type="dxa" w:w="208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Domain outcome</w:t>
            </w:r>
          </w:p>
        </w:tc>
        <w:tc>
          <w:tcPr>
            <w:tcW w:type="dxa" w:w="511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Return NO_GOVERNED_PATH; do not fabricate/undirect path.</w:t>
            </w:r>
          </w:p>
        </w:tc>
      </w:tr>
    </w:tbl>
    <w:p/>
    <w:p>
      <w:pPr>
        <w:pStyle w:val="Heading1"/>
        <w:keepNext/>
      </w:pPr>
      <w:r>
        <w:t>13. Process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152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Process_ID</w:t>
            </w:r>
          </w:p>
        </w:tc>
        <w:tc>
          <w:tcPr>
            <w:tcW w:type="dxa" w:w="2448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Process</w:t>
            </w:r>
          </w:p>
        </w:tc>
        <w:tc>
          <w:tcPr>
            <w:tcW w:type="dxa" w:w="3816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Input / trigger</w:t>
            </w:r>
          </w:p>
        </w:tc>
        <w:tc>
          <w:tcPr>
            <w:tcW w:type="dxa" w:w="3168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Terminal output</w:t>
            </w:r>
          </w:p>
        </w:tc>
      </w:tr>
      <w:tr>
        <w:tc>
          <w:tcPr>
            <w:tcW w:type="dxa" w:w="115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PF-01</w:t>
            </w:r>
          </w:p>
        </w:tc>
        <w:tc>
          <w:tcPr>
            <w:tcW w:type="dxa" w:w="244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Create Recommendation</w:t>
            </w:r>
          </w:p>
        </w:tc>
        <w:tc>
          <w:tcPr>
            <w:tcW w:type="dxa" w:w="381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Course→Module→Subtopic→Context→Teaching→Review→Generate</w:t>
            </w:r>
          </w:p>
        </w:tc>
        <w:tc>
          <w:tcPr>
            <w:tcW w:type="dxa" w:w="316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Result/Abstention</w:t>
            </w:r>
          </w:p>
        </w:tc>
      </w:tr>
      <w:tr>
        <w:tc>
          <w:tcPr>
            <w:tcW w:type="dxa" w:w="115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PF-02</w:t>
            </w:r>
          </w:p>
        </w:tc>
        <w:tc>
          <w:tcPr>
            <w:tcW w:type="dxa" w:w="244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Application Context Resolution</w:t>
            </w:r>
          </w:p>
        </w:tc>
        <w:tc>
          <w:tcPr>
            <w:tcW w:type="dxa" w:w="381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Anchor + optional educator text</w:t>
            </w:r>
          </w:p>
        </w:tc>
        <w:tc>
          <w:tcPr>
            <w:tcW w:type="dxa" w:w="316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0..2 generated suggestions / accepted context state</w:t>
            </w:r>
          </w:p>
        </w:tc>
      </w:tr>
      <w:tr>
        <w:tc>
          <w:tcPr>
            <w:tcW w:type="dxa" w:w="115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PF-03</w:t>
            </w:r>
          </w:p>
        </w:tc>
        <w:tc>
          <w:tcPr>
            <w:tcW w:type="dxa" w:w="244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Recommendation Execution</w:t>
            </w:r>
          </w:p>
        </w:tc>
        <w:tc>
          <w:tcPr>
            <w:tcW w:type="dxa" w:w="381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Validated request</w:t>
            </w:r>
          </w:p>
        </w:tc>
        <w:tc>
          <w:tcPr>
            <w:tcW w:type="dxa" w:w="316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SUCCESS or ABSTAINED</w:t>
            </w:r>
          </w:p>
        </w:tc>
      </w:tr>
      <w:tr>
        <w:tc>
          <w:tcPr>
            <w:tcW w:type="dxa" w:w="115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PF-04</w:t>
            </w:r>
          </w:p>
        </w:tc>
        <w:tc>
          <w:tcPr>
            <w:tcW w:type="dxa" w:w="244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Recommendation Abstention</w:t>
            </w:r>
          </w:p>
        </w:tc>
        <w:tc>
          <w:tcPr>
            <w:tcW w:type="dxa" w:w="381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Mechanism/evidence state</w:t>
            </w:r>
          </w:p>
        </w:tc>
        <w:tc>
          <w:tcPr>
            <w:tcW w:type="dxa" w:w="316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Governed abstention reason</w:t>
            </w:r>
          </w:p>
        </w:tc>
      </w:tr>
      <w:tr>
        <w:tc>
          <w:tcPr>
            <w:tcW w:type="dxa" w:w="115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PF-05</w:t>
            </w:r>
          </w:p>
        </w:tc>
        <w:tc>
          <w:tcPr>
            <w:tcW w:type="dxa" w:w="244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Trace Retrieval</w:t>
            </w:r>
          </w:p>
        </w:tc>
        <w:tc>
          <w:tcPr>
            <w:tcW w:type="dxa" w:w="381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Recommendation_Event_ID</w:t>
            </w:r>
          </w:p>
        </w:tc>
        <w:tc>
          <w:tcPr>
            <w:tcW w:type="dxa" w:w="316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Explanation + Audit_Detail / NOT_AVAILABLE</w:t>
            </w:r>
          </w:p>
        </w:tc>
      </w:tr>
      <w:tr>
        <w:tc>
          <w:tcPr>
            <w:tcW w:type="dxa" w:w="115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PF-06</w:t>
            </w:r>
          </w:p>
        </w:tc>
        <w:tc>
          <w:tcPr>
            <w:tcW w:type="dxa" w:w="244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Primary Kit Generation</w:t>
            </w:r>
          </w:p>
        </w:tc>
        <w:tc>
          <w:tcPr>
            <w:tcW w:type="dxa" w:w="381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Accepted recommendation</w:t>
            </w:r>
          </w:p>
        </w:tc>
        <w:tc>
          <w:tcPr>
            <w:tcW w:type="dxa" w:w="316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READY / NO_ELIGIBLE_TEMPLATE / VALIDATION_FAILED</w:t>
            </w:r>
          </w:p>
        </w:tc>
      </w:tr>
      <w:tr>
        <w:tc>
          <w:tcPr>
            <w:tcW w:type="dxa" w:w="115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PF-07</w:t>
            </w:r>
          </w:p>
        </w:tc>
        <w:tc>
          <w:tcPr>
            <w:tcW w:type="dxa" w:w="244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Alternative Kit Generation</w:t>
            </w:r>
          </w:p>
        </w:tc>
        <w:tc>
          <w:tcPr>
            <w:tcW w:type="dxa" w:w="381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Explicit chosen Template_ID</w:t>
            </w:r>
          </w:p>
        </w:tc>
        <w:tc>
          <w:tcPr>
            <w:tcW w:type="dxa" w:w="316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New Kit snapshot/result</w:t>
            </w:r>
          </w:p>
        </w:tc>
      </w:tr>
      <w:tr>
        <w:tc>
          <w:tcPr>
            <w:tcW w:type="dxa" w:w="115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PF-08</w:t>
            </w:r>
          </w:p>
        </w:tc>
        <w:tc>
          <w:tcPr>
            <w:tcW w:type="dxa" w:w="244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Kit Validation Failure</w:t>
            </w:r>
          </w:p>
        </w:tc>
        <w:tc>
          <w:tcPr>
            <w:tcW w:type="dxa" w:w="381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Candidate Kit + contract</w:t>
            </w:r>
          </w:p>
        </w:tc>
        <w:tc>
          <w:tcPr>
            <w:tcW w:type="dxa" w:w="316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Persist failure, no ready Kit</w:t>
            </w:r>
          </w:p>
        </w:tc>
      </w:tr>
      <w:tr>
        <w:tc>
          <w:tcPr>
            <w:tcW w:type="dxa" w:w="115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PF-09</w:t>
            </w:r>
          </w:p>
        </w:tc>
        <w:tc>
          <w:tcPr>
            <w:tcW w:type="dxa" w:w="244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Kit View/PDF</w:t>
            </w:r>
          </w:p>
        </w:tc>
        <w:tc>
          <w:tcPr>
            <w:tcW w:type="dxa" w:w="381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Kit snapshot ID</w:t>
            </w:r>
          </w:p>
        </w:tc>
        <w:tc>
          <w:tcPr>
            <w:tcW w:type="dxa" w:w="316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In-app view / PDF</w:t>
            </w:r>
          </w:p>
        </w:tc>
      </w:tr>
      <w:tr>
        <w:tc>
          <w:tcPr>
            <w:tcW w:type="dxa" w:w="115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PF-10</w:t>
            </w:r>
          </w:p>
        </w:tc>
        <w:tc>
          <w:tcPr>
            <w:tcW w:type="dxa" w:w="244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Educator Decision</w:t>
            </w:r>
          </w:p>
        </w:tc>
        <w:tc>
          <w:tcPr>
            <w:tcW w:type="dxa" w:w="381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Kit snapshot + action</w:t>
            </w:r>
          </w:p>
        </w:tc>
        <w:tc>
          <w:tcPr>
            <w:tcW w:type="dxa" w:w="316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Append decision</w:t>
            </w:r>
          </w:p>
        </w:tc>
      </w:tr>
      <w:tr>
        <w:tc>
          <w:tcPr>
            <w:tcW w:type="dxa" w:w="115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PF-11</w:t>
            </w:r>
          </w:p>
        </w:tc>
        <w:tc>
          <w:tcPr>
            <w:tcW w:type="dxa" w:w="244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KG Exploration</w:t>
            </w:r>
          </w:p>
        </w:tc>
        <w:tc>
          <w:tcPr>
            <w:tcW w:type="dxa" w:w="381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Compiled graph + UI request</w:t>
            </w:r>
          </w:p>
        </w:tc>
        <w:tc>
          <w:tcPr>
            <w:tcW w:type="dxa" w:w="316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Read-only explorer state/results</w:t>
            </w:r>
          </w:p>
        </w:tc>
      </w:tr>
      <w:tr>
        <w:tc>
          <w:tcPr>
            <w:tcW w:type="dxa" w:w="115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PF-12</w:t>
            </w:r>
          </w:p>
        </w:tc>
        <w:tc>
          <w:tcPr>
            <w:tcW w:type="dxa" w:w="244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Runtime Startup</w:t>
            </w:r>
          </w:p>
        </w:tc>
        <w:tc>
          <w:tcPr>
            <w:tcW w:type="dxa" w:w="381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Controlled repositories</w:t>
            </w:r>
          </w:p>
        </w:tc>
        <w:tc>
          <w:tcPr>
            <w:tcW w:type="dxa" w:w="316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Loaded graph/embedding runtime</w:t>
            </w:r>
          </w:p>
        </w:tc>
      </w:tr>
      <w:tr>
        <w:tc>
          <w:tcPr>
            <w:tcW w:type="dxa" w:w="115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PF-13</w:t>
            </w:r>
          </w:p>
        </w:tc>
        <w:tc>
          <w:tcPr>
            <w:tcW w:type="dxa" w:w="244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Error Handling</w:t>
            </w:r>
          </w:p>
        </w:tc>
        <w:tc>
          <w:tcPr>
            <w:tcW w:type="dxa" w:w="381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Domain/technical condition</w:t>
            </w:r>
          </w:p>
        </w:tc>
        <w:tc>
          <w:tcPr>
            <w:tcW w:type="dxa" w:w="316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Typed domain outcome or TechnicalError</w:t>
            </w:r>
          </w:p>
        </w:tc>
      </w:tr>
      <w:tr>
        <w:tc>
          <w:tcPr>
            <w:tcW w:type="dxa" w:w="115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PF-14</w:t>
            </w:r>
          </w:p>
        </w:tc>
        <w:tc>
          <w:tcPr>
            <w:tcW w:type="dxa" w:w="244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Persistence/Replay</w:t>
            </w:r>
          </w:p>
        </w:tc>
        <w:tc>
          <w:tcPr>
            <w:tcW w:type="dxa" w:w="381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Persisted provenance IDs</w:t>
            </w:r>
          </w:p>
        </w:tc>
        <w:tc>
          <w:tcPr>
            <w:tcW w:type="dxa" w:w="316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Historical trace/replay using recorded versions</w:t>
            </w:r>
          </w:p>
        </w:tc>
      </w:tr>
    </w:tbl>
    <w:p/>
    <w:p>
      <w:pPr>
        <w:pStyle w:val="Heading1"/>
        <w:keepNext/>
      </w:pPr>
      <w:r>
        <w:t>14. Process-to-interface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872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Process</w:t>
            </w:r>
          </w:p>
        </w:tc>
        <w:tc>
          <w:tcPr>
            <w:tcW w:type="dxa" w:w="8208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SEQ-04 interfaces / objects</w:t>
            </w:r>
          </w:p>
        </w:tc>
      </w:tr>
      <w:tr>
        <w:tc>
          <w:tcPr>
            <w:tcW w:type="dxa" w:w="187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PF-01/PF-02</w:t>
            </w:r>
          </w:p>
        </w:tc>
        <w:tc>
          <w:tcPr>
            <w:tcW w:type="dxa" w:w="820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IF-UI-001; IF-AC-001; IF-RC-001; ApplicationContextSuggestionRequest/Response; EducatorRecommendationRequest</w:t>
            </w:r>
          </w:p>
        </w:tc>
      </w:tr>
      <w:tr>
        <w:tc>
          <w:tcPr>
            <w:tcW w:type="dxa" w:w="187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PF-03/PF-04</w:t>
            </w:r>
          </w:p>
        </w:tc>
        <w:tc>
          <w:tcPr>
            <w:tcW w:type="dxa" w:w="820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IF-RC-002; IF-RC-005; RecommendationContextSnapshot; RecommendationEvent; RecommendationResult</w:t>
            </w:r>
          </w:p>
        </w:tc>
      </w:tr>
      <w:tr>
        <w:tc>
          <w:tcPr>
            <w:tcW w:type="dxa" w:w="187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PF-05</w:t>
            </w:r>
          </w:p>
        </w:tc>
        <w:tc>
          <w:tcPr>
            <w:tcW w:type="dxa" w:w="820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IF-RC-006; RecommendationTraceRequest/Response</w:t>
            </w:r>
          </w:p>
        </w:tc>
      </w:tr>
      <w:tr>
        <w:tc>
          <w:tcPr>
            <w:tcW w:type="dxa" w:w="187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PF-06–PF-10</w:t>
            </w:r>
          </w:p>
        </w:tc>
        <w:tc>
          <w:tcPr>
            <w:tcW w:type="dxa" w:w="820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IF-EK-001..011; IF-EXT-001/002; EducatorKitSnapshot; EducatorDecision</w:t>
            </w:r>
          </w:p>
        </w:tc>
      </w:tr>
      <w:tr>
        <w:tc>
          <w:tcPr>
            <w:tcW w:type="dxa" w:w="187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PF-11</w:t>
            </w:r>
          </w:p>
        </w:tc>
        <w:tc>
          <w:tcPr>
            <w:tcW w:type="dxa" w:w="820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IF-KG-001..005; local GraphViewState</w:t>
            </w:r>
          </w:p>
        </w:tc>
      </w:tr>
      <w:tr>
        <w:tc>
          <w:tcPr>
            <w:tcW w:type="dxa" w:w="187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PF-12</w:t>
            </w:r>
          </w:p>
        </w:tc>
        <w:tc>
          <w:tcPr>
            <w:tcW w:type="dxa" w:w="820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IF-RC-003; IF-RC-004; compiled graph/embedding artifacts</w:t>
            </w:r>
          </w:p>
        </w:tc>
      </w:tr>
      <w:tr>
        <w:tc>
          <w:tcPr>
            <w:tcW w:type="dxa" w:w="187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PF-13/PF-14</w:t>
            </w:r>
          </w:p>
        </w:tc>
        <w:tc>
          <w:tcPr>
            <w:tcW w:type="dxa" w:w="820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TechnicalError; IF-PLAT-001; persisted operational objects</w:t>
            </w:r>
          </w:p>
        </w:tc>
      </w:tr>
    </w:tbl>
    <w:p/>
    <w:p>
      <w:pPr>
        <w:pStyle w:val="Heading1"/>
        <w:keepNext/>
      </w:pPr>
      <w:r>
        <w:t>15. Acceptance checklist</w:t>
      </w:r>
    </w:p>
    <w:p>
      <w:pPr>
        <w:pStyle w:val="ListBullet"/>
        <w:spacing w:after="40"/>
      </w:pPr>
      <w:r>
        <w:t>Every active V1 user journey has an explicit start, decision gates, domain outcomes and terminal state.</w:t>
      </w:r>
    </w:p>
    <w:p>
      <w:pPr>
        <w:pStyle w:val="ListBullet"/>
        <w:spacing w:after="40"/>
      </w:pPr>
      <w:r>
        <w:t>No process introduces text-only V1 anchoring, curated-context browsing, automatic Kit repair or functional Admin publication.</w:t>
      </w:r>
    </w:p>
    <w:p>
      <w:pPr>
        <w:pStyle w:val="ListBullet"/>
        <w:spacing w:after="40"/>
      </w:pPr>
      <w:r>
        <w:t>Persistence order matches SEQ-05/09 boundaries and does not create new canonical truth.</w:t>
      </w:r>
    </w:p>
    <w:p>
      <w:pPr>
        <w:pStyle w:val="ListBullet"/>
        <w:spacing w:after="40"/>
      </w:pPr>
      <w:r>
        <w:t>Process branches preserve domain outcome versus TechnicalError separation.</w:t>
      </w:r>
    </w:p>
    <w:p>
      <w:pPr>
        <w:pStyle w:val="ListBullet"/>
        <w:spacing w:after="40"/>
      </w:pPr>
      <w:r>
        <w:t>Process diagrams and registry are consistent with SEQ-04 interfaces and SEQ-05 data flows.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6"/>
      </w:rPr>
      <w:t xml:space="preserve">Ontology-Driven Sustainability Recommendation System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B7280"/>
        <w:sz w:val="16"/>
      </w:rPr>
      <w:t>SEQ-06 — Process Flow Specification  |  Version 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F5D8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D8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5D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0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2F5D8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F5D8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Interface Design v0.2</dc:title>
  <dc:subject>SEQ-04 — reconciled V1 interface contracts with line-flow diagrams</dc:subject>
  <dc:creator/>
  <cp:keywords>SEQ-04, technical interface design, recommendation system, knowledge graph, sustainability</cp:keywords>
  <dc:description>V1 implementation baseline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