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60"/>
        <w:jc w:val="center"/>
      </w:pPr>
      <w:r>
        <w:rPr>
          <w:rFonts w:ascii="Arial" w:hAnsi="Arial"/>
          <w:b/>
          <w:color w:val="2F5D8C"/>
          <w:sz w:val="50"/>
        </w:rPr>
        <w:t>ALGORITHM SPECIFICATION</w:t>
      </w:r>
    </w:p>
    <w:p>
      <w:pPr>
        <w:spacing w:after="240"/>
        <w:jc w:val="center"/>
      </w:pPr>
      <w:r>
        <w:rPr>
          <w:rFonts w:ascii="Arial" w:hAnsi="Arial"/>
          <w:b/>
          <w:color w:val="1F2937"/>
          <w:sz w:val="36"/>
        </w:rPr>
        <w:t>Ontology and Knowledge Graph-Driven</w:t>
        <w:br/>
        <w:t>Sustainability Principles Recommendation System</w:t>
      </w:r>
    </w:p>
    <w:p>
      <w:pPr>
        <w:spacing w:after="560"/>
        <w:jc w:val="center"/>
      </w:pPr>
      <w:r>
        <w:rPr>
          <w:rFonts w:ascii="Arial" w:hAnsi="Arial"/>
          <w:color w:val="6B7280"/>
          <w:sz w:val="22"/>
        </w:rPr>
        <w:t>SEQ-07  |  Version 0.1  |  September 2026</w:t>
      </w:r>
    </w:p>
    <w:p>
      <w:pPr>
        <w:spacing w:before="800" w:after="120"/>
      </w:pPr>
      <w:r>
        <w:rPr>
          <w:b/>
          <w:color w:val="2F5D8C"/>
          <w:sz w:val="24"/>
        </w:rPr>
        <w:t>Purpose</w:t>
      </w:r>
    </w:p>
    <w:p>
      <w:pPr>
        <w:spacing w:after="0"/>
      </w:pPr>
      <w:r>
        <w:t>Formalize the deterministic and semantically assisted algorithms that implement the frozen V1 recommendation, context-assistance, Educator Kit and Knowledge Graph behavior, with explicit inputs, outputs, decision rules, parity parameters, tie-breaking and failure conditions.</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448"/>
            <w:shd w:fill="2F5D8C"/>
            <w:vAlign w:val="center"/>
            <w:tcMar>
              <w:top w:w="55" w:type="dxa"/>
              <w:start w:w="80" w:type="dxa"/>
              <w:bottom w:w="55" w:type="dxa"/>
              <w:end w:w="80" w:type="dxa"/>
            </w:tcMar>
          </w:tcPr>
          <w:p>
            <w:pPr>
              <w:jc w:val="center"/>
            </w:pPr>
            <w:r>
              <w:rPr>
                <w:rFonts w:ascii="Arial" w:hAnsi="Arial"/>
                <w:b/>
                <w:color w:val="FFFFFF"/>
                <w:sz w:val="16"/>
              </w:rPr>
              <w:t>Item</w:t>
            </w:r>
          </w:p>
        </w:tc>
        <w:tc>
          <w:tcPr>
            <w:tcW w:type="dxa" w:w="7632"/>
            <w:shd w:fill="2F5D8C"/>
            <w:vAlign w:val="center"/>
            <w:tcMar>
              <w:top w:w="55" w:type="dxa"/>
              <w:start w:w="80" w:type="dxa"/>
              <w:bottom w:w="55" w:type="dxa"/>
              <w:end w:w="80" w:type="dxa"/>
            </w:tcMar>
          </w:tcPr>
          <w:p>
            <w:pPr>
              <w:jc w:val="center"/>
            </w:pPr>
            <w:r>
              <w:rPr>
                <w:rFonts w:ascii="Arial" w:hAnsi="Arial"/>
                <w:b/>
                <w:color w:val="FFFFFF"/>
                <w:sz w:val="16"/>
              </w:rPr>
              <w:t>Value</w:t>
            </w:r>
          </w:p>
        </w:tc>
      </w:tr>
      <w:tr>
        <w:tc>
          <w:tcPr>
            <w:tcW w:type="dxa" w:w="2448"/>
            <w:vAlign w:val="top"/>
            <w:tcMar>
              <w:top w:w="55" w:type="dxa"/>
              <w:start w:w="80" w:type="dxa"/>
              <w:bottom w:w="55" w:type="dxa"/>
              <w:end w:w="80" w:type="dxa"/>
            </w:tcMar>
          </w:tcPr>
          <w:p>
            <w:pPr>
              <w:spacing w:after="0"/>
            </w:pPr>
            <w:r>
              <w:rPr>
                <w:rFonts w:ascii="Arial" w:hAnsi="Arial"/>
                <w:color w:val="1F2937"/>
                <w:sz w:val="16"/>
              </w:rPr>
              <w:t>Sequence</w:t>
            </w:r>
          </w:p>
        </w:tc>
        <w:tc>
          <w:tcPr>
            <w:tcW w:type="dxa" w:w="7632"/>
            <w:vAlign w:val="top"/>
            <w:tcMar>
              <w:top w:w="55" w:type="dxa"/>
              <w:start w:w="80" w:type="dxa"/>
              <w:bottom w:w="55" w:type="dxa"/>
              <w:end w:w="80" w:type="dxa"/>
            </w:tcMar>
          </w:tcPr>
          <w:p>
            <w:pPr>
              <w:spacing w:after="0"/>
            </w:pPr>
            <w:r>
              <w:rPr>
                <w:rFonts w:ascii="Arial" w:hAnsi="Arial"/>
                <w:color w:val="1F2937"/>
                <w:sz w:val="16"/>
              </w:rPr>
              <w:t>SEQ-07</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6"/>
              </w:rPr>
              <w:t>Version</w:t>
            </w:r>
          </w:p>
        </w:tc>
        <w:tc>
          <w:tcPr>
            <w:tcW w:type="dxa" w:w="7632"/>
            <w:shd w:fill="F8FAFC"/>
            <w:vAlign w:val="top"/>
            <w:tcMar>
              <w:top w:w="55" w:type="dxa"/>
              <w:start w:w="80" w:type="dxa"/>
              <w:bottom w:w="55" w:type="dxa"/>
              <w:end w:w="80" w:type="dxa"/>
            </w:tcMar>
          </w:tcPr>
          <w:p>
            <w:pPr>
              <w:spacing w:after="0"/>
            </w:pPr>
            <w:r>
              <w:rPr>
                <w:rFonts w:ascii="Arial" w:hAnsi="Arial"/>
                <w:color w:val="1F2937"/>
                <w:sz w:val="16"/>
              </w:rPr>
              <w:t>0.1</w:t>
            </w:r>
          </w:p>
        </w:tc>
      </w:tr>
      <w:tr>
        <w:tc>
          <w:tcPr>
            <w:tcW w:type="dxa" w:w="2448"/>
            <w:vAlign w:val="top"/>
            <w:tcMar>
              <w:top w:w="55" w:type="dxa"/>
              <w:start w:w="80" w:type="dxa"/>
              <w:bottom w:w="55" w:type="dxa"/>
              <w:end w:w="80" w:type="dxa"/>
            </w:tcMar>
          </w:tcPr>
          <w:p>
            <w:pPr>
              <w:spacing w:after="0"/>
            </w:pPr>
            <w:r>
              <w:rPr>
                <w:rFonts w:ascii="Arial" w:hAnsi="Arial"/>
                <w:color w:val="1F2937"/>
                <w:sz w:val="16"/>
              </w:rPr>
              <w:t>Status</w:t>
            </w:r>
          </w:p>
        </w:tc>
        <w:tc>
          <w:tcPr>
            <w:tcW w:type="dxa" w:w="7632"/>
            <w:vAlign w:val="top"/>
            <w:tcMar>
              <w:top w:w="55" w:type="dxa"/>
              <w:start w:w="80" w:type="dxa"/>
              <w:bottom w:w="55" w:type="dxa"/>
              <w:end w:w="80" w:type="dxa"/>
            </w:tcMar>
          </w:tcPr>
          <w:p>
            <w:pPr>
              <w:spacing w:after="0"/>
            </w:pPr>
            <w:r>
              <w:rPr>
                <w:rFonts w:ascii="Arial" w:hAnsi="Arial"/>
                <w:color w:val="1F2937"/>
                <w:sz w:val="16"/>
              </w:rPr>
              <w:t>V1 algorithm baseline / Design-8a parity</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6"/>
              </w:rPr>
              <w:t>Date</w:t>
            </w:r>
          </w:p>
        </w:tc>
        <w:tc>
          <w:tcPr>
            <w:tcW w:type="dxa" w:w="7632"/>
            <w:shd w:fill="F8FAFC"/>
            <w:vAlign w:val="top"/>
            <w:tcMar>
              <w:top w:w="55" w:type="dxa"/>
              <w:start w:w="80" w:type="dxa"/>
              <w:bottom w:w="55" w:type="dxa"/>
              <w:end w:w="80" w:type="dxa"/>
            </w:tcMar>
          </w:tcPr>
          <w:p>
            <w:pPr>
              <w:spacing w:after="0"/>
            </w:pPr>
            <w:r>
              <w:rPr>
                <w:rFonts w:ascii="Arial" w:hAnsi="Arial"/>
                <w:color w:val="1F2937"/>
                <w:sz w:val="16"/>
              </w:rPr>
              <w:t>September 2026</w:t>
            </w:r>
          </w:p>
        </w:tc>
      </w:tr>
      <w:tr>
        <w:tc>
          <w:tcPr>
            <w:tcW w:type="dxa" w:w="2448"/>
            <w:vAlign w:val="top"/>
            <w:tcMar>
              <w:top w:w="55" w:type="dxa"/>
              <w:start w:w="80" w:type="dxa"/>
              <w:bottom w:w="55" w:type="dxa"/>
              <w:end w:w="80" w:type="dxa"/>
            </w:tcMar>
          </w:tcPr>
          <w:p>
            <w:pPr>
              <w:spacing w:after="0"/>
            </w:pPr>
            <w:r>
              <w:rPr>
                <w:rFonts w:ascii="Arial" w:hAnsi="Arial"/>
                <w:color w:val="1F2937"/>
                <w:sz w:val="16"/>
              </w:rPr>
              <w:t>Upstream baseline</w:t>
            </w:r>
          </w:p>
        </w:tc>
        <w:tc>
          <w:tcPr>
            <w:tcW w:type="dxa" w:w="7632"/>
            <w:vAlign w:val="top"/>
            <w:tcMar>
              <w:top w:w="55" w:type="dxa"/>
              <w:start w:w="80" w:type="dxa"/>
              <w:bottom w:w="55" w:type="dxa"/>
              <w:end w:w="80" w:type="dxa"/>
            </w:tcMar>
          </w:tcPr>
          <w:p>
            <w:pPr>
              <w:spacing w:after="0"/>
            </w:pPr>
            <w:r>
              <w:rPr>
                <w:rFonts w:ascii="Arial" w:hAnsi="Arial"/>
                <w:color w:val="1F2937"/>
                <w:sz w:val="16"/>
              </w:rPr>
              <w:t>System Architecture Design v1.1 Final; Technical Interface Design v0.2; Data Flow Design v0.1 Final; SEQ-06 Process Flow Specification v0.1; Design8a Reference Runtime / hybrid_runtime_v5.py; README_DESIGN8; Validation Benchmark Master Register v1.8 Lean; Stage-E/F governed repositories.</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6"/>
              </w:rPr>
              <w:t>Change rule</w:t>
            </w:r>
          </w:p>
        </w:tc>
        <w:tc>
          <w:tcPr>
            <w:tcW w:type="dxa" w:w="7632"/>
            <w:shd w:fill="F8FAFC"/>
            <w:vAlign w:val="top"/>
            <w:tcMar>
              <w:top w:w="55" w:type="dxa"/>
              <w:start w:w="80" w:type="dxa"/>
              <w:bottom w:w="55" w:type="dxa"/>
              <w:end w:w="80" w:type="dxa"/>
            </w:tcMar>
          </w:tcPr>
          <w:p>
            <w:pPr>
              <w:spacing w:after="0"/>
            </w:pPr>
            <w:r>
              <w:rPr>
                <w:rFonts w:ascii="Arial" w:hAnsi="Arial"/>
                <w:color w:val="1F2937"/>
                <w:sz w:val="16"/>
              </w:rPr>
              <w:t>This specification formalizes already agreed behavior; it must not silently alter architecture, UI, interface, data-flow or validated recommendation semantics.</w:t>
            </w:r>
          </w:p>
        </w:tc>
      </w:tr>
    </w:tbl>
    <w:p/>
    <w:p>
      <w:pPr>
        <w:pStyle w:val="Heading2"/>
        <w:keepNext/>
      </w:pPr>
      <w:r>
        <w:t>Contents and reading order</w:t>
      </w:r>
    </w:p>
    <w:p>
      <w:pPr>
        <w:pStyle w:val="ListBullet"/>
        <w:spacing w:after="40"/>
      </w:pPr>
      <w:r>
        <w:t>1–3 define authority, algorithm classes and invariants.</w:t>
      </w:r>
    </w:p>
    <w:p>
      <w:pPr>
        <w:pStyle w:val="ListBullet"/>
        <w:spacing w:after="40"/>
      </w:pPr>
      <w:r>
        <w:t>4–10 specify recommendation/context algorithms and frozen parity parameters.</w:t>
      </w:r>
    </w:p>
    <w:p>
      <w:pPr>
        <w:pStyle w:val="ListBullet"/>
        <w:spacing w:after="40"/>
      </w:pPr>
      <w:r>
        <w:t>11–14 specify downstream Kit, validation, graph path and idempotency algorithms.</w:t>
      </w:r>
    </w:p>
    <w:p>
      <w:pPr>
        <w:pStyle w:val="ListBullet"/>
        <w:spacing w:after="40"/>
      </w:pPr>
      <w:r>
        <w:t>15–17 define pseudocode, regression/benchmark linkage and acceptance.</w:t>
      </w:r>
    </w:p>
    <w:p>
      <w:pPr>
        <w:pStyle w:val="Heading1"/>
        <w:keepNext/>
      </w:pPr>
      <w:r>
        <w:t>1. Purpose and scope</w:t>
      </w:r>
    </w:p>
    <w:p>
      <w:pPr>
        <w:spacing w:after="100"/>
      </w:pPr>
      <w:r>
        <w:rPr>
          <w:rFonts w:ascii="Arial" w:hAnsi="Arial"/>
          <w:color w:val="1F2937"/>
          <w:sz w:val="20"/>
        </w:rPr>
        <w:t>SEQ-07 is the implementation behavior authority between process design and module implementation. Recommendation algorithms must preserve validated Design-8a behavior; the specification does not invite new optimization or tuning to match individual benchmark gold labels.</w:t>
      </w:r>
    </w:p>
    <w:p>
      <w:pPr>
        <w:pStyle w:val="Heading2"/>
        <w:keepNext/>
      </w:pPr>
      <w:r>
        <w:t>1.1 In scope</w:t>
      </w:r>
    </w:p>
    <w:p>
      <w:pPr>
        <w:pStyle w:val="ListBullet"/>
        <w:spacing w:after="40"/>
      </w:pPr>
      <w:r>
        <w:t>Hierarchy/scope validation and controlled evidence expansion.</w:t>
      </w:r>
    </w:p>
    <w:p>
      <w:pPr>
        <w:pStyle w:val="ListBullet"/>
        <w:spacing w:after="40"/>
      </w:pPr>
      <w:r>
        <w:t>Mechanism profiling and Application Context suggestion eligibility/ranking.</w:t>
      </w:r>
    </w:p>
    <w:p>
      <w:pPr>
        <w:pStyle w:val="ListBullet"/>
        <w:spacing w:after="40"/>
      </w:pPr>
      <w:r>
        <w:t>SCR scoring/ranking, independent secondary promotion and explicit-negation veto.</w:t>
      </w:r>
    </w:p>
    <w:p>
      <w:pPr>
        <w:pStyle w:val="ListBullet"/>
        <w:spacing w:after="40"/>
      </w:pPr>
      <w:r>
        <w:t>Abstention and trace construction.</w:t>
      </w:r>
    </w:p>
    <w:p>
      <w:pPr>
        <w:pStyle w:val="ListBullet"/>
        <w:spacing w:after="40"/>
      </w:pPr>
      <w:r>
        <w:t>Pedagogy/PKCR/material/framework/Kit validation algorithms.</w:t>
      </w:r>
    </w:p>
    <w:p>
      <w:pPr>
        <w:pStyle w:val="ListBullet"/>
        <w:spacing w:after="40"/>
      </w:pPr>
      <w:r>
        <w:t>Deterministic KG shortest-path and request idempotency rules.</w:t>
      </w:r>
    </w:p>
    <w:p>
      <w:pPr>
        <w:pStyle w:val="Heading2"/>
        <w:keepNext/>
      </w:pPr>
      <w:r>
        <w:t>1.2 Out of scope</w:t>
      </w:r>
    </w:p>
    <w:p>
      <w:pPr>
        <w:pStyle w:val="ListBullet"/>
        <w:spacing w:after="40"/>
      </w:pPr>
      <w:r>
        <w:t>Changing frozen model/weights/thresholds without revalidation.</w:t>
      </w:r>
    </w:p>
    <w:p>
      <w:pPr>
        <w:pStyle w:val="ListBullet"/>
        <w:spacing w:after="40"/>
      </w:pPr>
      <w:r>
        <w:t>Using gold benchmark labels or RELATED_TO_SCR as prediction shortcuts.</w:t>
      </w:r>
    </w:p>
    <w:p>
      <w:pPr>
        <w:pStyle w:val="ListBullet"/>
        <w:spacing w:after="40"/>
      </w:pPr>
      <w:r>
        <w:t>Text-only V1 anchor product route, though legacy/reference runtime behavior may remain in regression fixtures.</w:t>
      </w:r>
    </w:p>
    <w:p>
      <w:pPr>
        <w:pStyle w:val="ListBullet"/>
        <w:spacing w:after="40"/>
      </w:pPr>
      <w:r>
        <w:t>LLM-based ontology, SCR, pedagogy or framework eligibility decisions.</w:t>
      </w:r>
    </w:p>
    <w:p>
      <w:pPr>
        <w:pStyle w:val="Heading1"/>
        <w:keepNext/>
      </w:pPr>
      <w:r>
        <w:t>2. Algorithm classes and authority</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2160"/>
            <w:shd w:fill="2F5D8C"/>
            <w:vAlign w:val="center"/>
            <w:tcMar>
              <w:top w:w="55" w:type="dxa"/>
              <w:start w:w="80" w:type="dxa"/>
              <w:bottom w:w="55" w:type="dxa"/>
              <w:end w:w="80" w:type="dxa"/>
            </w:tcMar>
          </w:tcPr>
          <w:p>
            <w:pPr>
              <w:jc w:val="center"/>
            </w:pPr>
            <w:r>
              <w:rPr>
                <w:rFonts w:ascii="Arial" w:hAnsi="Arial"/>
                <w:b/>
                <w:color w:val="FFFFFF"/>
                <w:sz w:val="15"/>
              </w:rPr>
              <w:t>Class</w:t>
            </w:r>
          </w:p>
        </w:tc>
        <w:tc>
          <w:tcPr>
            <w:tcW w:type="dxa" w:w="3600"/>
            <w:shd w:fill="2F5D8C"/>
            <w:vAlign w:val="center"/>
            <w:tcMar>
              <w:top w:w="55" w:type="dxa"/>
              <w:start w:w="80" w:type="dxa"/>
              <w:bottom w:w="55" w:type="dxa"/>
              <w:end w:w="80" w:type="dxa"/>
            </w:tcMar>
          </w:tcPr>
          <w:p>
            <w:pPr>
              <w:jc w:val="center"/>
            </w:pPr>
            <w:r>
              <w:rPr>
                <w:rFonts w:ascii="Arial" w:hAnsi="Arial"/>
                <w:b/>
                <w:color w:val="FFFFFF"/>
                <w:sz w:val="15"/>
              </w:rPr>
              <w:t>Examples</w:t>
            </w:r>
          </w:p>
        </w:tc>
        <w:tc>
          <w:tcPr>
            <w:tcW w:type="dxa" w:w="4320"/>
            <w:shd w:fill="2F5D8C"/>
            <w:vAlign w:val="center"/>
            <w:tcMar>
              <w:top w:w="55" w:type="dxa"/>
              <w:start w:w="80" w:type="dxa"/>
              <w:bottom w:w="55" w:type="dxa"/>
              <w:end w:w="80" w:type="dxa"/>
            </w:tcMar>
          </w:tcPr>
          <w:p>
            <w:pPr>
              <w:jc w:val="center"/>
            </w:pPr>
            <w:r>
              <w:rPr>
                <w:rFonts w:ascii="Arial" w:hAnsi="Arial"/>
                <w:b/>
                <w:color w:val="FFFFFF"/>
                <w:sz w:val="15"/>
              </w:rPr>
              <w:t>Authority rule</w:t>
            </w:r>
          </w:p>
        </w:tc>
      </w:tr>
      <w:tr>
        <w:tc>
          <w:tcPr>
            <w:tcW w:type="dxa" w:w="2160"/>
            <w:vAlign w:val="top"/>
            <w:tcMar>
              <w:top w:w="55" w:type="dxa"/>
              <w:start w:w="80" w:type="dxa"/>
              <w:bottom w:w="55" w:type="dxa"/>
              <w:end w:w="80" w:type="dxa"/>
            </w:tcMar>
          </w:tcPr>
          <w:p>
            <w:pPr>
              <w:spacing w:after="0"/>
            </w:pPr>
            <w:r>
              <w:rPr>
                <w:rFonts w:ascii="Arial" w:hAnsi="Arial"/>
                <w:color w:val="1F2937"/>
                <w:sz w:val="15"/>
              </w:rPr>
              <w:t>Deterministic</w:t>
            </w:r>
          </w:p>
        </w:tc>
        <w:tc>
          <w:tcPr>
            <w:tcW w:type="dxa" w:w="3600"/>
            <w:vAlign w:val="top"/>
            <w:tcMar>
              <w:top w:w="55" w:type="dxa"/>
              <w:start w:w="80" w:type="dxa"/>
              <w:bottom w:w="55" w:type="dxa"/>
              <w:end w:w="80" w:type="dxa"/>
            </w:tcMar>
          </w:tcPr>
          <w:p>
            <w:pPr>
              <w:spacing w:after="0"/>
            </w:pPr>
            <w:r>
              <w:rPr>
                <w:rFonts w:ascii="Arial" w:hAnsi="Arial"/>
                <w:color w:val="1F2937"/>
                <w:sz w:val="15"/>
              </w:rPr>
              <w:t>Hierarchy validation, eligibility gates, promotion conditions, negation veto, PKCR, FCR, validation, path tie-break</w:t>
            </w:r>
          </w:p>
        </w:tc>
        <w:tc>
          <w:tcPr>
            <w:tcW w:type="dxa" w:w="4320"/>
            <w:vAlign w:val="top"/>
            <w:tcMar>
              <w:top w:w="55" w:type="dxa"/>
              <w:start w:w="80" w:type="dxa"/>
              <w:bottom w:w="55" w:type="dxa"/>
              <w:end w:w="80" w:type="dxa"/>
            </w:tcMar>
          </w:tcPr>
          <w:p>
            <w:pPr>
              <w:spacing w:after="0"/>
            </w:pPr>
            <w:r>
              <w:rPr>
                <w:rFonts w:ascii="Arial" w:hAnsi="Arial"/>
                <w:color w:val="1F2937"/>
                <w:sz w:val="15"/>
              </w:rPr>
              <w:t>Must be reproducible for same inputs/versions.</w:t>
            </w:r>
          </w:p>
        </w:tc>
      </w:tr>
      <w:tr>
        <w:tc>
          <w:tcPr>
            <w:tcW w:type="dxa" w:w="2160"/>
            <w:shd w:fill="F8FAFC"/>
            <w:vAlign w:val="top"/>
            <w:tcMar>
              <w:top w:w="55" w:type="dxa"/>
              <w:start w:w="80" w:type="dxa"/>
              <w:bottom w:w="55" w:type="dxa"/>
              <w:end w:w="80" w:type="dxa"/>
            </w:tcMar>
          </w:tcPr>
          <w:p>
            <w:pPr>
              <w:spacing w:after="0"/>
            </w:pPr>
            <w:r>
              <w:rPr>
                <w:rFonts w:ascii="Arial" w:hAnsi="Arial"/>
                <w:color w:val="1F2937"/>
                <w:sz w:val="15"/>
              </w:rPr>
              <w:t>Semantic-assisted</w:t>
            </w:r>
          </w:p>
        </w:tc>
        <w:tc>
          <w:tcPr>
            <w:tcW w:type="dxa" w:w="3600"/>
            <w:shd w:fill="F8FAFC"/>
            <w:vAlign w:val="top"/>
            <w:tcMar>
              <w:top w:w="55" w:type="dxa"/>
              <w:start w:w="80" w:type="dxa"/>
              <w:bottom w:w="55" w:type="dxa"/>
              <w:end w:w="80" w:type="dxa"/>
            </w:tcMar>
          </w:tcPr>
          <w:p>
            <w:pPr>
              <w:spacing w:after="0"/>
            </w:pPr>
            <w:r>
              <w:rPr>
                <w:rFonts w:ascii="Arial" w:hAnsi="Arial"/>
                <w:color w:val="1F2937"/>
                <w:sz w:val="15"/>
              </w:rPr>
              <w:t>Context/SCR similarity retrieval and ranking with frozen MiniLM</w:t>
            </w:r>
          </w:p>
        </w:tc>
        <w:tc>
          <w:tcPr>
            <w:tcW w:type="dxa" w:w="4320"/>
            <w:shd w:fill="F8FAFC"/>
            <w:vAlign w:val="top"/>
            <w:tcMar>
              <w:top w:w="55" w:type="dxa"/>
              <w:start w:w="80" w:type="dxa"/>
              <w:bottom w:w="55" w:type="dxa"/>
              <w:end w:w="80" w:type="dxa"/>
            </w:tcMar>
          </w:tcPr>
          <w:p>
            <w:pPr>
              <w:spacing w:after="0"/>
            </w:pPr>
            <w:r>
              <w:rPr>
                <w:rFonts w:ascii="Arial" w:hAnsi="Arial"/>
                <w:color w:val="1F2937"/>
                <w:sz w:val="15"/>
              </w:rPr>
              <w:t>Similarity is a signal only; it never creates canonical truth or bypasses eligibility.</w:t>
            </w:r>
          </w:p>
        </w:tc>
      </w:tr>
      <w:tr>
        <w:tc>
          <w:tcPr>
            <w:tcW w:type="dxa" w:w="2160"/>
            <w:vAlign w:val="top"/>
            <w:tcMar>
              <w:top w:w="55" w:type="dxa"/>
              <w:start w:w="80" w:type="dxa"/>
              <w:bottom w:w="55" w:type="dxa"/>
              <w:end w:w="80" w:type="dxa"/>
            </w:tcMar>
          </w:tcPr>
          <w:p>
            <w:pPr>
              <w:spacing w:after="0"/>
            </w:pPr>
            <w:r>
              <w:rPr>
                <w:rFonts w:ascii="Arial" w:hAnsi="Arial"/>
                <w:color w:val="1F2937"/>
                <w:sz w:val="15"/>
              </w:rPr>
              <w:t>Generative</w:t>
            </w:r>
          </w:p>
        </w:tc>
        <w:tc>
          <w:tcPr>
            <w:tcW w:type="dxa" w:w="3600"/>
            <w:vAlign w:val="top"/>
            <w:tcMar>
              <w:top w:w="55" w:type="dxa"/>
              <w:start w:w="80" w:type="dxa"/>
              <w:bottom w:w="55" w:type="dxa"/>
              <w:end w:w="80" w:type="dxa"/>
            </w:tcMar>
          </w:tcPr>
          <w:p>
            <w:pPr>
              <w:spacing w:after="0"/>
            </w:pPr>
            <w:r>
              <w:rPr>
                <w:rFonts w:ascii="Arial" w:hAnsi="Arial"/>
                <w:color w:val="1F2937"/>
                <w:sz w:val="15"/>
              </w:rPr>
              <w:t>Educator Kit content structuring</w:t>
            </w:r>
          </w:p>
        </w:tc>
        <w:tc>
          <w:tcPr>
            <w:tcW w:type="dxa" w:w="4320"/>
            <w:vAlign w:val="top"/>
            <w:tcMar>
              <w:top w:w="55" w:type="dxa"/>
              <w:start w:w="80" w:type="dxa"/>
              <w:bottom w:w="55" w:type="dxa"/>
              <w:end w:w="80" w:type="dxa"/>
            </w:tcMar>
          </w:tcPr>
          <w:p>
            <w:pPr>
              <w:spacing w:after="0"/>
            </w:pPr>
            <w:r>
              <w:rPr>
                <w:rFonts w:ascii="Arial" w:hAnsi="Arial"/>
                <w:color w:val="1F2937"/>
                <w:sz w:val="15"/>
              </w:rPr>
              <w:t>Occurs only after deterministic resolution and is always validated; model has no decision authority over IDs/eligibility.</w:t>
            </w:r>
          </w:p>
        </w:tc>
      </w:tr>
    </w:tbl>
    <w:p/>
    <w:p>
      <w:pPr>
        <w:pStyle w:val="Heading1"/>
        <w:keepNext/>
      </w:pPr>
      <w:r>
        <w:t>3. Global algorithm invariants</w:t>
      </w:r>
    </w:p>
    <w:p>
      <w:pPr>
        <w:pStyle w:val="ListBullet"/>
        <w:spacing w:after="40"/>
      </w:pPr>
      <w:r>
        <w:t>Use the most specific supported curriculum evidence first; controlled broadening only when narrower evidence is insufficient.</w:t>
      </w:r>
    </w:p>
    <w:p>
      <w:pPr>
        <w:pStyle w:val="ListBullet"/>
        <w:spacing w:after="40"/>
      </w:pPr>
      <w:r>
        <w:t>Prerequisite concepts indicate readiness/preparation and do not automatically become topical recommendation evidence.</w:t>
      </w:r>
    </w:p>
    <w:p>
      <w:pPr>
        <w:pStyle w:val="ListBullet"/>
        <w:spacing w:after="40"/>
      </w:pPr>
      <w:r>
        <w:t>Compatibility/eligibility precedes semantic ranking for generated Application Contexts and SCR candidates.</w:t>
      </w:r>
    </w:p>
    <w:p>
      <w:pPr>
        <w:pStyle w:val="ListBullet"/>
        <w:spacing w:after="40"/>
      </w:pPr>
      <w:r>
        <w:t>Primary Top-1 ranking path remains unchanged by Design-8/8a secondary-promotion refinements.</w:t>
      </w:r>
    </w:p>
    <w:p>
      <w:pPr>
        <w:pStyle w:val="ListBullet"/>
        <w:spacing w:after="40"/>
      </w:pPr>
      <w:r>
        <w:t>Positive mechanism facets may support promotion; explicit-negation/exclusion facets perform conflict/veto only and never create positive evidence.</w:t>
      </w:r>
    </w:p>
    <w:p>
      <w:pPr>
        <w:pStyle w:val="ListBullet"/>
        <w:spacing w:after="40"/>
      </w:pPr>
      <w:r>
        <w:t>Raw global rank and promoted/display rank remain separately traceable.</w:t>
      </w:r>
    </w:p>
    <w:p>
      <w:pPr>
        <w:pStyle w:val="ListBullet"/>
        <w:spacing w:after="40"/>
      </w:pPr>
      <w:r>
        <w:t>Framework and pedagogy are downstream of the accepted SCR recommendation.</w:t>
      </w:r>
    </w:p>
    <w:p>
      <w:pPr>
        <w:pStyle w:val="ListBullet"/>
        <w:spacing w:after="40"/>
      </w:pPr>
      <w:r>
        <w:t>Gold/reference labels are never read by prediction code.</w:t>
      </w:r>
    </w:p>
    <w:p>
      <w:pPr>
        <w:spacing w:after="60"/>
        <w:jc w:val="center"/>
      </w:pPr>
      <w:r>
        <w:drawing>
          <wp:inline xmlns:a="http://schemas.openxmlformats.org/drawingml/2006/main" xmlns:pic="http://schemas.openxmlformats.org/drawingml/2006/picture">
            <wp:extent cx="5989320" cy="2672920"/>
            <wp:docPr id="1" name="Picture 1" descr="Line diagram showing hierarchy validation, anchor/scope, mechanism profile, context/evidence, eligibility/rank, promotion/veto, abstention and trace algorithms in order." title="Figure 1. Recommendation algorithm execution order"/>
            <wp:cNvGraphicFramePr>
              <a:graphicFrameLocks noChangeAspect="1"/>
            </wp:cNvGraphicFramePr>
            <a:graphic>
              <a:graphicData uri="http://schemas.openxmlformats.org/drawingml/2006/picture">
                <pic:pic>
                  <pic:nvPicPr>
                    <pic:cNvPr id="0" name="seq07_fig1_algorithm_order.png"/>
                    <pic:cNvPicPr/>
                  </pic:nvPicPr>
                  <pic:blipFill>
                    <a:blip r:embed="rId17"/>
                    <a:stretch>
                      <a:fillRect/>
                    </a:stretch>
                  </pic:blipFill>
                  <pic:spPr>
                    <a:xfrm>
                      <a:off x="0" y="0"/>
                      <a:ext cx="5989320" cy="2672920"/>
                    </a:xfrm>
                    <a:prstGeom prst="rect"/>
                  </pic:spPr>
                </pic:pic>
              </a:graphicData>
            </a:graphic>
          </wp:inline>
        </w:drawing>
      </w:r>
    </w:p>
    <w:p>
      <w:pPr>
        <w:pStyle w:val="Caption"/>
        <w:spacing w:after="140"/>
        <w:jc w:val="center"/>
      </w:pPr>
      <w:r>
        <w:t>Figure 1. Recommendation algorithm execution order</w:t>
      </w:r>
    </w:p>
    <w:p>
      <w:pPr>
        <w:pStyle w:val="Heading1"/>
        <w:keepNext/>
      </w:pPr>
      <w:r>
        <w:t>4. ALG-01 — Hierarchy validation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3024"/>
            <w:shd w:fill="2F5D8C"/>
            <w:vAlign w:val="center"/>
            <w:tcMar>
              <w:top w:w="55" w:type="dxa"/>
              <w:start w:w="80" w:type="dxa"/>
              <w:bottom w:w="55" w:type="dxa"/>
              <w:end w:w="80" w:type="dxa"/>
            </w:tcMar>
          </w:tcPr>
          <w:p>
            <w:pPr>
              <w:jc w:val="center"/>
            </w:pPr>
            <w:r>
              <w:rPr>
                <w:rFonts w:ascii="Arial" w:hAnsi="Arial"/>
                <w:b/>
                <w:color w:val="FFFFFF"/>
                <w:sz w:val="15"/>
              </w:rPr>
              <w:t>Input</w:t>
            </w:r>
          </w:p>
        </w:tc>
        <w:tc>
          <w:tcPr>
            <w:tcW w:type="dxa" w:w="7056"/>
            <w:shd w:fill="2F5D8C"/>
            <w:vAlign w:val="center"/>
            <w:tcMar>
              <w:top w:w="55" w:type="dxa"/>
              <w:start w:w="80" w:type="dxa"/>
              <w:bottom w:w="55" w:type="dxa"/>
              <w:end w:w="80" w:type="dxa"/>
            </w:tcMar>
          </w:tcPr>
          <w:p>
            <w:pPr>
              <w:jc w:val="center"/>
            </w:pPr>
            <w:r>
              <w:rPr>
                <w:rFonts w:ascii="Arial" w:hAnsi="Arial"/>
                <w:b/>
                <w:color w:val="FFFFFF"/>
                <w:sz w:val="15"/>
              </w:rPr>
              <w:t>Rule</w:t>
            </w:r>
          </w:p>
        </w:tc>
      </w:tr>
      <w:tr>
        <w:tc>
          <w:tcPr>
            <w:tcW w:type="dxa" w:w="3024"/>
            <w:vAlign w:val="top"/>
            <w:tcMar>
              <w:top w:w="55" w:type="dxa"/>
              <w:start w:w="80" w:type="dxa"/>
              <w:bottom w:w="55" w:type="dxa"/>
              <w:end w:w="80" w:type="dxa"/>
            </w:tcMar>
          </w:tcPr>
          <w:p>
            <w:pPr>
              <w:spacing w:after="0"/>
            </w:pPr>
            <w:r>
              <w:rPr>
                <w:rFonts w:ascii="Arial" w:hAnsi="Arial"/>
                <w:color w:val="1F2937"/>
                <w:sz w:val="15"/>
              </w:rPr>
              <w:t>Course_ID</w:t>
            </w:r>
          </w:p>
        </w:tc>
        <w:tc>
          <w:tcPr>
            <w:tcW w:type="dxa" w:w="7056"/>
            <w:vAlign w:val="top"/>
            <w:tcMar>
              <w:top w:w="55" w:type="dxa"/>
              <w:start w:w="80" w:type="dxa"/>
              <w:bottom w:w="55" w:type="dxa"/>
              <w:end w:w="80" w:type="dxa"/>
            </w:tcMar>
          </w:tcPr>
          <w:p>
            <w:pPr>
              <w:spacing w:after="0"/>
            </w:pPr>
            <w:r>
              <w:rPr>
                <w:rFonts w:ascii="Arial" w:hAnsi="Arial"/>
                <w:color w:val="1F2937"/>
                <w:sz w:val="15"/>
              </w:rPr>
              <w:t>Must resolve to active governed Course.</w:t>
            </w:r>
          </w:p>
        </w:tc>
      </w:tr>
      <w:tr>
        <w:tc>
          <w:tcPr>
            <w:tcW w:type="dxa" w:w="3024"/>
            <w:shd w:fill="F8FAFC"/>
            <w:vAlign w:val="top"/>
            <w:tcMar>
              <w:top w:w="55" w:type="dxa"/>
              <w:start w:w="80" w:type="dxa"/>
              <w:bottom w:w="55" w:type="dxa"/>
              <w:end w:w="80" w:type="dxa"/>
            </w:tcMar>
          </w:tcPr>
          <w:p>
            <w:pPr>
              <w:spacing w:after="0"/>
            </w:pPr>
            <w:r>
              <w:rPr>
                <w:rFonts w:ascii="Arial" w:hAnsi="Arial"/>
                <w:color w:val="1F2937"/>
                <w:sz w:val="15"/>
              </w:rPr>
              <w:t>Module_ID</w:t>
            </w:r>
          </w:p>
        </w:tc>
        <w:tc>
          <w:tcPr>
            <w:tcW w:type="dxa" w:w="7056"/>
            <w:shd w:fill="F8FAFC"/>
            <w:vAlign w:val="top"/>
            <w:tcMar>
              <w:top w:w="55" w:type="dxa"/>
              <w:start w:w="80" w:type="dxa"/>
              <w:bottom w:w="55" w:type="dxa"/>
              <w:end w:w="80" w:type="dxa"/>
            </w:tcMar>
          </w:tcPr>
          <w:p>
            <w:pPr>
              <w:spacing w:after="0"/>
            </w:pPr>
            <w:r>
              <w:rPr>
                <w:rFonts w:ascii="Arial" w:hAnsi="Arial"/>
                <w:color w:val="1F2937"/>
                <w:sz w:val="15"/>
              </w:rPr>
              <w:t>Must resolve and belong to Course_ID.</w:t>
            </w:r>
          </w:p>
        </w:tc>
      </w:tr>
      <w:tr>
        <w:tc>
          <w:tcPr>
            <w:tcW w:type="dxa" w:w="3024"/>
            <w:vAlign w:val="top"/>
            <w:tcMar>
              <w:top w:w="55" w:type="dxa"/>
              <w:start w:w="80" w:type="dxa"/>
              <w:bottom w:w="55" w:type="dxa"/>
              <w:end w:w="80" w:type="dxa"/>
            </w:tcMar>
          </w:tcPr>
          <w:p>
            <w:pPr>
              <w:spacing w:after="0"/>
            </w:pPr>
            <w:r>
              <w:rPr>
                <w:rFonts w:ascii="Arial" w:hAnsi="Arial"/>
                <w:color w:val="1F2937"/>
                <w:sz w:val="15"/>
              </w:rPr>
              <w:t>Subtopic_ID</w:t>
            </w:r>
          </w:p>
        </w:tc>
        <w:tc>
          <w:tcPr>
            <w:tcW w:type="dxa" w:w="7056"/>
            <w:vAlign w:val="top"/>
            <w:tcMar>
              <w:top w:w="55" w:type="dxa"/>
              <w:start w:w="80" w:type="dxa"/>
              <w:bottom w:w="55" w:type="dxa"/>
              <w:end w:w="80" w:type="dxa"/>
            </w:tcMar>
          </w:tcPr>
          <w:p>
            <w:pPr>
              <w:spacing w:after="0"/>
            </w:pPr>
            <w:r>
              <w:rPr>
                <w:rFonts w:ascii="Arial" w:hAnsi="Arial"/>
                <w:color w:val="1F2937"/>
                <w:sz w:val="15"/>
              </w:rPr>
              <w:t>Must resolve and belong to Module_ID; authoritative V1 technical anchor.</w:t>
            </w:r>
          </w:p>
        </w:tc>
      </w:tr>
      <w:tr>
        <w:tc>
          <w:tcPr>
            <w:tcW w:type="dxa" w:w="3024"/>
            <w:shd w:fill="F8FAFC"/>
            <w:vAlign w:val="top"/>
            <w:tcMar>
              <w:top w:w="55" w:type="dxa"/>
              <w:start w:w="80" w:type="dxa"/>
              <w:bottom w:w="55" w:type="dxa"/>
              <w:end w:w="80" w:type="dxa"/>
            </w:tcMar>
          </w:tcPr>
          <w:p>
            <w:pPr>
              <w:spacing w:after="0"/>
            </w:pPr>
            <w:r>
              <w:rPr>
                <w:rFonts w:ascii="Arial" w:hAnsi="Arial"/>
                <w:color w:val="1F2937"/>
                <w:sz w:val="15"/>
              </w:rPr>
              <w:t>Application Context source</w:t>
            </w:r>
          </w:p>
        </w:tc>
        <w:tc>
          <w:tcPr>
            <w:tcW w:type="dxa" w:w="7056"/>
            <w:shd w:fill="F8FAFC"/>
            <w:vAlign w:val="top"/>
            <w:tcMar>
              <w:top w:w="55" w:type="dxa"/>
              <w:start w:w="80" w:type="dxa"/>
              <w:bottom w:w="55" w:type="dxa"/>
              <w:end w:w="80" w:type="dxa"/>
            </w:tcMar>
          </w:tcPr>
          <w:p>
            <w:pPr>
              <w:spacing w:after="0"/>
            </w:pPr>
            <w:r>
              <w:rPr>
                <w:rFonts w:ascii="Arial" w:hAnsi="Arial"/>
                <w:color w:val="1F2937"/>
                <w:sz w:val="15"/>
              </w:rPr>
              <w:t>Exactly EDUCATOR_ENTERED or ACCEPTED_SYSTEM_GENERATED.</w:t>
            </w:r>
          </w:p>
        </w:tc>
      </w:tr>
      <w:tr>
        <w:tc>
          <w:tcPr>
            <w:tcW w:type="dxa" w:w="3024"/>
            <w:vAlign w:val="top"/>
            <w:tcMar>
              <w:top w:w="55" w:type="dxa"/>
              <w:start w:w="80" w:type="dxa"/>
              <w:bottom w:w="55" w:type="dxa"/>
              <w:end w:w="80" w:type="dxa"/>
            </w:tcMar>
          </w:tcPr>
          <w:p>
            <w:pPr>
              <w:spacing w:after="0"/>
            </w:pPr>
            <w:r>
              <w:rPr>
                <w:rFonts w:ascii="Arial" w:hAnsi="Arial"/>
                <w:color w:val="1F2937"/>
                <w:sz w:val="15"/>
              </w:rPr>
              <w:t>Accepted_Context_Candidate_ID</w:t>
            </w:r>
          </w:p>
        </w:tc>
        <w:tc>
          <w:tcPr>
            <w:tcW w:type="dxa" w:w="7056"/>
            <w:vAlign w:val="top"/>
            <w:tcMar>
              <w:top w:w="55" w:type="dxa"/>
              <w:start w:w="80" w:type="dxa"/>
              <w:bottom w:w="55" w:type="dxa"/>
              <w:end w:w="80" w:type="dxa"/>
            </w:tcMar>
          </w:tcPr>
          <w:p>
            <w:pPr>
              <w:spacing w:after="0"/>
            </w:pPr>
            <w:r>
              <w:rPr>
                <w:rFonts w:ascii="Arial" w:hAnsi="Arial"/>
                <w:color w:val="1F2937"/>
                <w:sz w:val="15"/>
              </w:rPr>
              <w:t>Required only for ACCEPTED_SYSTEM_GENERATED; null for EDUCATOR_ENTERED.</w:t>
            </w:r>
          </w:p>
        </w:tc>
      </w:tr>
      <w:tr>
        <w:tc>
          <w:tcPr>
            <w:tcW w:type="dxa" w:w="3024"/>
            <w:shd w:fill="F8FAFC"/>
            <w:vAlign w:val="top"/>
            <w:tcMar>
              <w:top w:w="55" w:type="dxa"/>
              <w:start w:w="80" w:type="dxa"/>
              <w:bottom w:w="55" w:type="dxa"/>
              <w:end w:w="80" w:type="dxa"/>
            </w:tcMar>
          </w:tcPr>
          <w:p>
            <w:pPr>
              <w:spacing w:after="0"/>
            </w:pPr>
            <w:r>
              <w:rPr>
                <w:rFonts w:ascii="Arial" w:hAnsi="Arial"/>
                <w:color w:val="1F2937"/>
                <w:sz w:val="15"/>
              </w:rPr>
              <w:t>Shown candidate set</w:t>
            </w:r>
          </w:p>
        </w:tc>
        <w:tc>
          <w:tcPr>
            <w:tcW w:type="dxa" w:w="7056"/>
            <w:shd w:fill="F8FAFC"/>
            <w:vAlign w:val="top"/>
            <w:tcMar>
              <w:top w:w="55" w:type="dxa"/>
              <w:start w:w="80" w:type="dxa"/>
              <w:bottom w:w="55" w:type="dxa"/>
              <w:end w:w="80" w:type="dxa"/>
            </w:tcMar>
          </w:tcPr>
          <w:p>
            <w:pPr>
              <w:spacing w:after="0"/>
            </w:pPr>
            <w:r>
              <w:rPr>
                <w:rFonts w:ascii="Arial" w:hAnsi="Arial"/>
                <w:color w:val="1F2937"/>
                <w:sz w:val="15"/>
              </w:rPr>
              <w:t>Accepted generated ID must belong to the final shown candidate set for the same anchor.</w:t>
            </w:r>
          </w:p>
        </w:tc>
      </w:tr>
    </w:tbl>
    <w:p/>
    <w:p>
      <w:pPr>
        <w:spacing w:after="100"/>
      </w:pPr>
      <w:r>
        <w:rPr>
          <w:rFonts w:ascii="Arial" w:hAnsi="Arial"/>
          <w:color w:val="1F2937"/>
          <w:sz w:val="20"/>
        </w:rPr>
        <w:t>Failure is blocking validation before final Recommendation Core execution. The V1 algorithm does not infer a missing hierarchy from free text.</w:t>
      </w:r>
    </w:p>
    <w:p>
      <w:pPr>
        <w:spacing w:after="60"/>
        <w:jc w:val="center"/>
      </w:pPr>
      <w:r>
        <w:drawing>
          <wp:inline xmlns:a="http://schemas.openxmlformats.org/drawingml/2006/main" xmlns:pic="http://schemas.openxmlformats.org/drawingml/2006/picture">
            <wp:extent cx="5989320" cy="2617182"/>
            <wp:docPr id="2" name="Picture 2" descr="Line diagram showing Subtopic-first KCR scope, KPR/KFR enrichment and controlled broader fallback only when narrow evidence is insufficient." title="Figure 2. ALG-02/05 controlled hierarchy and evidence expansion"/>
            <wp:cNvGraphicFramePr>
              <a:graphicFrameLocks noChangeAspect="1"/>
            </wp:cNvGraphicFramePr>
            <a:graphic>
              <a:graphicData uri="http://schemas.openxmlformats.org/drawingml/2006/picture">
                <pic:pic>
                  <pic:nvPicPr>
                    <pic:cNvPr id="0" name="seq07_fig2_controlled_hierarchy.png"/>
                    <pic:cNvPicPr/>
                  </pic:nvPicPr>
                  <pic:blipFill>
                    <a:blip r:embed="rId18"/>
                    <a:stretch>
                      <a:fillRect/>
                    </a:stretch>
                  </pic:blipFill>
                  <pic:spPr>
                    <a:xfrm>
                      <a:off x="0" y="0"/>
                      <a:ext cx="5989320" cy="2617182"/>
                    </a:xfrm>
                    <a:prstGeom prst="rect"/>
                  </pic:spPr>
                </pic:pic>
              </a:graphicData>
            </a:graphic>
          </wp:inline>
        </w:drawing>
      </w:r>
    </w:p>
    <w:p>
      <w:pPr>
        <w:pStyle w:val="Caption"/>
        <w:spacing w:after="140"/>
        <w:jc w:val="center"/>
      </w:pPr>
      <w:r>
        <w:t>Figure 2. ALG-02/05 controlled hierarchy and evidence expansion</w:t>
      </w:r>
    </w:p>
    <w:p>
      <w:pPr>
        <w:pStyle w:val="Heading1"/>
        <w:keepNext/>
      </w:pPr>
      <w:r>
        <w:t>5. ALG-02/ALG-05 — Technical anchor, scope and evidence retrieval</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520"/>
            <w:shd w:fill="2F5D8C"/>
            <w:vAlign w:val="center"/>
            <w:tcMar>
              <w:top w:w="55" w:type="dxa"/>
              <w:start w:w="80" w:type="dxa"/>
              <w:bottom w:w="55" w:type="dxa"/>
              <w:end w:w="80" w:type="dxa"/>
            </w:tcMar>
          </w:tcPr>
          <w:p>
            <w:pPr>
              <w:jc w:val="center"/>
            </w:pPr>
            <w:r>
              <w:rPr>
                <w:rFonts w:ascii="Arial" w:hAnsi="Arial"/>
                <w:b/>
                <w:color w:val="FFFFFF"/>
                <w:sz w:val="15"/>
              </w:rPr>
              <w:t>Rule</w:t>
            </w:r>
          </w:p>
        </w:tc>
        <w:tc>
          <w:tcPr>
            <w:tcW w:type="dxa" w:w="7560"/>
            <w:shd w:fill="2F5D8C"/>
            <w:vAlign w:val="center"/>
            <w:tcMar>
              <w:top w:w="55" w:type="dxa"/>
              <w:start w:w="80" w:type="dxa"/>
              <w:bottom w:w="55" w:type="dxa"/>
              <w:end w:w="80" w:type="dxa"/>
            </w:tcMar>
          </w:tcPr>
          <w:p>
            <w:pPr>
              <w:jc w:val="center"/>
            </w:pPr>
            <w:r>
              <w:rPr>
                <w:rFonts w:ascii="Arial" w:hAnsi="Arial"/>
                <w:b/>
                <w:color w:val="FFFFFF"/>
                <w:sz w:val="15"/>
              </w:rPr>
              <w:t>Specification</w:t>
            </w:r>
          </w:p>
        </w:tc>
      </w:tr>
      <w:tr>
        <w:tc>
          <w:tcPr>
            <w:tcW w:type="dxa" w:w="2520"/>
            <w:vAlign w:val="top"/>
            <w:tcMar>
              <w:top w:w="55" w:type="dxa"/>
              <w:start w:w="80" w:type="dxa"/>
              <w:bottom w:w="55" w:type="dxa"/>
              <w:end w:w="80" w:type="dxa"/>
            </w:tcMar>
          </w:tcPr>
          <w:p>
            <w:pPr>
              <w:spacing w:after="0"/>
            </w:pPr>
            <w:r>
              <w:rPr>
                <w:rFonts w:ascii="Arial" w:hAnsi="Arial"/>
                <w:color w:val="1F2937"/>
                <w:sz w:val="15"/>
              </w:rPr>
              <w:t>Subtopic scope</w:t>
            </w:r>
          </w:p>
        </w:tc>
        <w:tc>
          <w:tcPr>
            <w:tcW w:type="dxa" w:w="7560"/>
            <w:vAlign w:val="top"/>
            <w:tcMar>
              <w:top w:w="55" w:type="dxa"/>
              <w:start w:w="80" w:type="dxa"/>
              <w:bottom w:w="55" w:type="dxa"/>
              <w:end w:w="80" w:type="dxa"/>
            </w:tcMar>
          </w:tcPr>
          <w:p>
            <w:pPr>
              <w:spacing w:after="0"/>
            </w:pPr>
            <w:r>
              <w:rPr>
                <w:rFonts w:ascii="Arial" w:hAnsi="Arial"/>
                <w:color w:val="1F2937"/>
                <w:sz w:val="15"/>
              </w:rPr>
              <w:t>Resolve direct KCRs through MAPS_TO_KCR.</w:t>
            </w:r>
          </w:p>
        </w:tc>
      </w:tr>
      <w:tr>
        <w:tc>
          <w:tcPr>
            <w:tcW w:type="dxa" w:w="2520"/>
            <w:shd w:fill="F8FAFC"/>
            <w:vAlign w:val="top"/>
            <w:tcMar>
              <w:top w:w="55" w:type="dxa"/>
              <w:start w:w="80" w:type="dxa"/>
              <w:bottom w:w="55" w:type="dxa"/>
              <w:end w:w="80" w:type="dxa"/>
            </w:tcMar>
          </w:tcPr>
          <w:p>
            <w:pPr>
              <w:spacing w:after="0"/>
            </w:pPr>
            <w:r>
              <w:rPr>
                <w:rFonts w:ascii="Arial" w:hAnsi="Arial"/>
                <w:color w:val="1F2937"/>
                <w:sz w:val="15"/>
              </w:rPr>
              <w:t>Module scope</w:t>
            </w:r>
          </w:p>
        </w:tc>
        <w:tc>
          <w:tcPr>
            <w:tcW w:type="dxa" w:w="7560"/>
            <w:shd w:fill="F8FAFC"/>
            <w:vAlign w:val="top"/>
            <w:tcMar>
              <w:top w:w="55" w:type="dxa"/>
              <w:start w:w="80" w:type="dxa"/>
              <w:bottom w:w="55" w:type="dxa"/>
              <w:end w:w="80" w:type="dxa"/>
            </w:tcMar>
          </w:tcPr>
          <w:p>
            <w:pPr>
              <w:spacing w:after="0"/>
            </w:pPr>
            <w:r>
              <w:rPr>
                <w:rFonts w:ascii="Arial" w:hAnsi="Arial"/>
                <w:color w:val="1F2937"/>
                <w:sz w:val="15"/>
              </w:rPr>
              <w:t>Resolve contained Subtopics then their KCRs only when the product/process explicitly uses broader fallback.</w:t>
            </w:r>
          </w:p>
        </w:tc>
      </w:tr>
      <w:tr>
        <w:tc>
          <w:tcPr>
            <w:tcW w:type="dxa" w:w="2520"/>
            <w:vAlign w:val="top"/>
            <w:tcMar>
              <w:top w:w="55" w:type="dxa"/>
              <w:start w:w="80" w:type="dxa"/>
              <w:bottom w:w="55" w:type="dxa"/>
              <w:end w:w="80" w:type="dxa"/>
            </w:tcMar>
          </w:tcPr>
          <w:p>
            <w:pPr>
              <w:spacing w:after="0"/>
            </w:pPr>
            <w:r>
              <w:rPr>
                <w:rFonts w:ascii="Arial" w:hAnsi="Arial"/>
                <w:color w:val="1F2937"/>
                <w:sz w:val="15"/>
              </w:rPr>
              <w:t>Course scope</w:t>
            </w:r>
          </w:p>
        </w:tc>
        <w:tc>
          <w:tcPr>
            <w:tcW w:type="dxa" w:w="7560"/>
            <w:vAlign w:val="top"/>
            <w:tcMar>
              <w:top w:w="55" w:type="dxa"/>
              <w:start w:w="80" w:type="dxa"/>
              <w:bottom w:w="55" w:type="dxa"/>
              <w:end w:w="80" w:type="dxa"/>
            </w:tcMar>
          </w:tcPr>
          <w:p>
            <w:pPr>
              <w:spacing w:after="0"/>
            </w:pPr>
            <w:r>
              <w:rPr>
                <w:rFonts w:ascii="Arial" w:hAnsi="Arial"/>
                <w:color w:val="1F2937"/>
                <w:sz w:val="15"/>
              </w:rPr>
              <w:t>Resolve contained Modules/Subtopics/KCRs only as controlled fallback.</w:t>
            </w:r>
          </w:p>
        </w:tc>
      </w:tr>
      <w:tr>
        <w:tc>
          <w:tcPr>
            <w:tcW w:type="dxa" w:w="2520"/>
            <w:shd w:fill="F8FAFC"/>
            <w:vAlign w:val="top"/>
            <w:tcMar>
              <w:top w:w="55" w:type="dxa"/>
              <w:start w:w="80" w:type="dxa"/>
              <w:bottom w:w="55" w:type="dxa"/>
              <w:end w:w="80" w:type="dxa"/>
            </w:tcMar>
          </w:tcPr>
          <w:p>
            <w:pPr>
              <w:spacing w:after="0"/>
            </w:pPr>
            <w:r>
              <w:rPr>
                <w:rFonts w:ascii="Arial" w:hAnsi="Arial"/>
                <w:color w:val="1F2937"/>
                <w:sz w:val="15"/>
              </w:rPr>
              <w:t>KCR enrichment</w:t>
            </w:r>
          </w:p>
        </w:tc>
        <w:tc>
          <w:tcPr>
            <w:tcW w:type="dxa" w:w="7560"/>
            <w:shd w:fill="F8FAFC"/>
            <w:vAlign w:val="top"/>
            <w:tcMar>
              <w:top w:w="55" w:type="dxa"/>
              <w:start w:w="80" w:type="dxa"/>
              <w:bottom w:w="55" w:type="dxa"/>
              <w:end w:w="80" w:type="dxa"/>
            </w:tcMar>
          </w:tcPr>
          <w:p>
            <w:pPr>
              <w:spacing w:after="0"/>
            </w:pPr>
            <w:r>
              <w:rPr>
                <w:rFonts w:ascii="Arial" w:hAnsi="Arial"/>
                <w:color w:val="1F2937"/>
                <w:sz w:val="15"/>
              </w:rPr>
              <w:t>Add governed KPR via APPLIES_TO_KCR and KFR via ACTS_ON_KCR; preserve originating path.</w:t>
            </w:r>
          </w:p>
        </w:tc>
      </w:tr>
      <w:tr>
        <w:tc>
          <w:tcPr>
            <w:tcW w:type="dxa" w:w="2520"/>
            <w:vAlign w:val="top"/>
            <w:tcMar>
              <w:top w:w="55" w:type="dxa"/>
              <w:start w:w="80" w:type="dxa"/>
              <w:bottom w:w="55" w:type="dxa"/>
              <w:end w:w="80" w:type="dxa"/>
            </w:tcMar>
          </w:tcPr>
          <w:p>
            <w:pPr>
              <w:spacing w:after="0"/>
            </w:pPr>
            <w:r>
              <w:rPr>
                <w:rFonts w:ascii="Arial" w:hAnsi="Arial"/>
                <w:color w:val="1F2937"/>
                <w:sz w:val="15"/>
              </w:rPr>
              <w:t>Related evidence</w:t>
            </w:r>
          </w:p>
        </w:tc>
        <w:tc>
          <w:tcPr>
            <w:tcW w:type="dxa" w:w="7560"/>
            <w:vAlign w:val="top"/>
            <w:tcMar>
              <w:top w:w="55" w:type="dxa"/>
              <w:start w:w="80" w:type="dxa"/>
              <w:bottom w:w="55" w:type="dxa"/>
              <w:end w:w="80" w:type="dxa"/>
            </w:tcMar>
          </w:tcPr>
          <w:p>
            <w:pPr>
              <w:spacing w:after="0"/>
            </w:pPr>
            <w:r>
              <w:rPr>
                <w:rFonts w:ascii="Arial" w:hAnsi="Arial"/>
                <w:color w:val="1F2937"/>
                <w:sz w:val="15"/>
              </w:rPr>
              <w:t>Use only governed/curated related evidence under controlled expansion; no unrestricted graph wandering.</w:t>
            </w:r>
          </w:p>
        </w:tc>
      </w:tr>
      <w:tr>
        <w:tc>
          <w:tcPr>
            <w:tcW w:type="dxa" w:w="2520"/>
            <w:shd w:fill="F8FAFC"/>
            <w:vAlign w:val="top"/>
            <w:tcMar>
              <w:top w:w="55" w:type="dxa"/>
              <w:start w:w="80" w:type="dxa"/>
              <w:bottom w:w="55" w:type="dxa"/>
              <w:end w:w="80" w:type="dxa"/>
            </w:tcMar>
          </w:tcPr>
          <w:p>
            <w:pPr>
              <w:spacing w:after="0"/>
            </w:pPr>
            <w:r>
              <w:rPr>
                <w:rFonts w:ascii="Arial" w:hAnsi="Arial"/>
                <w:color w:val="1F2937"/>
                <w:sz w:val="15"/>
              </w:rPr>
              <w:t>Readiness</w:t>
            </w:r>
          </w:p>
        </w:tc>
        <w:tc>
          <w:tcPr>
            <w:tcW w:type="dxa" w:w="7560"/>
            <w:shd w:fill="F8FAFC"/>
            <w:vAlign w:val="top"/>
            <w:tcMar>
              <w:top w:w="55" w:type="dxa"/>
              <w:start w:w="80" w:type="dxa"/>
              <w:bottom w:w="55" w:type="dxa"/>
              <w:end w:w="80" w:type="dxa"/>
            </w:tcMar>
          </w:tcPr>
          <w:p>
            <w:pPr>
              <w:spacing w:after="0"/>
            </w:pPr>
            <w:r>
              <w:rPr>
                <w:rFonts w:ascii="Arial" w:hAnsi="Arial"/>
                <w:color w:val="1F2937"/>
                <w:sz w:val="15"/>
              </w:rPr>
              <w:t>Prerequisite_Concepts inform preparation/readiness and do not automatically become topical evidence.</w:t>
            </w:r>
          </w:p>
        </w:tc>
      </w:tr>
    </w:tbl>
    <w:p/>
    <w:p>
      <w:pPr>
        <w:pStyle w:val="Heading2"/>
        <w:keepNext/>
      </w:pPr>
      <w:r>
        <w:t>5.1 Reference-runtime mismatch detector</w:t>
      </w:r>
    </w:p>
    <w:p>
      <w:pPr>
        <w:spacing w:after="100"/>
      </w:pPr>
      <w:r>
        <w:rPr>
          <w:rFonts w:ascii="Arial" w:hAnsi="Arial"/>
          <w:color w:val="1F2937"/>
          <w:sz w:val="20"/>
        </w:rPr>
        <w:t>The Design-8a parity runtime contains a Subtopic sibling-scope mismatch detector with subtopic_scope_mismatch_min_sibling = 0.45 and subtopic_scope_mismatch_margin = 0.12. In the V1 product contract, a material mismatch is surfaced as blocking input validation before final recommendation rather than as a normal RecommendationResult abstention.</w:t>
      </w:r>
    </w:p>
    <w:p>
      <w:pPr>
        <w:pStyle w:val="Heading1"/>
        <w:keepNext/>
      </w:pPr>
      <w:r>
        <w:t>6. ALG-03 — Application Mechanism Profiling</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3024"/>
            <w:shd w:fill="2F5D8C"/>
            <w:vAlign w:val="center"/>
            <w:tcMar>
              <w:top w:w="55" w:type="dxa"/>
              <w:start w:w="80" w:type="dxa"/>
              <w:bottom w:w="55" w:type="dxa"/>
              <w:end w:w="80" w:type="dxa"/>
            </w:tcMar>
          </w:tcPr>
          <w:p>
            <w:pPr>
              <w:jc w:val="center"/>
            </w:pPr>
            <w:r>
              <w:rPr>
                <w:rFonts w:ascii="Arial" w:hAnsi="Arial"/>
                <w:b/>
                <w:color w:val="FFFFFF"/>
                <w:sz w:val="14"/>
              </w:rPr>
              <w:t>Facet source</w:t>
            </w:r>
          </w:p>
        </w:tc>
        <w:tc>
          <w:tcPr>
            <w:tcW w:type="dxa" w:w="7056"/>
            <w:shd w:fill="2F5D8C"/>
            <w:vAlign w:val="center"/>
            <w:tcMar>
              <w:top w:w="55" w:type="dxa"/>
              <w:start w:w="80" w:type="dxa"/>
              <w:bottom w:w="55" w:type="dxa"/>
              <w:end w:w="80" w:type="dxa"/>
            </w:tcMar>
          </w:tcPr>
          <w:p>
            <w:pPr>
              <w:jc w:val="center"/>
            </w:pPr>
            <w:r>
              <w:rPr>
                <w:rFonts w:ascii="Arial" w:hAnsi="Arial"/>
                <w:b/>
                <w:color w:val="FFFFFF"/>
                <w:sz w:val="14"/>
              </w:rPr>
              <w:t>Rule</w:t>
            </w:r>
          </w:p>
        </w:tc>
      </w:tr>
      <w:tr>
        <w:tc>
          <w:tcPr>
            <w:tcW w:type="dxa" w:w="3024"/>
            <w:vAlign w:val="top"/>
            <w:tcMar>
              <w:top w:w="55" w:type="dxa"/>
              <w:start w:w="80" w:type="dxa"/>
              <w:bottom w:w="55" w:type="dxa"/>
              <w:end w:w="80" w:type="dxa"/>
            </w:tcMar>
          </w:tcPr>
          <w:p>
            <w:pPr>
              <w:spacing w:after="0"/>
            </w:pPr>
            <w:r>
              <w:rPr>
                <w:rFonts w:ascii="Arial" w:hAnsi="Arial"/>
                <w:color w:val="1F2937"/>
                <w:sz w:val="14"/>
              </w:rPr>
              <w:t>Mechanism</w:t>
            </w:r>
          </w:p>
        </w:tc>
        <w:tc>
          <w:tcPr>
            <w:tcW w:type="dxa" w:w="7056"/>
            <w:vAlign w:val="top"/>
            <w:tcMar>
              <w:top w:w="55" w:type="dxa"/>
              <w:start w:w="80" w:type="dxa"/>
              <w:bottom w:w="55" w:type="dxa"/>
              <w:end w:w="80" w:type="dxa"/>
            </w:tcMar>
          </w:tcPr>
          <w:p>
            <w:pPr>
              <w:spacing w:after="0"/>
            </w:pPr>
            <w:r>
              <w:rPr>
                <w:rFonts w:ascii="Arial" w:hAnsi="Arial"/>
                <w:color w:val="1F2937"/>
                <w:sz w:val="14"/>
              </w:rPr>
              <w:t>Conservatively split explicit coexistence/contrast clauses; do not fragment every “and”.</w:t>
            </w:r>
          </w:p>
        </w:tc>
      </w:tr>
      <w:tr>
        <w:tc>
          <w:tcPr>
            <w:tcW w:type="dxa" w:w="3024"/>
            <w:shd w:fill="F8FAFC"/>
            <w:vAlign w:val="top"/>
            <w:tcMar>
              <w:top w:w="55" w:type="dxa"/>
              <w:start w:w="80" w:type="dxa"/>
              <w:bottom w:w="55" w:type="dxa"/>
              <w:end w:w="80" w:type="dxa"/>
            </w:tcMar>
          </w:tcPr>
          <w:p>
            <w:pPr>
              <w:spacing w:after="0"/>
            </w:pPr>
            <w:r>
              <w:rPr>
                <w:rFonts w:ascii="Arial" w:hAnsi="Arial"/>
                <w:color w:val="1F2937"/>
                <w:sz w:val="14"/>
              </w:rPr>
              <w:t>Operational_Action</w:t>
            </w:r>
          </w:p>
        </w:tc>
        <w:tc>
          <w:tcPr>
            <w:tcW w:type="dxa" w:w="7056"/>
            <w:shd w:fill="F8FAFC"/>
            <w:vAlign w:val="top"/>
            <w:tcMar>
              <w:top w:w="55" w:type="dxa"/>
              <w:start w:w="80" w:type="dxa"/>
              <w:bottom w:w="55" w:type="dxa"/>
              <w:end w:w="80" w:type="dxa"/>
            </w:tcMar>
          </w:tcPr>
          <w:p>
            <w:pPr>
              <w:spacing w:after="0"/>
            </w:pPr>
            <w:r>
              <w:rPr>
                <w:rFonts w:ascii="Arial" w:hAnsi="Arial"/>
                <w:color w:val="1F2937"/>
                <w:sz w:val="14"/>
              </w:rPr>
              <w:t>Add as a mechanism/action facet when present.</w:t>
            </w:r>
          </w:p>
        </w:tc>
      </w:tr>
      <w:tr>
        <w:tc>
          <w:tcPr>
            <w:tcW w:type="dxa" w:w="3024"/>
            <w:vAlign w:val="top"/>
            <w:tcMar>
              <w:top w:w="55" w:type="dxa"/>
              <w:start w:w="80" w:type="dxa"/>
              <w:bottom w:w="55" w:type="dxa"/>
              <w:end w:w="80" w:type="dxa"/>
            </w:tcMar>
          </w:tcPr>
          <w:p>
            <w:pPr>
              <w:spacing w:after="0"/>
            </w:pPr>
            <w:r>
              <w:rPr>
                <w:rFonts w:ascii="Arial" w:hAnsi="Arial"/>
                <w:color w:val="1F2937"/>
                <w:sz w:val="14"/>
              </w:rPr>
              <w:t>Stakeholder_or_Ecological_Context + Affected_Resource_or_Function</w:t>
            </w:r>
          </w:p>
        </w:tc>
        <w:tc>
          <w:tcPr>
            <w:tcW w:type="dxa" w:w="7056"/>
            <w:vAlign w:val="top"/>
            <w:tcMar>
              <w:top w:w="55" w:type="dxa"/>
              <w:start w:w="80" w:type="dxa"/>
              <w:bottom w:w="55" w:type="dxa"/>
              <w:end w:w="80" w:type="dxa"/>
            </w:tcMar>
          </w:tcPr>
          <w:p>
            <w:pPr>
              <w:spacing w:after="0"/>
            </w:pPr>
            <w:r>
              <w:rPr>
                <w:rFonts w:ascii="Arial" w:hAnsi="Arial"/>
                <w:color w:val="1F2937"/>
                <w:sz w:val="14"/>
              </w:rPr>
              <w:t>Combine into a facet when either is present.</w:t>
            </w:r>
          </w:p>
        </w:tc>
      </w:tr>
      <w:tr>
        <w:tc>
          <w:tcPr>
            <w:tcW w:type="dxa" w:w="3024"/>
            <w:shd w:fill="F8FAFC"/>
            <w:vAlign w:val="top"/>
            <w:tcMar>
              <w:top w:w="55" w:type="dxa"/>
              <w:start w:w="80" w:type="dxa"/>
              <w:bottom w:w="55" w:type="dxa"/>
              <w:end w:w="80" w:type="dxa"/>
            </w:tcMar>
          </w:tcPr>
          <w:p>
            <w:pPr>
              <w:spacing w:after="0"/>
            </w:pPr>
            <w:r>
              <w:rPr>
                <w:rFonts w:ascii="Arial" w:hAnsi="Arial"/>
                <w:color w:val="1F2937"/>
                <w:sz w:val="14"/>
              </w:rPr>
              <w:t>Fallback</w:t>
            </w:r>
          </w:p>
        </w:tc>
        <w:tc>
          <w:tcPr>
            <w:tcW w:type="dxa" w:w="7056"/>
            <w:shd w:fill="F8FAFC"/>
            <w:vAlign w:val="top"/>
            <w:tcMar>
              <w:top w:w="55" w:type="dxa"/>
              <w:start w:w="80" w:type="dxa"/>
              <w:bottom w:w="55" w:type="dxa"/>
              <w:end w:w="80" w:type="dxa"/>
            </w:tcMar>
          </w:tcPr>
          <w:p>
            <w:pPr>
              <w:spacing w:after="0"/>
            </w:pPr>
            <w:r>
              <w:rPr>
                <w:rFonts w:ascii="Arial" w:hAnsi="Arial"/>
                <w:color w:val="1F2937"/>
                <w:sz w:val="14"/>
              </w:rPr>
              <w:t>If no derived facet exists, use Application_Context text.</w:t>
            </w:r>
          </w:p>
        </w:tc>
      </w:tr>
      <w:tr>
        <w:tc>
          <w:tcPr>
            <w:tcW w:type="dxa" w:w="3024"/>
            <w:vAlign w:val="top"/>
            <w:tcMar>
              <w:top w:w="55" w:type="dxa"/>
              <w:start w:w="80" w:type="dxa"/>
              <w:bottom w:w="55" w:type="dxa"/>
              <w:end w:w="80" w:type="dxa"/>
            </w:tcMar>
          </w:tcPr>
          <w:p>
            <w:pPr>
              <w:spacing w:after="0"/>
            </w:pPr>
            <w:r>
              <w:rPr>
                <w:rFonts w:ascii="Arial" w:hAnsi="Arial"/>
                <w:color w:val="1F2937"/>
                <w:sz w:val="14"/>
              </w:rPr>
              <w:t>Deduplication</w:t>
            </w:r>
          </w:p>
        </w:tc>
        <w:tc>
          <w:tcPr>
            <w:tcW w:type="dxa" w:w="7056"/>
            <w:vAlign w:val="top"/>
            <w:tcMar>
              <w:top w:w="55" w:type="dxa"/>
              <w:start w:w="80" w:type="dxa"/>
              <w:bottom w:w="55" w:type="dxa"/>
              <w:end w:w="80" w:type="dxa"/>
            </w:tcMar>
          </w:tcPr>
          <w:p>
            <w:pPr>
              <w:spacing w:after="0"/>
            </w:pPr>
            <w:r>
              <w:rPr>
                <w:rFonts w:ascii="Arial" w:hAnsi="Arial"/>
                <w:color w:val="1F2937"/>
                <w:sz w:val="14"/>
              </w:rPr>
              <w:t>Preserve order and remove near-identical normalized duplicates.</w:t>
            </w:r>
          </w:p>
        </w:tc>
      </w:tr>
      <w:tr>
        <w:tc>
          <w:tcPr>
            <w:tcW w:type="dxa" w:w="3024"/>
            <w:shd w:fill="F8FAFC"/>
            <w:vAlign w:val="top"/>
            <w:tcMar>
              <w:top w:w="55" w:type="dxa"/>
              <w:start w:w="80" w:type="dxa"/>
              <w:bottom w:w="55" w:type="dxa"/>
              <w:end w:w="80" w:type="dxa"/>
            </w:tcMar>
          </w:tcPr>
          <w:p>
            <w:pPr>
              <w:spacing w:after="0"/>
            </w:pPr>
            <w:r>
              <w:rPr>
                <w:rFonts w:ascii="Arial" w:hAnsi="Arial"/>
                <w:color w:val="1F2937"/>
                <w:sz w:val="14"/>
              </w:rPr>
              <w:t>Promotion polarity</w:t>
            </w:r>
          </w:p>
        </w:tc>
        <w:tc>
          <w:tcPr>
            <w:tcW w:type="dxa" w:w="7056"/>
            <w:shd w:fill="F8FAFC"/>
            <w:vAlign w:val="top"/>
            <w:tcMar>
              <w:top w:w="55" w:type="dxa"/>
              <w:start w:w="80" w:type="dxa"/>
              <w:bottom w:w="55" w:type="dxa"/>
              <w:end w:w="80" w:type="dxa"/>
            </w:tcMar>
          </w:tcPr>
          <w:p>
            <w:pPr>
              <w:spacing w:after="0"/>
            </w:pPr>
            <w:r>
              <w:rPr>
                <w:rFonts w:ascii="Arial" w:hAnsi="Arial"/>
                <w:color w:val="1F2937"/>
                <w:sz w:val="14"/>
              </w:rPr>
              <w:t>Partition promotion facets into positive and explicit-negative/excluded sets before secondary promotion.</w:t>
            </w:r>
          </w:p>
        </w:tc>
      </w:tr>
    </w:tbl>
    <w:p/>
    <w:p>
      <w:pPr>
        <w:spacing w:after="100"/>
      </w:pPr>
      <w:r>
        <w:rPr>
          <w:rFonts w:ascii="Arial" w:hAnsi="Arial"/>
          <w:color w:val="1F2937"/>
          <w:sz w:val="20"/>
        </w:rPr>
        <w:t>Reference runtime explicit-negation detection is deliberately conservative: clause-initial no/without/never/not markers and explicit absence/not-invoked constructions are negative; ordinary counterfactual/outcome phrases are not globally treated as exclusions.</w:t>
      </w:r>
    </w:p>
    <w:p>
      <w:pPr>
        <w:spacing w:after="60"/>
        <w:jc w:val="center"/>
      </w:pPr>
      <w:r>
        <w:drawing>
          <wp:inline xmlns:a="http://schemas.openxmlformats.org/drawingml/2006/main" xmlns:pic="http://schemas.openxmlformats.org/drawingml/2006/picture">
            <wp:extent cx="5989320" cy="2566851"/>
            <wp:docPr id="3" name="Picture 3" descr="Flow diagram showing structural and mechanism/boundary eligibility gates before MiniLM ranking, controlled fallback and educator-facing 0–2 display." title="Figure 3. ALG-04 Application Context suggestion algorithm"/>
            <wp:cNvGraphicFramePr>
              <a:graphicFrameLocks noChangeAspect="1"/>
            </wp:cNvGraphicFramePr>
            <a:graphic>
              <a:graphicData uri="http://schemas.openxmlformats.org/drawingml/2006/picture">
                <pic:pic>
                  <pic:nvPicPr>
                    <pic:cNvPr id="0" name="seq07_fig3_context_algorithm.png"/>
                    <pic:cNvPicPr/>
                  </pic:nvPicPr>
                  <pic:blipFill>
                    <a:blip r:embed="rId19"/>
                    <a:stretch>
                      <a:fillRect/>
                    </a:stretch>
                  </pic:blipFill>
                  <pic:spPr>
                    <a:xfrm>
                      <a:off x="0" y="0"/>
                      <a:ext cx="5989320" cy="2566851"/>
                    </a:xfrm>
                    <a:prstGeom prst="rect"/>
                  </pic:spPr>
                </pic:pic>
              </a:graphicData>
            </a:graphic>
          </wp:inline>
        </w:drawing>
      </w:r>
    </w:p>
    <w:p>
      <w:pPr>
        <w:pStyle w:val="Caption"/>
        <w:spacing w:after="140"/>
        <w:jc w:val="center"/>
      </w:pPr>
      <w:r>
        <w:t>Figure 3. ALG-04 Application Context suggestion algorithm</w:t>
      </w:r>
    </w:p>
    <w:p>
      <w:pPr>
        <w:pStyle w:val="Heading1"/>
        <w:keepNext/>
      </w:pPr>
      <w:r>
        <w:t>7. ALG-04 — Application Context suggestion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088"/>
            <w:shd w:fill="2F5D8C"/>
            <w:vAlign w:val="center"/>
            <w:tcMar>
              <w:top w:w="55" w:type="dxa"/>
              <w:start w:w="80" w:type="dxa"/>
              <w:bottom w:w="55" w:type="dxa"/>
              <w:end w:w="80" w:type="dxa"/>
            </w:tcMar>
          </w:tcPr>
          <w:p>
            <w:pPr>
              <w:jc w:val="center"/>
            </w:pPr>
            <w:r>
              <w:rPr>
                <w:rFonts w:ascii="Arial" w:hAnsi="Arial"/>
                <w:b/>
                <w:color w:val="FFFFFF"/>
                <w:sz w:val="15"/>
              </w:rPr>
              <w:t>Stage</w:t>
            </w:r>
          </w:p>
        </w:tc>
        <w:tc>
          <w:tcPr>
            <w:tcW w:type="dxa" w:w="7992"/>
            <w:shd w:fill="2F5D8C"/>
            <w:vAlign w:val="center"/>
            <w:tcMar>
              <w:top w:w="55" w:type="dxa"/>
              <w:start w:w="80" w:type="dxa"/>
              <w:bottom w:w="55" w:type="dxa"/>
              <w:end w:w="80" w:type="dxa"/>
            </w:tcMar>
          </w:tcPr>
          <w:p>
            <w:pPr>
              <w:jc w:val="center"/>
            </w:pPr>
            <w:r>
              <w:rPr>
                <w:rFonts w:ascii="Arial" w:hAnsi="Arial"/>
                <w:b/>
                <w:color w:val="FFFFFF"/>
                <w:sz w:val="15"/>
              </w:rPr>
              <w:t>Algorithm rule</w:t>
            </w:r>
          </w:p>
        </w:tc>
      </w:tr>
      <w:tr>
        <w:tc>
          <w:tcPr>
            <w:tcW w:type="dxa" w:w="2088"/>
            <w:vAlign w:val="top"/>
            <w:tcMar>
              <w:top w:w="55" w:type="dxa"/>
              <w:start w:w="80" w:type="dxa"/>
              <w:bottom w:w="55" w:type="dxa"/>
              <w:end w:w="80" w:type="dxa"/>
            </w:tcMar>
          </w:tcPr>
          <w:p>
            <w:pPr>
              <w:spacing w:after="0"/>
            </w:pPr>
            <w:r>
              <w:rPr>
                <w:rFonts w:ascii="Arial" w:hAnsi="Arial"/>
                <w:color w:val="1F2937"/>
                <w:sz w:val="15"/>
              </w:rPr>
              <w:t>1. Anchor</w:t>
            </w:r>
          </w:p>
        </w:tc>
        <w:tc>
          <w:tcPr>
            <w:tcW w:type="dxa" w:w="7992"/>
            <w:vAlign w:val="top"/>
            <w:tcMar>
              <w:top w:w="55" w:type="dxa"/>
              <w:start w:w="80" w:type="dxa"/>
              <w:bottom w:w="55" w:type="dxa"/>
              <w:end w:w="80" w:type="dxa"/>
            </w:tcMar>
          </w:tcPr>
          <w:p>
            <w:pPr>
              <w:spacing w:after="0"/>
            </w:pPr>
            <w:r>
              <w:rPr>
                <w:rFonts w:ascii="Arial" w:hAnsi="Arial"/>
                <w:color w:val="1F2937"/>
                <w:sz w:val="15"/>
              </w:rPr>
              <w:t>Use selected Course/Module/Subtopic as authoritative technical scope.</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5"/>
              </w:rPr>
              <w:t>2. Candidate discovery</w:t>
            </w:r>
          </w:p>
        </w:tc>
        <w:tc>
          <w:tcPr>
            <w:tcW w:type="dxa" w:w="7992"/>
            <w:shd w:fill="F8FAFC"/>
            <w:vAlign w:val="top"/>
            <w:tcMar>
              <w:top w:w="55" w:type="dxa"/>
              <w:start w:w="80" w:type="dxa"/>
              <w:bottom w:w="55" w:type="dxa"/>
              <w:end w:w="80" w:type="dxa"/>
            </w:tcMar>
          </w:tcPr>
          <w:p>
            <w:pPr>
              <w:spacing w:after="0"/>
            </w:pPr>
            <w:r>
              <w:rPr>
                <w:rFonts w:ascii="Arial" w:hAnsi="Arial"/>
                <w:color w:val="1F2937"/>
                <w:sz w:val="15"/>
              </w:rPr>
              <w:t>May examine a broader governed context/evidence pool than the display set.</w:t>
            </w:r>
          </w:p>
        </w:tc>
      </w:tr>
      <w:tr>
        <w:tc>
          <w:tcPr>
            <w:tcW w:type="dxa" w:w="2088"/>
            <w:vAlign w:val="top"/>
            <w:tcMar>
              <w:top w:w="55" w:type="dxa"/>
              <w:start w:w="80" w:type="dxa"/>
              <w:bottom w:w="55" w:type="dxa"/>
              <w:end w:w="80" w:type="dxa"/>
            </w:tcMar>
          </w:tcPr>
          <w:p>
            <w:pPr>
              <w:spacing w:after="0"/>
            </w:pPr>
            <w:r>
              <w:rPr>
                <w:rFonts w:ascii="Arial" w:hAnsi="Arial"/>
                <w:color w:val="1F2937"/>
                <w:sz w:val="15"/>
              </w:rPr>
              <w:t>3. Eligibility gate</w:t>
            </w:r>
          </w:p>
        </w:tc>
        <w:tc>
          <w:tcPr>
            <w:tcW w:type="dxa" w:w="7992"/>
            <w:vAlign w:val="top"/>
            <w:tcMar>
              <w:top w:w="55" w:type="dxa"/>
              <w:start w:w="80" w:type="dxa"/>
              <w:bottom w:w="55" w:type="dxa"/>
              <w:end w:w="80" w:type="dxa"/>
            </w:tcMar>
          </w:tcPr>
          <w:p>
            <w:pPr>
              <w:spacing w:after="0"/>
            </w:pPr>
            <w:r>
              <w:rPr>
                <w:rFonts w:ascii="Arial" w:hAnsi="Arial"/>
                <w:color w:val="1F2937"/>
                <w:sz w:val="15"/>
              </w:rPr>
              <w:t>Apply structural/metadata compatibility then mechanism/boundary compatibility.</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5"/>
              </w:rPr>
              <w:t>4. Fallback</w:t>
            </w:r>
          </w:p>
        </w:tc>
        <w:tc>
          <w:tcPr>
            <w:tcW w:type="dxa" w:w="7992"/>
            <w:shd w:fill="F8FAFC"/>
            <w:vAlign w:val="top"/>
            <w:tcMar>
              <w:top w:w="55" w:type="dxa"/>
              <w:start w:w="80" w:type="dxa"/>
              <w:bottom w:w="55" w:type="dxa"/>
              <w:end w:w="80" w:type="dxa"/>
            </w:tcMar>
          </w:tcPr>
          <w:p>
            <w:pPr>
              <w:spacing w:after="0"/>
            </w:pPr>
            <w:r>
              <w:rPr>
                <w:rFonts w:ascii="Arial" w:hAnsi="Arial"/>
                <w:color w:val="1F2937"/>
                <w:sz w:val="15"/>
              </w:rPr>
              <w:t>If no direct structural match exists, allow controlled semantic fallback under the same scope/mechanism checks.</w:t>
            </w:r>
          </w:p>
        </w:tc>
      </w:tr>
      <w:tr>
        <w:tc>
          <w:tcPr>
            <w:tcW w:type="dxa" w:w="2088"/>
            <w:vAlign w:val="top"/>
            <w:tcMar>
              <w:top w:w="55" w:type="dxa"/>
              <w:start w:w="80" w:type="dxa"/>
              <w:bottom w:w="55" w:type="dxa"/>
              <w:end w:w="80" w:type="dxa"/>
            </w:tcMar>
          </w:tcPr>
          <w:p>
            <w:pPr>
              <w:spacing w:after="0"/>
            </w:pPr>
            <w:r>
              <w:rPr>
                <w:rFonts w:ascii="Arial" w:hAnsi="Arial"/>
                <w:color w:val="1F2937"/>
                <w:sz w:val="15"/>
              </w:rPr>
              <w:t>5. Semantic ranking</w:t>
            </w:r>
          </w:p>
        </w:tc>
        <w:tc>
          <w:tcPr>
            <w:tcW w:type="dxa" w:w="7992"/>
            <w:vAlign w:val="top"/>
            <w:tcMar>
              <w:top w:w="55" w:type="dxa"/>
              <w:start w:w="80" w:type="dxa"/>
              <w:bottom w:w="55" w:type="dxa"/>
              <w:end w:w="80" w:type="dxa"/>
            </w:tcMar>
          </w:tcPr>
          <w:p>
            <w:pPr>
              <w:spacing w:after="0"/>
            </w:pPr>
            <w:r>
              <w:rPr>
                <w:rFonts w:ascii="Arial" w:hAnsi="Arial"/>
                <w:color w:val="1F2937"/>
                <w:sz w:val="15"/>
              </w:rPr>
              <w:t>Rank eligible candidates using frozen semantic backend; zero lexical overlap alone is not rejection, and high cosine alone cannot create eligibility.</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5"/>
              </w:rPr>
              <w:t>6. Display</w:t>
            </w:r>
          </w:p>
        </w:tc>
        <w:tc>
          <w:tcPr>
            <w:tcW w:type="dxa" w:w="7992"/>
            <w:shd w:fill="F8FAFC"/>
            <w:vAlign w:val="top"/>
            <w:tcMar>
              <w:top w:w="55" w:type="dxa"/>
              <w:start w:w="80" w:type="dxa"/>
              <w:bottom w:w="55" w:type="dxa"/>
              <w:end w:w="80" w:type="dxa"/>
            </w:tcMar>
          </w:tcPr>
          <w:p>
            <w:pPr>
              <w:spacing w:after="0"/>
            </w:pPr>
            <w:r>
              <w:rPr>
                <w:rFonts w:ascii="Arial" w:hAnsi="Arial"/>
                <w:color w:val="1F2937"/>
                <w:sz w:val="15"/>
              </w:rPr>
              <w:t>Return maximum 0–2 generated alternatives to UI; zero is valid.</w:t>
            </w:r>
          </w:p>
        </w:tc>
      </w:tr>
      <w:tr>
        <w:tc>
          <w:tcPr>
            <w:tcW w:type="dxa" w:w="2088"/>
            <w:vAlign w:val="top"/>
            <w:tcMar>
              <w:top w:w="55" w:type="dxa"/>
              <w:start w:w="80" w:type="dxa"/>
              <w:bottom w:w="55" w:type="dxa"/>
              <w:end w:w="80" w:type="dxa"/>
            </w:tcMar>
          </w:tcPr>
          <w:p>
            <w:pPr>
              <w:spacing w:after="0"/>
            </w:pPr>
            <w:r>
              <w:rPr>
                <w:rFonts w:ascii="Arial" w:hAnsi="Arial"/>
                <w:color w:val="1F2937"/>
                <w:sz w:val="15"/>
              </w:rPr>
              <w:t>7. Provenance</w:t>
            </w:r>
          </w:p>
        </w:tc>
        <w:tc>
          <w:tcPr>
            <w:tcW w:type="dxa" w:w="7992"/>
            <w:vAlign w:val="top"/>
            <w:tcMar>
              <w:top w:w="55" w:type="dxa"/>
              <w:start w:w="80" w:type="dxa"/>
              <w:bottom w:w="55" w:type="dxa"/>
              <w:end w:w="80" w:type="dxa"/>
            </w:tcMar>
          </w:tcPr>
          <w:p>
            <w:pPr>
              <w:spacing w:after="0"/>
            </w:pPr>
            <w:r>
              <w:rPr>
                <w:rFonts w:ascii="Arial" w:hAnsi="Arial"/>
                <w:color w:val="1F2937"/>
                <w:sz w:val="15"/>
              </w:rPr>
              <w:t>Assign runtime Context_Candidate_ID; supporting repository-context IDs remain internal evidence, not a third source type.</w:t>
            </w:r>
          </w:p>
        </w:tc>
      </w:tr>
    </w:tbl>
    <w:p/>
    <w:p>
      <w:pPr>
        <w:pStyle w:val="Heading2"/>
        <w:keepNext/>
      </w:pPr>
      <w:r>
        <w:t>7.1 Reference-runtime context similarity formula</w:t>
      </w:r>
    </w:p>
    <w:p>
      <w:pPr>
        <w:spacing w:after="120"/>
        <w:ind w:left="288" w:right="144"/>
        <w:shd w:fill="F8FAFC"/>
      </w:pPr>
      <w:r>
        <w:rPr>
          <w:rFonts w:ascii="Courier New" w:hAnsi="Courier New"/>
          <w:color w:val="1F2937"/>
          <w:sz w:val="16"/>
        </w:rPr>
        <w:t>context_score(cid) = 0.65 * similarity(mechanism_focused_profile, cid)</w:t>
        <w:br/>
        <w:t xml:space="preserve">                   + 0.35 * max_facet_similarity(cid)</w:t>
      </w:r>
    </w:p>
    <w:p>
      <w:pPr>
        <w:spacing w:after="100"/>
      </w:pPr>
      <w:r>
        <w:rPr>
          <w:rFonts w:ascii="Arial" w:hAnsi="Arial"/>
          <w:color w:val="1F2937"/>
          <w:sz w:val="20"/>
        </w:rPr>
        <w:t>The mechanism-focused context query uses Operational_Action, Mechanism, Stakeholder_or_Ecological_Context, Affected_Resource_or_Function and Boundary_Conditions. The reference runtime intentionally excludes Technical_Query/Technical_System from this context query so domain nouns do not dominate context retrieval. Structural Design-7.5b eligibility remains upstream of ranking in the product algorithm.</w:t>
      </w:r>
    </w:p>
    <w:p>
      <w:pPr>
        <w:pStyle w:val="Heading1"/>
        <w:keepNext/>
      </w:pPr>
      <w:r>
        <w:t>8. ALG-06/ALG-07 — SCR eligibility and primary ranking</w:t>
      </w:r>
    </w:p>
    <w:p>
      <w:pPr>
        <w:spacing w:after="100"/>
      </w:pPr>
      <w:r>
        <w:rPr>
          <w:rFonts w:ascii="Arial" w:hAnsi="Arial"/>
          <w:color w:val="1F2937"/>
          <w:sz w:val="20"/>
        </w:rPr>
        <w:t>The product algorithm applies technical scope, mechanism presence, guardrail/boundary compatibility and governed evidence before candidate ranking. The frozen Design-8a reference runtime then scores active SCR candidates using mechanism, full-profile and curated-context semantic evidence while preserving the primary Top-1 path.</w:t>
      </w:r>
    </w:p>
    <w:p>
      <w:pPr>
        <w:spacing w:after="60"/>
        <w:jc w:val="center"/>
      </w:pPr>
      <w:r>
        <w:drawing>
          <wp:inline xmlns:a="http://schemas.openxmlformats.org/drawingml/2006/main" xmlns:pic="http://schemas.openxmlformats.org/drawingml/2006/picture">
            <wp:extent cx="5989320" cy="2761014"/>
            <wp:docPr id="4" name="Picture 4" descr="Line diagram showing mechanism, full-profile and context evidence components combined into the frozen weighted score and ordered within evidence tier." title="Figure 4. ALG-07 frozen primary ranking parity"/>
            <wp:cNvGraphicFramePr>
              <a:graphicFrameLocks noChangeAspect="1"/>
            </wp:cNvGraphicFramePr>
            <a:graphic>
              <a:graphicData uri="http://schemas.openxmlformats.org/drawingml/2006/picture">
                <pic:pic>
                  <pic:nvPicPr>
                    <pic:cNvPr id="0" name="seq07_fig4_primary_ranking.png"/>
                    <pic:cNvPicPr/>
                  </pic:nvPicPr>
                  <pic:blipFill>
                    <a:blip r:embed="rId20"/>
                    <a:stretch>
                      <a:fillRect/>
                    </a:stretch>
                  </pic:blipFill>
                  <pic:spPr>
                    <a:xfrm>
                      <a:off x="0" y="0"/>
                      <a:ext cx="5989320" cy="2761014"/>
                    </a:xfrm>
                    <a:prstGeom prst="rect"/>
                  </pic:spPr>
                </pic:pic>
              </a:graphicData>
            </a:graphic>
          </wp:inline>
        </w:drawing>
      </w:r>
    </w:p>
    <w:p>
      <w:pPr>
        <w:pStyle w:val="Caption"/>
        <w:spacing w:after="140"/>
        <w:jc w:val="center"/>
      </w:pPr>
      <w:r>
        <w:t>Figure 4. ALG-07 frozen primary ranking parity</w:t>
      </w:r>
    </w:p>
    <w:p>
      <w:pPr>
        <w:pStyle w:val="Heading2"/>
        <w:keepNext/>
      </w:pPr>
      <w:r>
        <w:t>8.1 Frozen reference-runtime parameters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168"/>
            <w:shd w:fill="2F5D8C"/>
            <w:vAlign w:val="center"/>
            <w:tcMar>
              <w:top w:w="55" w:type="dxa"/>
              <w:start w:w="80" w:type="dxa"/>
              <w:bottom w:w="55" w:type="dxa"/>
              <w:end w:w="80" w:type="dxa"/>
            </w:tcMar>
          </w:tcPr>
          <w:p>
            <w:pPr>
              <w:jc w:val="center"/>
            </w:pPr>
            <w:r>
              <w:rPr>
                <w:rFonts w:ascii="Arial" w:hAnsi="Arial"/>
                <w:b/>
                <w:color w:val="FFFFFF"/>
                <w:sz w:val="14"/>
              </w:rPr>
              <w:t>Parameter</w:t>
            </w:r>
          </w:p>
        </w:tc>
        <w:tc>
          <w:tcPr>
            <w:tcW w:type="dxa" w:w="1152"/>
            <w:shd w:fill="2F5D8C"/>
            <w:vAlign w:val="center"/>
            <w:tcMar>
              <w:top w:w="55" w:type="dxa"/>
              <w:start w:w="80" w:type="dxa"/>
              <w:bottom w:w="55" w:type="dxa"/>
              <w:end w:w="80" w:type="dxa"/>
            </w:tcMar>
          </w:tcPr>
          <w:p>
            <w:pPr>
              <w:jc w:val="center"/>
            </w:pPr>
            <w:r>
              <w:rPr>
                <w:rFonts w:ascii="Arial" w:hAnsi="Arial"/>
                <w:b/>
                <w:color w:val="FFFFFF"/>
                <w:sz w:val="14"/>
              </w:rPr>
              <w:t>Value</w:t>
            </w:r>
          </w:p>
        </w:tc>
        <w:tc>
          <w:tcPr>
            <w:tcW w:type="dxa" w:w="5760"/>
            <w:shd w:fill="2F5D8C"/>
            <w:vAlign w:val="center"/>
            <w:tcMar>
              <w:top w:w="55" w:type="dxa"/>
              <w:start w:w="80" w:type="dxa"/>
              <w:bottom w:w="55" w:type="dxa"/>
              <w:end w:w="80" w:type="dxa"/>
            </w:tcMar>
          </w:tcPr>
          <w:p>
            <w:pPr>
              <w:jc w:val="center"/>
            </w:pPr>
            <w:r>
              <w:rPr>
                <w:rFonts w:ascii="Arial" w:hAnsi="Arial"/>
                <w:b/>
                <w:color w:val="FFFFFF"/>
                <w:sz w:val="14"/>
              </w:rPr>
              <w:t>Meaning</w:t>
            </w:r>
          </w:p>
        </w:tc>
      </w:tr>
      <w:tr>
        <w:tc>
          <w:tcPr>
            <w:tcW w:type="dxa" w:w="3168"/>
            <w:vAlign w:val="top"/>
            <w:tcMar>
              <w:top w:w="55" w:type="dxa"/>
              <w:start w:w="80" w:type="dxa"/>
              <w:bottom w:w="55" w:type="dxa"/>
              <w:end w:w="80" w:type="dxa"/>
            </w:tcMar>
          </w:tcPr>
          <w:p>
            <w:pPr>
              <w:spacing w:after="0"/>
            </w:pPr>
            <w:r>
              <w:rPr>
                <w:rFonts w:ascii="Arial" w:hAnsi="Arial"/>
                <w:color w:val="1F2937"/>
                <w:sz w:val="14"/>
              </w:rPr>
              <w:t>semantic_anchor_top_k</w:t>
            </w:r>
          </w:p>
        </w:tc>
        <w:tc>
          <w:tcPr>
            <w:tcW w:type="dxa" w:w="1152"/>
            <w:vAlign w:val="top"/>
            <w:tcMar>
              <w:top w:w="55" w:type="dxa"/>
              <w:start w:w="80" w:type="dxa"/>
              <w:bottom w:w="55" w:type="dxa"/>
              <w:end w:w="80" w:type="dxa"/>
            </w:tcMar>
          </w:tcPr>
          <w:p>
            <w:pPr>
              <w:spacing w:after="0"/>
            </w:pPr>
            <w:r>
              <w:rPr>
                <w:rFonts w:ascii="Arial" w:hAnsi="Arial"/>
                <w:color w:val="1F2937"/>
                <w:sz w:val="14"/>
              </w:rPr>
              <w:t>10</w:t>
            </w:r>
          </w:p>
        </w:tc>
        <w:tc>
          <w:tcPr>
            <w:tcW w:type="dxa" w:w="5760"/>
            <w:vAlign w:val="top"/>
            <w:tcMar>
              <w:top w:w="55" w:type="dxa"/>
              <w:start w:w="80" w:type="dxa"/>
              <w:bottom w:w="55" w:type="dxa"/>
              <w:end w:w="80" w:type="dxa"/>
            </w:tcMar>
          </w:tcPr>
          <w:p>
            <w:pPr>
              <w:spacing w:after="0"/>
            </w:pPr>
            <w:r>
              <w:rPr>
                <w:rFonts w:ascii="Arial" w:hAnsi="Arial"/>
                <w:color w:val="1F2937"/>
                <w:sz w:val="14"/>
              </w:rPr>
              <w:t>Legacy/reference semantic-anchor inspection; V1 text-only product route is deferred.</w:t>
            </w:r>
          </w:p>
        </w:tc>
      </w:tr>
      <w:tr>
        <w:tc>
          <w:tcPr>
            <w:tcW w:type="dxa" w:w="3168"/>
            <w:shd w:fill="F8FAFC"/>
            <w:vAlign w:val="top"/>
            <w:tcMar>
              <w:top w:w="55" w:type="dxa"/>
              <w:start w:w="80" w:type="dxa"/>
              <w:bottom w:w="55" w:type="dxa"/>
              <w:end w:w="80" w:type="dxa"/>
            </w:tcMar>
          </w:tcPr>
          <w:p>
            <w:pPr>
              <w:spacing w:after="0"/>
            </w:pPr>
            <w:r>
              <w:rPr>
                <w:rFonts w:ascii="Arial" w:hAnsi="Arial"/>
                <w:color w:val="1F2937"/>
                <w:sz w:val="14"/>
              </w:rPr>
              <w:t>technical_scope_top_k</w:t>
            </w:r>
          </w:p>
        </w:tc>
        <w:tc>
          <w:tcPr>
            <w:tcW w:type="dxa" w:w="1152"/>
            <w:shd w:fill="F8FAFC"/>
            <w:vAlign w:val="top"/>
            <w:tcMar>
              <w:top w:w="55" w:type="dxa"/>
              <w:start w:w="80" w:type="dxa"/>
              <w:bottom w:w="55" w:type="dxa"/>
              <w:end w:w="80" w:type="dxa"/>
            </w:tcMar>
          </w:tcPr>
          <w:p>
            <w:pPr>
              <w:spacing w:after="0"/>
            </w:pPr>
            <w:r>
              <w:rPr>
                <w:rFonts w:ascii="Arial" w:hAnsi="Arial"/>
                <w:color w:val="1F2937"/>
                <w:sz w:val="14"/>
              </w:rPr>
              <w:t>5</w:t>
            </w:r>
          </w:p>
        </w:tc>
        <w:tc>
          <w:tcPr>
            <w:tcW w:type="dxa" w:w="5760"/>
            <w:shd w:fill="F8FAFC"/>
            <w:vAlign w:val="top"/>
            <w:tcMar>
              <w:top w:w="55" w:type="dxa"/>
              <w:start w:w="80" w:type="dxa"/>
              <w:bottom w:w="55" w:type="dxa"/>
              <w:end w:w="80" w:type="dxa"/>
            </w:tcMar>
          </w:tcPr>
          <w:p>
            <w:pPr>
              <w:spacing w:after="0"/>
            </w:pPr>
            <w:r>
              <w:rPr>
                <w:rFonts w:ascii="Arial" w:hAnsi="Arial"/>
                <w:color w:val="1F2937"/>
                <w:sz w:val="14"/>
              </w:rPr>
              <w:t>Broader Module/Course technical-scope candidate cap in reference runtime.</w:t>
            </w:r>
          </w:p>
        </w:tc>
      </w:tr>
      <w:tr>
        <w:tc>
          <w:tcPr>
            <w:tcW w:type="dxa" w:w="3168"/>
            <w:vAlign w:val="top"/>
            <w:tcMar>
              <w:top w:w="55" w:type="dxa"/>
              <w:start w:w="80" w:type="dxa"/>
              <w:bottom w:w="55" w:type="dxa"/>
              <w:end w:w="80" w:type="dxa"/>
            </w:tcMar>
          </w:tcPr>
          <w:p>
            <w:pPr>
              <w:spacing w:after="0"/>
            </w:pPr>
            <w:r>
              <w:rPr>
                <w:rFonts w:ascii="Arial" w:hAnsi="Arial"/>
                <w:color w:val="1F2937"/>
                <w:sz w:val="14"/>
              </w:rPr>
              <w:t>scr_candidate_top_k</w:t>
            </w:r>
          </w:p>
        </w:tc>
        <w:tc>
          <w:tcPr>
            <w:tcW w:type="dxa" w:w="1152"/>
            <w:vAlign w:val="top"/>
            <w:tcMar>
              <w:top w:w="55" w:type="dxa"/>
              <w:start w:w="80" w:type="dxa"/>
              <w:bottom w:w="55" w:type="dxa"/>
              <w:end w:w="80" w:type="dxa"/>
            </w:tcMar>
          </w:tcPr>
          <w:p>
            <w:pPr>
              <w:spacing w:after="0"/>
            </w:pPr>
            <w:r>
              <w:rPr>
                <w:rFonts w:ascii="Arial" w:hAnsi="Arial"/>
                <w:color w:val="1F2937"/>
                <w:sz w:val="14"/>
              </w:rPr>
              <w:t>5</w:t>
            </w:r>
          </w:p>
        </w:tc>
        <w:tc>
          <w:tcPr>
            <w:tcW w:type="dxa" w:w="5760"/>
            <w:vAlign w:val="top"/>
            <w:tcMar>
              <w:top w:w="55" w:type="dxa"/>
              <w:start w:w="80" w:type="dxa"/>
              <w:bottom w:w="55" w:type="dxa"/>
              <w:end w:w="80" w:type="dxa"/>
            </w:tcMar>
          </w:tcPr>
          <w:p>
            <w:pPr>
              <w:spacing w:after="0"/>
            </w:pPr>
            <w:r>
              <w:rPr>
                <w:rFonts w:ascii="Arial" w:hAnsi="Arial"/>
                <w:color w:val="1F2937"/>
                <w:sz w:val="14"/>
              </w:rPr>
              <w:t>Trace/candidate presentation depth in reference runtime.</w:t>
            </w:r>
          </w:p>
        </w:tc>
      </w:tr>
      <w:tr>
        <w:tc>
          <w:tcPr>
            <w:tcW w:type="dxa" w:w="3168"/>
            <w:shd w:fill="F8FAFC"/>
            <w:vAlign w:val="top"/>
            <w:tcMar>
              <w:top w:w="55" w:type="dxa"/>
              <w:start w:w="80" w:type="dxa"/>
              <w:bottom w:w="55" w:type="dxa"/>
              <w:end w:w="80" w:type="dxa"/>
            </w:tcMar>
          </w:tcPr>
          <w:p>
            <w:pPr>
              <w:spacing w:after="0"/>
            </w:pPr>
            <w:r>
              <w:rPr>
                <w:rFonts w:ascii="Arial" w:hAnsi="Arial"/>
                <w:color w:val="1F2937"/>
                <w:sz w:val="14"/>
              </w:rPr>
              <w:t>context_top_k</w:t>
            </w:r>
          </w:p>
        </w:tc>
        <w:tc>
          <w:tcPr>
            <w:tcW w:type="dxa" w:w="1152"/>
            <w:shd w:fill="F8FAFC"/>
            <w:vAlign w:val="top"/>
            <w:tcMar>
              <w:top w:w="55" w:type="dxa"/>
              <w:start w:w="80" w:type="dxa"/>
              <w:bottom w:w="55" w:type="dxa"/>
              <w:end w:w="80" w:type="dxa"/>
            </w:tcMar>
          </w:tcPr>
          <w:p>
            <w:pPr>
              <w:spacing w:after="0"/>
            </w:pPr>
            <w:r>
              <w:rPr>
                <w:rFonts w:ascii="Arial" w:hAnsi="Arial"/>
                <w:color w:val="1F2937"/>
                <w:sz w:val="14"/>
              </w:rPr>
              <w:t>5</w:t>
            </w:r>
          </w:p>
        </w:tc>
        <w:tc>
          <w:tcPr>
            <w:tcW w:type="dxa" w:w="5760"/>
            <w:shd w:fill="F8FAFC"/>
            <w:vAlign w:val="top"/>
            <w:tcMar>
              <w:top w:w="55" w:type="dxa"/>
              <w:start w:w="80" w:type="dxa"/>
              <w:bottom w:w="55" w:type="dxa"/>
              <w:end w:w="80" w:type="dxa"/>
            </w:tcMar>
          </w:tcPr>
          <w:p>
            <w:pPr>
              <w:spacing w:after="0"/>
            </w:pPr>
            <w:r>
              <w:rPr>
                <w:rFonts w:ascii="Arial" w:hAnsi="Arial"/>
                <w:color w:val="1F2937"/>
                <w:sz w:val="14"/>
              </w:rPr>
              <w:t>Internal ranked context depth; not the educator-facing 0–2 display cap.</w:t>
            </w:r>
          </w:p>
        </w:tc>
      </w:tr>
      <w:tr>
        <w:tc>
          <w:tcPr>
            <w:tcW w:type="dxa" w:w="3168"/>
            <w:vAlign w:val="top"/>
            <w:tcMar>
              <w:top w:w="55" w:type="dxa"/>
              <w:start w:w="80" w:type="dxa"/>
              <w:bottom w:w="55" w:type="dxa"/>
              <w:end w:w="80" w:type="dxa"/>
            </w:tcMar>
          </w:tcPr>
          <w:p>
            <w:pPr>
              <w:spacing w:after="0"/>
            </w:pPr>
            <w:r>
              <w:rPr>
                <w:rFonts w:ascii="Arial" w:hAnsi="Arial"/>
                <w:color w:val="1F2937"/>
                <w:sz w:val="14"/>
              </w:rPr>
              <w:t>strong_context_threshold</w:t>
            </w:r>
          </w:p>
        </w:tc>
        <w:tc>
          <w:tcPr>
            <w:tcW w:type="dxa" w:w="1152"/>
            <w:vAlign w:val="top"/>
            <w:tcMar>
              <w:top w:w="55" w:type="dxa"/>
              <w:start w:w="80" w:type="dxa"/>
              <w:bottom w:w="55" w:type="dxa"/>
              <w:end w:w="80" w:type="dxa"/>
            </w:tcMar>
          </w:tcPr>
          <w:p>
            <w:pPr>
              <w:spacing w:after="0"/>
            </w:pPr>
            <w:r>
              <w:rPr>
                <w:rFonts w:ascii="Arial" w:hAnsi="Arial"/>
                <w:color w:val="1F2937"/>
                <w:sz w:val="14"/>
              </w:rPr>
              <w:t>0.62</w:t>
            </w:r>
          </w:p>
        </w:tc>
        <w:tc>
          <w:tcPr>
            <w:tcW w:type="dxa" w:w="5760"/>
            <w:vAlign w:val="top"/>
            <w:tcMar>
              <w:top w:w="55" w:type="dxa"/>
              <w:start w:w="80" w:type="dxa"/>
              <w:bottom w:w="55" w:type="dxa"/>
              <w:end w:w="80" w:type="dxa"/>
            </w:tcMar>
          </w:tcPr>
          <w:p>
            <w:pPr>
              <w:spacing w:after="0"/>
            </w:pPr>
            <w:r>
              <w:rPr>
                <w:rFonts w:ascii="Arial" w:hAnsi="Arial"/>
                <w:color w:val="1F2937"/>
                <w:sz w:val="14"/>
              </w:rPr>
              <w:t>Strong curated-context evidence threshold.</w:t>
            </w:r>
          </w:p>
        </w:tc>
      </w:tr>
      <w:tr>
        <w:tc>
          <w:tcPr>
            <w:tcW w:type="dxa" w:w="3168"/>
            <w:shd w:fill="F8FAFC"/>
            <w:vAlign w:val="top"/>
            <w:tcMar>
              <w:top w:w="55" w:type="dxa"/>
              <w:start w:w="80" w:type="dxa"/>
              <w:bottom w:w="55" w:type="dxa"/>
              <w:end w:w="80" w:type="dxa"/>
            </w:tcMar>
          </w:tcPr>
          <w:p>
            <w:pPr>
              <w:spacing w:after="0"/>
            </w:pPr>
            <w:r>
              <w:rPr>
                <w:rFonts w:ascii="Arial" w:hAnsi="Arial"/>
                <w:color w:val="1F2937"/>
                <w:sz w:val="14"/>
              </w:rPr>
              <w:t>moderate_context_threshold</w:t>
            </w:r>
          </w:p>
        </w:tc>
        <w:tc>
          <w:tcPr>
            <w:tcW w:type="dxa" w:w="1152"/>
            <w:shd w:fill="F8FAFC"/>
            <w:vAlign w:val="top"/>
            <w:tcMar>
              <w:top w:w="55" w:type="dxa"/>
              <w:start w:w="80" w:type="dxa"/>
              <w:bottom w:w="55" w:type="dxa"/>
              <w:end w:w="80" w:type="dxa"/>
            </w:tcMar>
          </w:tcPr>
          <w:p>
            <w:pPr>
              <w:spacing w:after="0"/>
            </w:pPr>
            <w:r>
              <w:rPr>
                <w:rFonts w:ascii="Arial" w:hAnsi="Arial"/>
                <w:color w:val="1F2937"/>
                <w:sz w:val="14"/>
              </w:rPr>
              <w:t>0.44</w:t>
            </w:r>
          </w:p>
        </w:tc>
        <w:tc>
          <w:tcPr>
            <w:tcW w:type="dxa" w:w="5760"/>
            <w:shd w:fill="F8FAFC"/>
            <w:vAlign w:val="top"/>
            <w:tcMar>
              <w:top w:w="55" w:type="dxa"/>
              <w:start w:w="80" w:type="dxa"/>
              <w:bottom w:w="55" w:type="dxa"/>
              <w:end w:w="80" w:type="dxa"/>
            </w:tcMar>
          </w:tcPr>
          <w:p>
            <w:pPr>
              <w:spacing w:after="0"/>
            </w:pPr>
            <w:r>
              <w:rPr>
                <w:rFonts w:ascii="Arial" w:hAnsi="Arial"/>
                <w:color w:val="1F2937"/>
                <w:sz w:val="14"/>
              </w:rPr>
              <w:t>Reference configuration soft context threshold; does not override eligibility.</w:t>
            </w:r>
          </w:p>
        </w:tc>
      </w:tr>
      <w:tr>
        <w:tc>
          <w:tcPr>
            <w:tcW w:type="dxa" w:w="3168"/>
            <w:vAlign w:val="top"/>
            <w:tcMar>
              <w:top w:w="55" w:type="dxa"/>
              <w:start w:w="80" w:type="dxa"/>
              <w:bottom w:w="55" w:type="dxa"/>
              <w:end w:w="80" w:type="dxa"/>
            </w:tcMar>
          </w:tcPr>
          <w:p>
            <w:pPr>
              <w:spacing w:after="0"/>
            </w:pPr>
            <w:r>
              <w:rPr>
                <w:rFonts w:ascii="Arial" w:hAnsi="Arial"/>
                <w:color w:val="1F2937"/>
                <w:sz w:val="14"/>
              </w:rPr>
              <w:t>min_context_supported_mechanism_score</w:t>
            </w:r>
          </w:p>
        </w:tc>
        <w:tc>
          <w:tcPr>
            <w:tcW w:type="dxa" w:w="1152"/>
            <w:vAlign w:val="top"/>
            <w:tcMar>
              <w:top w:w="55" w:type="dxa"/>
              <w:start w:w="80" w:type="dxa"/>
              <w:bottom w:w="55" w:type="dxa"/>
              <w:end w:w="80" w:type="dxa"/>
            </w:tcMar>
          </w:tcPr>
          <w:p>
            <w:pPr>
              <w:spacing w:after="0"/>
            </w:pPr>
            <w:r>
              <w:rPr>
                <w:rFonts w:ascii="Arial" w:hAnsi="Arial"/>
                <w:color w:val="1F2937"/>
                <w:sz w:val="14"/>
              </w:rPr>
              <w:t>0.22</w:t>
            </w:r>
          </w:p>
        </w:tc>
        <w:tc>
          <w:tcPr>
            <w:tcW w:type="dxa" w:w="5760"/>
            <w:vAlign w:val="top"/>
            <w:tcMar>
              <w:top w:w="55" w:type="dxa"/>
              <w:start w:w="80" w:type="dxa"/>
              <w:bottom w:w="55" w:type="dxa"/>
              <w:end w:w="80" w:type="dxa"/>
            </w:tcMar>
          </w:tcPr>
          <w:p>
            <w:pPr>
              <w:spacing w:after="0"/>
            </w:pPr>
            <w:r>
              <w:rPr>
                <w:rFonts w:ascii="Arial" w:hAnsi="Arial"/>
                <w:color w:val="1F2937"/>
                <w:sz w:val="14"/>
              </w:rPr>
              <w:t>Minimum mechanism support for strong-context evidence tier.</w:t>
            </w:r>
          </w:p>
        </w:tc>
      </w:tr>
      <w:tr>
        <w:tc>
          <w:tcPr>
            <w:tcW w:type="dxa" w:w="3168"/>
            <w:shd w:fill="F8FAFC"/>
            <w:vAlign w:val="top"/>
            <w:tcMar>
              <w:top w:w="55" w:type="dxa"/>
              <w:start w:w="80" w:type="dxa"/>
              <w:bottom w:w="55" w:type="dxa"/>
              <w:end w:w="80" w:type="dxa"/>
            </w:tcMar>
          </w:tcPr>
          <w:p>
            <w:pPr>
              <w:spacing w:after="0"/>
            </w:pPr>
            <w:r>
              <w:rPr>
                <w:rFonts w:ascii="Arial" w:hAnsi="Arial"/>
                <w:color w:val="1F2937"/>
                <w:sz w:val="14"/>
              </w:rPr>
              <w:t>mechanism_weight</w:t>
            </w:r>
          </w:p>
        </w:tc>
        <w:tc>
          <w:tcPr>
            <w:tcW w:type="dxa" w:w="1152"/>
            <w:shd w:fill="F8FAFC"/>
            <w:vAlign w:val="top"/>
            <w:tcMar>
              <w:top w:w="55" w:type="dxa"/>
              <w:start w:w="80" w:type="dxa"/>
              <w:bottom w:w="55" w:type="dxa"/>
              <w:end w:w="80" w:type="dxa"/>
            </w:tcMar>
          </w:tcPr>
          <w:p>
            <w:pPr>
              <w:spacing w:after="0"/>
            </w:pPr>
            <w:r>
              <w:rPr>
                <w:rFonts w:ascii="Arial" w:hAnsi="Arial"/>
                <w:color w:val="1F2937"/>
                <w:sz w:val="14"/>
              </w:rPr>
              <w:t>0.55</w:t>
            </w:r>
          </w:p>
        </w:tc>
        <w:tc>
          <w:tcPr>
            <w:tcW w:type="dxa" w:w="5760"/>
            <w:shd w:fill="F8FAFC"/>
            <w:vAlign w:val="top"/>
            <w:tcMar>
              <w:top w:w="55" w:type="dxa"/>
              <w:start w:w="80" w:type="dxa"/>
              <w:bottom w:w="55" w:type="dxa"/>
              <w:end w:w="80" w:type="dxa"/>
            </w:tcMar>
          </w:tcPr>
          <w:p>
            <w:pPr>
              <w:spacing w:after="0"/>
            </w:pPr>
            <w:r>
              <w:rPr>
                <w:rFonts w:ascii="Arial" w:hAnsi="Arial"/>
                <w:color w:val="1F2937"/>
                <w:sz w:val="14"/>
              </w:rPr>
              <w:t>Primary weighted-score component.</w:t>
            </w:r>
          </w:p>
        </w:tc>
      </w:tr>
      <w:tr>
        <w:tc>
          <w:tcPr>
            <w:tcW w:type="dxa" w:w="3168"/>
            <w:vAlign w:val="top"/>
            <w:tcMar>
              <w:top w:w="55" w:type="dxa"/>
              <w:start w:w="80" w:type="dxa"/>
              <w:bottom w:w="55" w:type="dxa"/>
              <w:end w:w="80" w:type="dxa"/>
            </w:tcMar>
          </w:tcPr>
          <w:p>
            <w:pPr>
              <w:spacing w:after="0"/>
            </w:pPr>
            <w:r>
              <w:rPr>
                <w:rFonts w:ascii="Arial" w:hAnsi="Arial"/>
                <w:color w:val="1F2937"/>
                <w:sz w:val="14"/>
              </w:rPr>
              <w:t>full_profile_weight</w:t>
            </w:r>
          </w:p>
        </w:tc>
        <w:tc>
          <w:tcPr>
            <w:tcW w:type="dxa" w:w="1152"/>
            <w:vAlign w:val="top"/>
            <w:tcMar>
              <w:top w:w="55" w:type="dxa"/>
              <w:start w:w="80" w:type="dxa"/>
              <w:bottom w:w="55" w:type="dxa"/>
              <w:end w:w="80" w:type="dxa"/>
            </w:tcMar>
          </w:tcPr>
          <w:p>
            <w:pPr>
              <w:spacing w:after="0"/>
            </w:pPr>
            <w:r>
              <w:rPr>
                <w:rFonts w:ascii="Arial" w:hAnsi="Arial"/>
                <w:color w:val="1F2937"/>
                <w:sz w:val="14"/>
              </w:rPr>
              <w:t>0.35</w:t>
            </w:r>
          </w:p>
        </w:tc>
        <w:tc>
          <w:tcPr>
            <w:tcW w:type="dxa" w:w="5760"/>
            <w:vAlign w:val="top"/>
            <w:tcMar>
              <w:top w:w="55" w:type="dxa"/>
              <w:start w:w="80" w:type="dxa"/>
              <w:bottom w:w="55" w:type="dxa"/>
              <w:end w:w="80" w:type="dxa"/>
            </w:tcMar>
          </w:tcPr>
          <w:p>
            <w:pPr>
              <w:spacing w:after="0"/>
            </w:pPr>
            <w:r>
              <w:rPr>
                <w:rFonts w:ascii="Arial" w:hAnsi="Arial"/>
                <w:color w:val="1F2937"/>
                <w:sz w:val="14"/>
              </w:rPr>
              <w:t>Primary weighted-score component.</w:t>
            </w:r>
          </w:p>
        </w:tc>
      </w:tr>
      <w:tr>
        <w:tc>
          <w:tcPr>
            <w:tcW w:type="dxa" w:w="3168"/>
            <w:shd w:fill="F8FAFC"/>
            <w:vAlign w:val="top"/>
            <w:tcMar>
              <w:top w:w="55" w:type="dxa"/>
              <w:start w:w="80" w:type="dxa"/>
              <w:bottom w:w="55" w:type="dxa"/>
              <w:end w:w="80" w:type="dxa"/>
            </w:tcMar>
          </w:tcPr>
          <w:p>
            <w:pPr>
              <w:spacing w:after="0"/>
            </w:pPr>
            <w:r>
              <w:rPr>
                <w:rFonts w:ascii="Arial" w:hAnsi="Arial"/>
                <w:color w:val="1F2937"/>
                <w:sz w:val="14"/>
              </w:rPr>
              <w:t>context_evidence_weight</w:t>
            </w:r>
          </w:p>
        </w:tc>
        <w:tc>
          <w:tcPr>
            <w:tcW w:type="dxa" w:w="1152"/>
            <w:shd w:fill="F8FAFC"/>
            <w:vAlign w:val="top"/>
            <w:tcMar>
              <w:top w:w="55" w:type="dxa"/>
              <w:start w:w="80" w:type="dxa"/>
              <w:bottom w:w="55" w:type="dxa"/>
              <w:end w:w="80" w:type="dxa"/>
            </w:tcMar>
          </w:tcPr>
          <w:p>
            <w:pPr>
              <w:spacing w:after="0"/>
            </w:pPr>
            <w:r>
              <w:rPr>
                <w:rFonts w:ascii="Arial" w:hAnsi="Arial"/>
                <w:color w:val="1F2937"/>
                <w:sz w:val="14"/>
              </w:rPr>
              <w:t>0.10</w:t>
            </w:r>
          </w:p>
        </w:tc>
        <w:tc>
          <w:tcPr>
            <w:tcW w:type="dxa" w:w="5760"/>
            <w:shd w:fill="F8FAFC"/>
            <w:vAlign w:val="top"/>
            <w:tcMar>
              <w:top w:w="55" w:type="dxa"/>
              <w:start w:w="80" w:type="dxa"/>
              <w:bottom w:w="55" w:type="dxa"/>
              <w:end w:w="80" w:type="dxa"/>
            </w:tcMar>
          </w:tcPr>
          <w:p>
            <w:pPr>
              <w:spacing w:after="0"/>
            </w:pPr>
            <w:r>
              <w:rPr>
                <w:rFonts w:ascii="Arial" w:hAnsi="Arial"/>
                <w:color w:val="1F2937"/>
                <w:sz w:val="14"/>
              </w:rPr>
              <w:t>Primary weighted-score component.</w:t>
            </w:r>
          </w:p>
        </w:tc>
      </w:tr>
    </w:tbl>
    <w:p/>
    <w:p>
      <w:pPr>
        <w:spacing w:after="120"/>
        <w:ind w:left="288" w:right="144"/>
        <w:shd w:fill="F8FAFC"/>
      </w:pPr>
      <w:r>
        <w:rPr>
          <w:rFonts w:ascii="Courier New" w:hAnsi="Courier New"/>
          <w:color w:val="1F2937"/>
          <w:sz w:val="16"/>
        </w:rPr>
        <w:t>weighted_score = 0.55 * mechanism_max</w:t>
        <w:br/>
        <w:t xml:space="preserve">               + 0.35 * full_profile_similarity</w:t>
        <w:br/>
        <w:t xml:space="preserve">               + 0.10 * context_evidence_score</w:t>
        <w:br/>
        <w:br/>
        <w:t>ranking key (descending):</w:t>
        <w:br/>
        <w:t xml:space="preserve">  evidence_tier → weighted_score → mechanism_max → context_score → full_profile_score</w:t>
      </w:r>
    </w:p>
    <w:p>
      <w:pPr>
        <w:spacing w:after="100"/>
      </w:pPr>
      <w:r>
        <w:rPr>
          <w:rFonts w:ascii="Arial" w:hAnsi="Arial"/>
          <w:color w:val="1F2937"/>
          <w:sz w:val="20"/>
        </w:rPr>
        <w:t>Strong context receives evidence_tier = 2 only when context_score ≥ 0.62 and mechanism_max ≥ 0.22; otherwise the reference entry receives tier 0. Deprecated SCR aliases are redirected to active merged targets and collapsed to the strongest evidence representation. These numeric values are parity configuration, not UI constants.</w:t>
      </w:r>
    </w:p>
    <w:p>
      <w:pPr>
        <w:spacing w:after="60"/>
        <w:jc w:val="center"/>
      </w:pPr>
      <w:r>
        <w:drawing>
          <wp:inline xmlns:a="http://schemas.openxmlformats.org/drawingml/2006/main" xmlns:pic="http://schemas.openxmlformats.org/drawingml/2006/picture">
            <wp:extent cx="5989320" cy="3096519"/>
            <wp:docPr id="5" name="Picture 5" descr="Flow diagram showing unchanged primary Top-1, strong-context and facet-local secondary paths, independent evidence requirement, negation veto and total promoted-set cap." title="Figure 5. ALG-08/ALG-09 Design-8a secondary promotion and explicit-negation veto"/>
            <wp:cNvGraphicFramePr>
              <a:graphicFrameLocks noChangeAspect="1"/>
            </wp:cNvGraphicFramePr>
            <a:graphic>
              <a:graphicData uri="http://schemas.openxmlformats.org/drawingml/2006/picture">
                <pic:pic>
                  <pic:nvPicPr>
                    <pic:cNvPr id="0" name="seq07_fig5_promotion_veto.png"/>
                    <pic:cNvPicPr/>
                  </pic:nvPicPr>
                  <pic:blipFill>
                    <a:blip r:embed="rId21"/>
                    <a:stretch>
                      <a:fillRect/>
                    </a:stretch>
                  </pic:blipFill>
                  <pic:spPr>
                    <a:xfrm>
                      <a:off x="0" y="0"/>
                      <a:ext cx="5989320" cy="3096519"/>
                    </a:xfrm>
                    <a:prstGeom prst="rect"/>
                  </pic:spPr>
                </pic:pic>
              </a:graphicData>
            </a:graphic>
          </wp:inline>
        </w:drawing>
      </w:r>
    </w:p>
    <w:p>
      <w:pPr>
        <w:pStyle w:val="Caption"/>
        <w:spacing w:after="140"/>
        <w:jc w:val="center"/>
      </w:pPr>
      <w:r>
        <w:t>Figure 5. ALG-08/ALG-09 Design-8a secondary promotion and explicit-negation veto</w:t>
      </w:r>
    </w:p>
    <w:p>
      <w:pPr>
        <w:pStyle w:val="Heading1"/>
        <w:keepNext/>
      </w:pPr>
      <w:r>
        <w:t>9. ALG-08/ALG-09 — Secondary promotion and explicit-negation veto</w:t>
      </w:r>
    </w:p>
    <w:p>
      <w:pPr>
        <w:pStyle w:val="Heading2"/>
        <w:keepNext/>
      </w:pPr>
      <w:r>
        <w:t>9.1 Frozen Design-8a principles</w:t>
      </w:r>
    </w:p>
    <w:p>
      <w:pPr>
        <w:pStyle w:val="ListBullet"/>
        <w:spacing w:after="40"/>
      </w:pPr>
      <w:r>
        <w:t>Primary Top-1 is always the first promoted SCR and its ranking is unchanged by secondary logic.</w:t>
      </w:r>
    </w:p>
    <w:p>
      <w:pPr>
        <w:pStyle w:val="ListBullet"/>
        <w:spacing w:after="40"/>
      </w:pPr>
      <w:r>
        <w:t>The primary claims its strongest positive promotion facet and may claim additional facets when its own canonical evidence specifically explains them and no alternative has a materially stronger case.</w:t>
      </w:r>
    </w:p>
    <w:p>
      <w:pPr>
        <w:pStyle w:val="ListBullet"/>
        <w:spacing w:after="40"/>
      </w:pPr>
      <w:r>
        <w:t>Path A preserves validated strong-context secondary promotion.</w:t>
      </w:r>
    </w:p>
    <w:p>
      <w:pPr>
        <w:pStyle w:val="ListBullet"/>
        <w:spacing w:after="40"/>
      </w:pPr>
      <w:r>
        <w:t>Path B searches locally within unclaimed positive mechanism facets so a narrow valid secondary need not be globally Top-N.</w:t>
      </w:r>
    </w:p>
    <w:p>
      <w:pPr>
        <w:pStyle w:val="ListBullet"/>
        <w:spacing w:after="40"/>
      </w:pPr>
      <w:r>
        <w:t>Generic lexical overlap alone is insufficient; candidate needs facet-specific semantic support plus specificity-aware canonical evidence or strong curated-context support.</w:t>
      </w:r>
    </w:p>
    <w:p>
      <w:pPr>
        <w:pStyle w:val="ListBullet"/>
        <w:spacing w:after="40"/>
      </w:pPr>
      <w:r>
        <w:t>Any candidate matching an explicit-negative/exclusion facet under the veto rule is excluded from secondary promotion.</w:t>
      </w:r>
    </w:p>
    <w:p>
      <w:pPr>
        <w:pStyle w:val="ListBullet"/>
        <w:spacing w:after="40"/>
      </w:pPr>
      <w:r>
        <w:t>Total promoted set is capped at promotion_max = 3, i.e. primary plus at most two secondaries.</w:t>
      </w:r>
    </w:p>
    <w:p>
      <w:pPr>
        <w:pStyle w:val="Heading2"/>
        <w:keepNext/>
      </w:pPr>
      <w:r>
        <w:t>9.2 Frozen promotion/veto parameter set</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5184"/>
            <w:shd w:fill="2F5D8C"/>
            <w:vAlign w:val="center"/>
            <w:tcMar>
              <w:top w:w="55" w:type="dxa"/>
              <w:start w:w="80" w:type="dxa"/>
              <w:bottom w:w="55" w:type="dxa"/>
              <w:end w:w="80" w:type="dxa"/>
            </w:tcMar>
          </w:tcPr>
          <w:p>
            <w:pPr>
              <w:jc w:val="center"/>
            </w:pPr>
            <w:r>
              <w:rPr>
                <w:rFonts w:ascii="Arial" w:hAnsi="Arial"/>
                <w:b/>
                <w:color w:val="FFFFFF"/>
                <w:sz w:val="14"/>
              </w:rPr>
              <w:t>Parameter</w:t>
            </w:r>
          </w:p>
        </w:tc>
        <w:tc>
          <w:tcPr>
            <w:tcW w:type="dxa" w:w="1728"/>
            <w:shd w:fill="2F5D8C"/>
            <w:vAlign w:val="center"/>
            <w:tcMar>
              <w:top w:w="55" w:type="dxa"/>
              <w:start w:w="80" w:type="dxa"/>
              <w:bottom w:w="55" w:type="dxa"/>
              <w:end w:w="80" w:type="dxa"/>
            </w:tcMar>
          </w:tcPr>
          <w:p>
            <w:pPr>
              <w:jc w:val="center"/>
            </w:pPr>
            <w:r>
              <w:rPr>
                <w:rFonts w:ascii="Arial" w:hAnsi="Arial"/>
                <w:b/>
                <w:color w:val="FFFFFF"/>
                <w:sz w:val="14"/>
              </w:rPr>
              <w:t>Value</w:t>
            </w:r>
          </w:p>
        </w:tc>
      </w:tr>
      <w:tr>
        <w:tc>
          <w:tcPr>
            <w:tcW w:type="dxa" w:w="5184"/>
            <w:vAlign w:val="top"/>
            <w:tcMar>
              <w:top w:w="55" w:type="dxa"/>
              <w:start w:w="80" w:type="dxa"/>
              <w:bottom w:w="55" w:type="dxa"/>
              <w:end w:w="80" w:type="dxa"/>
            </w:tcMar>
          </w:tcPr>
          <w:p>
            <w:pPr>
              <w:spacing w:after="0"/>
            </w:pPr>
            <w:r>
              <w:rPr>
                <w:rFonts w:ascii="Arial" w:hAnsi="Arial"/>
                <w:color w:val="1F2937"/>
                <w:sz w:val="14"/>
              </w:rPr>
              <w:t>promotion_min_evidence_tier</w:t>
            </w:r>
          </w:p>
        </w:tc>
        <w:tc>
          <w:tcPr>
            <w:tcW w:type="dxa" w:w="1728"/>
            <w:vAlign w:val="top"/>
            <w:tcMar>
              <w:top w:w="55" w:type="dxa"/>
              <w:start w:w="80" w:type="dxa"/>
              <w:bottom w:w="55" w:type="dxa"/>
              <w:end w:w="80" w:type="dxa"/>
            </w:tcMar>
          </w:tcPr>
          <w:p>
            <w:pPr>
              <w:spacing w:after="0"/>
            </w:pPr>
            <w:r>
              <w:rPr>
                <w:rFonts w:ascii="Arial" w:hAnsi="Arial"/>
                <w:color w:val="1F2937"/>
                <w:sz w:val="14"/>
              </w:rPr>
              <w:t>2</w:t>
            </w:r>
          </w:p>
        </w:tc>
      </w:tr>
      <w:tr>
        <w:tc>
          <w:tcPr>
            <w:tcW w:type="dxa" w:w="5184"/>
            <w:shd w:fill="F8FAFC"/>
            <w:vAlign w:val="top"/>
            <w:tcMar>
              <w:top w:w="55" w:type="dxa"/>
              <w:start w:w="80" w:type="dxa"/>
              <w:bottom w:w="55" w:type="dxa"/>
              <w:end w:w="80" w:type="dxa"/>
            </w:tcMar>
          </w:tcPr>
          <w:p>
            <w:pPr>
              <w:spacing w:after="0"/>
            </w:pPr>
            <w:r>
              <w:rPr>
                <w:rFonts w:ascii="Arial" w:hAnsi="Arial"/>
                <w:color w:val="1F2937"/>
                <w:sz w:val="14"/>
              </w:rPr>
              <w:t>promotion_score_margin</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0.16</w:t>
            </w:r>
          </w:p>
        </w:tc>
      </w:tr>
      <w:tr>
        <w:tc>
          <w:tcPr>
            <w:tcW w:type="dxa" w:w="5184"/>
            <w:vAlign w:val="top"/>
            <w:tcMar>
              <w:top w:w="55" w:type="dxa"/>
              <w:start w:w="80" w:type="dxa"/>
              <w:bottom w:w="55" w:type="dxa"/>
              <w:end w:w="80" w:type="dxa"/>
            </w:tcMar>
          </w:tcPr>
          <w:p>
            <w:pPr>
              <w:spacing w:after="0"/>
            </w:pPr>
            <w:r>
              <w:rPr>
                <w:rFonts w:ascii="Arial" w:hAnsi="Arial"/>
                <w:color w:val="1F2937"/>
                <w:sz w:val="14"/>
              </w:rPr>
              <w:t>promotion_max</w:t>
            </w:r>
          </w:p>
        </w:tc>
        <w:tc>
          <w:tcPr>
            <w:tcW w:type="dxa" w:w="1728"/>
            <w:vAlign w:val="top"/>
            <w:tcMar>
              <w:top w:w="55" w:type="dxa"/>
              <w:start w:w="80" w:type="dxa"/>
              <w:bottom w:w="55" w:type="dxa"/>
              <w:end w:w="80" w:type="dxa"/>
            </w:tcMar>
          </w:tcPr>
          <w:p>
            <w:pPr>
              <w:spacing w:after="0"/>
            </w:pPr>
            <w:r>
              <w:rPr>
                <w:rFonts w:ascii="Arial" w:hAnsi="Arial"/>
                <w:color w:val="1F2937"/>
                <w:sz w:val="14"/>
              </w:rPr>
              <w:t>3</w:t>
            </w:r>
          </w:p>
        </w:tc>
      </w:tr>
      <w:tr>
        <w:tc>
          <w:tcPr>
            <w:tcW w:type="dxa" w:w="5184"/>
            <w:shd w:fill="F8FAFC"/>
            <w:vAlign w:val="top"/>
            <w:tcMar>
              <w:top w:w="55" w:type="dxa"/>
              <w:start w:w="80" w:type="dxa"/>
              <w:bottom w:w="55" w:type="dxa"/>
              <w:end w:w="80" w:type="dxa"/>
            </w:tcMar>
          </w:tcPr>
          <w:p>
            <w:pPr>
              <w:spacing w:after="0"/>
            </w:pPr>
            <w:r>
              <w:rPr>
                <w:rFonts w:ascii="Arial" w:hAnsi="Arial"/>
                <w:color w:val="1F2937"/>
                <w:sz w:val="14"/>
              </w:rPr>
              <w:t>promotion_candidate_pool</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10</w:t>
            </w:r>
          </w:p>
        </w:tc>
      </w:tr>
      <w:tr>
        <w:tc>
          <w:tcPr>
            <w:tcW w:type="dxa" w:w="5184"/>
            <w:vAlign w:val="top"/>
            <w:tcMar>
              <w:top w:w="55" w:type="dxa"/>
              <w:start w:w="80" w:type="dxa"/>
              <w:bottom w:w="55" w:type="dxa"/>
              <w:end w:w="80" w:type="dxa"/>
            </w:tcMar>
          </w:tcPr>
          <w:p>
            <w:pPr>
              <w:spacing w:after="0"/>
            </w:pPr>
            <w:r>
              <w:rPr>
                <w:rFonts w:ascii="Arial" w:hAnsi="Arial"/>
                <w:color w:val="1F2937"/>
                <w:sz w:val="14"/>
              </w:rPr>
              <w:t>promotion_facet_local_top_k</w:t>
            </w:r>
          </w:p>
        </w:tc>
        <w:tc>
          <w:tcPr>
            <w:tcW w:type="dxa" w:w="1728"/>
            <w:vAlign w:val="top"/>
            <w:tcMar>
              <w:top w:w="55" w:type="dxa"/>
              <w:start w:w="80" w:type="dxa"/>
              <w:bottom w:w="55" w:type="dxa"/>
              <w:end w:w="80" w:type="dxa"/>
            </w:tcMar>
          </w:tcPr>
          <w:p>
            <w:pPr>
              <w:spacing w:after="0"/>
            </w:pPr>
            <w:r>
              <w:rPr>
                <w:rFonts w:ascii="Arial" w:hAnsi="Arial"/>
                <w:color w:val="1F2937"/>
                <w:sz w:val="14"/>
              </w:rPr>
              <w:t>12</w:t>
            </w:r>
          </w:p>
        </w:tc>
      </w:tr>
      <w:tr>
        <w:tc>
          <w:tcPr>
            <w:tcW w:type="dxa" w:w="5184"/>
            <w:shd w:fill="F8FAFC"/>
            <w:vAlign w:val="top"/>
            <w:tcMar>
              <w:top w:w="55" w:type="dxa"/>
              <w:start w:w="80" w:type="dxa"/>
              <w:bottom w:w="55" w:type="dxa"/>
              <w:end w:w="80" w:type="dxa"/>
            </w:tcMar>
          </w:tcPr>
          <w:p>
            <w:pPr>
              <w:spacing w:after="0"/>
            </w:pPr>
            <w:r>
              <w:rPr>
                <w:rFonts w:ascii="Arial" w:hAnsi="Arial"/>
                <w:color w:val="1F2937"/>
                <w:sz w:val="14"/>
              </w:rPr>
              <w:t>promotion_independent_min_facet_score</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0.26</w:t>
            </w:r>
          </w:p>
        </w:tc>
      </w:tr>
      <w:tr>
        <w:tc>
          <w:tcPr>
            <w:tcW w:type="dxa" w:w="5184"/>
            <w:vAlign w:val="top"/>
            <w:tcMar>
              <w:top w:w="55" w:type="dxa"/>
              <w:start w:w="80" w:type="dxa"/>
              <w:bottom w:w="55" w:type="dxa"/>
              <w:end w:w="80" w:type="dxa"/>
            </w:tcMar>
          </w:tcPr>
          <w:p>
            <w:pPr>
              <w:spacing w:after="0"/>
            </w:pPr>
            <w:r>
              <w:rPr>
                <w:rFonts w:ascii="Arial" w:hAnsi="Arial"/>
                <w:color w:val="1F2937"/>
                <w:sz w:val="14"/>
              </w:rPr>
              <w:t>promotion_independent_context_floor</w:t>
            </w:r>
          </w:p>
        </w:tc>
        <w:tc>
          <w:tcPr>
            <w:tcW w:type="dxa" w:w="1728"/>
            <w:vAlign w:val="top"/>
            <w:tcMar>
              <w:top w:w="55" w:type="dxa"/>
              <w:start w:w="80" w:type="dxa"/>
              <w:bottom w:w="55" w:type="dxa"/>
              <w:end w:w="80" w:type="dxa"/>
            </w:tcMar>
          </w:tcPr>
          <w:p>
            <w:pPr>
              <w:spacing w:after="0"/>
            </w:pPr>
            <w:r>
              <w:rPr>
                <w:rFonts w:ascii="Arial" w:hAnsi="Arial"/>
                <w:color w:val="1F2937"/>
                <w:sz w:val="14"/>
              </w:rPr>
              <w:t>0.40</w:t>
            </w:r>
          </w:p>
        </w:tc>
      </w:tr>
      <w:tr>
        <w:tc>
          <w:tcPr>
            <w:tcW w:type="dxa" w:w="5184"/>
            <w:shd w:fill="F8FAFC"/>
            <w:vAlign w:val="top"/>
            <w:tcMar>
              <w:top w:w="55" w:type="dxa"/>
              <w:start w:w="80" w:type="dxa"/>
              <w:bottom w:w="55" w:type="dxa"/>
              <w:end w:w="80" w:type="dxa"/>
            </w:tcMar>
          </w:tcPr>
          <w:p>
            <w:pPr>
              <w:spacing w:after="0"/>
            </w:pPr>
            <w:r>
              <w:rPr>
                <w:rFonts w:ascii="Arial" w:hAnsi="Arial"/>
                <w:color w:val="1F2937"/>
                <w:sz w:val="14"/>
              </w:rPr>
              <w:t>promotion_specific_rare_df_ratio</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0.18</w:t>
            </w:r>
          </w:p>
        </w:tc>
      </w:tr>
      <w:tr>
        <w:tc>
          <w:tcPr>
            <w:tcW w:type="dxa" w:w="5184"/>
            <w:vAlign w:val="top"/>
            <w:tcMar>
              <w:top w:w="55" w:type="dxa"/>
              <w:start w:w="80" w:type="dxa"/>
              <w:bottom w:w="55" w:type="dxa"/>
              <w:end w:w="80" w:type="dxa"/>
            </w:tcMar>
          </w:tcPr>
          <w:p>
            <w:pPr>
              <w:spacing w:after="0"/>
            </w:pPr>
            <w:r>
              <w:rPr>
                <w:rFonts w:ascii="Arial" w:hAnsi="Arial"/>
                <w:color w:val="1F2937"/>
                <w:sz w:val="14"/>
              </w:rPr>
              <w:t>promotion_specific_min_idf_score</w:t>
            </w:r>
          </w:p>
        </w:tc>
        <w:tc>
          <w:tcPr>
            <w:tcW w:type="dxa" w:w="1728"/>
            <w:vAlign w:val="top"/>
            <w:tcMar>
              <w:top w:w="55" w:type="dxa"/>
              <w:start w:w="80" w:type="dxa"/>
              <w:bottom w:w="55" w:type="dxa"/>
              <w:end w:w="80" w:type="dxa"/>
            </w:tcMar>
          </w:tcPr>
          <w:p>
            <w:pPr>
              <w:spacing w:after="0"/>
            </w:pPr>
            <w:r>
              <w:rPr>
                <w:rFonts w:ascii="Arial" w:hAnsi="Arial"/>
                <w:color w:val="1F2937"/>
                <w:sz w:val="14"/>
              </w:rPr>
              <w:t>0.075</w:t>
            </w:r>
          </w:p>
        </w:tc>
      </w:tr>
      <w:tr>
        <w:tc>
          <w:tcPr>
            <w:tcW w:type="dxa" w:w="5184"/>
            <w:shd w:fill="F8FAFC"/>
            <w:vAlign w:val="top"/>
            <w:tcMar>
              <w:top w:w="55" w:type="dxa"/>
              <w:start w:w="80" w:type="dxa"/>
              <w:bottom w:w="55" w:type="dxa"/>
              <w:end w:w="80" w:type="dxa"/>
            </w:tcMar>
          </w:tcPr>
          <w:p>
            <w:pPr>
              <w:spacing w:after="0"/>
            </w:pPr>
            <w:r>
              <w:rPr>
                <w:rFonts w:ascii="Arial" w:hAnsi="Arial"/>
                <w:color w:val="1F2937"/>
                <w:sz w:val="14"/>
              </w:rPr>
              <w:t>promotion_independent_facet_advantage</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0.025</w:t>
            </w:r>
          </w:p>
        </w:tc>
      </w:tr>
      <w:tr>
        <w:tc>
          <w:tcPr>
            <w:tcW w:type="dxa" w:w="5184"/>
            <w:vAlign w:val="top"/>
            <w:tcMar>
              <w:top w:w="55" w:type="dxa"/>
              <w:start w:w="80" w:type="dxa"/>
              <w:bottom w:w="55" w:type="dxa"/>
              <w:end w:w="80" w:type="dxa"/>
            </w:tcMar>
          </w:tcPr>
          <w:p>
            <w:pPr>
              <w:spacing w:after="0"/>
            </w:pPr>
            <w:r>
              <w:rPr>
                <w:rFonts w:ascii="Arial" w:hAnsi="Arial"/>
                <w:color w:val="1F2937"/>
                <w:sz w:val="14"/>
              </w:rPr>
              <w:t>promotion_independent_facet_ratio_over_primary</w:t>
            </w:r>
          </w:p>
        </w:tc>
        <w:tc>
          <w:tcPr>
            <w:tcW w:type="dxa" w:w="1728"/>
            <w:vAlign w:val="top"/>
            <w:tcMar>
              <w:top w:w="55" w:type="dxa"/>
              <w:start w:w="80" w:type="dxa"/>
              <w:bottom w:w="55" w:type="dxa"/>
              <w:end w:w="80" w:type="dxa"/>
            </w:tcMar>
          </w:tcPr>
          <w:p>
            <w:pPr>
              <w:spacing w:after="0"/>
            </w:pPr>
            <w:r>
              <w:rPr>
                <w:rFonts w:ascii="Arial" w:hAnsi="Arial"/>
                <w:color w:val="1F2937"/>
                <w:sz w:val="14"/>
              </w:rPr>
              <w:t>1.08</w:t>
            </w:r>
          </w:p>
        </w:tc>
      </w:tr>
      <w:tr>
        <w:tc>
          <w:tcPr>
            <w:tcW w:type="dxa" w:w="5184"/>
            <w:shd w:fill="F8FAFC"/>
            <w:vAlign w:val="top"/>
            <w:tcMar>
              <w:top w:w="55" w:type="dxa"/>
              <w:start w:w="80" w:type="dxa"/>
              <w:bottom w:w="55" w:type="dxa"/>
              <w:end w:w="80" w:type="dxa"/>
            </w:tcMar>
          </w:tcPr>
          <w:p>
            <w:pPr>
              <w:spacing w:after="0"/>
            </w:pPr>
            <w:r>
              <w:rPr>
                <w:rFonts w:ascii="Arial" w:hAnsi="Arial"/>
                <w:color w:val="1F2937"/>
                <w:sz w:val="14"/>
              </w:rPr>
              <w:t>promotion_independent_weighted_ratio</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0.52</w:t>
            </w:r>
          </w:p>
        </w:tc>
      </w:tr>
      <w:tr>
        <w:tc>
          <w:tcPr>
            <w:tcW w:type="dxa" w:w="5184"/>
            <w:vAlign w:val="top"/>
            <w:tcMar>
              <w:top w:w="55" w:type="dxa"/>
              <w:start w:w="80" w:type="dxa"/>
              <w:bottom w:w="55" w:type="dxa"/>
              <w:end w:w="80" w:type="dxa"/>
            </w:tcMar>
          </w:tcPr>
          <w:p>
            <w:pPr>
              <w:spacing w:after="0"/>
            </w:pPr>
            <w:r>
              <w:rPr>
                <w:rFonts w:ascii="Arial" w:hAnsi="Arial"/>
                <w:color w:val="1F2937"/>
                <w:sz w:val="14"/>
              </w:rPr>
              <w:t>promotion_independent_score_margin</w:t>
            </w:r>
          </w:p>
        </w:tc>
        <w:tc>
          <w:tcPr>
            <w:tcW w:type="dxa" w:w="1728"/>
            <w:vAlign w:val="top"/>
            <w:tcMar>
              <w:top w:w="55" w:type="dxa"/>
              <w:start w:w="80" w:type="dxa"/>
              <w:bottom w:w="55" w:type="dxa"/>
              <w:end w:w="80" w:type="dxa"/>
            </w:tcMar>
          </w:tcPr>
          <w:p>
            <w:pPr>
              <w:spacing w:after="0"/>
            </w:pPr>
            <w:r>
              <w:rPr>
                <w:rFonts w:ascii="Arial" w:hAnsi="Arial"/>
                <w:color w:val="1F2937"/>
                <w:sz w:val="14"/>
              </w:rPr>
              <w:t>0.34</w:t>
            </w:r>
          </w:p>
        </w:tc>
      </w:tr>
      <w:tr>
        <w:tc>
          <w:tcPr>
            <w:tcW w:type="dxa" w:w="5184"/>
            <w:shd w:fill="F8FAFC"/>
            <w:vAlign w:val="top"/>
            <w:tcMar>
              <w:top w:w="55" w:type="dxa"/>
              <w:start w:w="80" w:type="dxa"/>
              <w:bottom w:w="55" w:type="dxa"/>
              <w:end w:w="80" w:type="dxa"/>
            </w:tcMar>
          </w:tcPr>
          <w:p>
            <w:pPr>
              <w:spacing w:after="0"/>
            </w:pPr>
            <w:r>
              <w:rPr>
                <w:rFonts w:ascii="Arial" w:hAnsi="Arial"/>
                <w:color w:val="1F2937"/>
                <w:sz w:val="14"/>
              </w:rPr>
              <w:t>negation_veto_min_semantic</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0.30</w:t>
            </w:r>
          </w:p>
        </w:tc>
      </w:tr>
      <w:tr>
        <w:tc>
          <w:tcPr>
            <w:tcW w:type="dxa" w:w="5184"/>
            <w:vAlign w:val="top"/>
            <w:tcMar>
              <w:top w:w="55" w:type="dxa"/>
              <w:start w:w="80" w:type="dxa"/>
              <w:bottom w:w="55" w:type="dxa"/>
              <w:end w:w="80" w:type="dxa"/>
            </w:tcMar>
          </w:tcPr>
          <w:p>
            <w:pPr>
              <w:spacing w:after="0"/>
            </w:pPr>
            <w:r>
              <w:rPr>
                <w:rFonts w:ascii="Arial" w:hAnsi="Arial"/>
                <w:color w:val="1F2937"/>
                <w:sz w:val="14"/>
              </w:rPr>
              <w:t>negation_veto_min_idf_score</w:t>
            </w:r>
          </w:p>
        </w:tc>
        <w:tc>
          <w:tcPr>
            <w:tcW w:type="dxa" w:w="1728"/>
            <w:vAlign w:val="top"/>
            <w:tcMar>
              <w:top w:w="55" w:type="dxa"/>
              <w:start w:w="80" w:type="dxa"/>
              <w:bottom w:w="55" w:type="dxa"/>
              <w:end w:w="80" w:type="dxa"/>
            </w:tcMar>
          </w:tcPr>
          <w:p>
            <w:pPr>
              <w:spacing w:after="0"/>
            </w:pPr>
            <w:r>
              <w:rPr>
                <w:rFonts w:ascii="Arial" w:hAnsi="Arial"/>
                <w:color w:val="1F2937"/>
                <w:sz w:val="14"/>
              </w:rPr>
              <w:t>0.10</w:t>
            </w:r>
          </w:p>
        </w:tc>
      </w:tr>
      <w:tr>
        <w:tc>
          <w:tcPr>
            <w:tcW w:type="dxa" w:w="5184"/>
            <w:shd w:fill="F8FAFC"/>
            <w:vAlign w:val="top"/>
            <w:tcMar>
              <w:top w:w="55" w:type="dxa"/>
              <w:start w:w="80" w:type="dxa"/>
              <w:bottom w:w="55" w:type="dxa"/>
              <w:end w:w="80" w:type="dxa"/>
            </w:tcMar>
          </w:tcPr>
          <w:p>
            <w:pPr>
              <w:spacing w:after="0"/>
            </w:pPr>
            <w:r>
              <w:rPr>
                <w:rFonts w:ascii="Arial" w:hAnsi="Arial"/>
                <w:color w:val="1F2937"/>
                <w:sz w:val="14"/>
              </w:rPr>
              <w:t>negation_veto_min_rare_matches</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1</w:t>
            </w:r>
          </w:p>
        </w:tc>
      </w:tr>
    </w:tbl>
    <w:p/>
    <w:p>
      <w:pPr>
        <w:pStyle w:val="Heading2"/>
        <w:keepNext/>
      </w:pPr>
      <w:r>
        <w:t>9.3 Path A — strong-context secondary</w:t>
      </w:r>
    </w:p>
    <w:p>
      <w:pPr>
        <w:spacing w:after="120"/>
        <w:ind w:left="288" w:right="144"/>
        <w:shd w:fill="F8FAFC"/>
      </w:pPr>
      <w:r>
        <w:rPr>
          <w:rFonts w:ascii="Courier New" w:hAnsi="Courier New"/>
          <w:color w:val="1F2937"/>
          <w:sz w:val="16"/>
        </w:rPr>
        <w:t>for candidate in ranked[1:promotion_candidate_pool]:</w:t>
        <w:br/>
        <w:t xml:space="preserve">    reject if negation_veto</w:t>
        <w:br/>
        <w:t xml:space="preserve">    promote when:</w:t>
        <w:br/>
        <w:t xml:space="preserve">      evidence_tier &gt;= 2</w:t>
        <w:br/>
        <w:t xml:space="preserve">      AND mechanism_max &gt;= min_context_supported_mechanism_score</w:t>
        <w:br/>
        <w:t xml:space="preserve">      AND top.weighted_score - candidate.weighted_score &lt;= 0.16</w:t>
      </w:r>
    </w:p>
    <w:p>
      <w:pPr>
        <w:pStyle w:val="Heading2"/>
        <w:keepNext/>
      </w:pPr>
      <w:r>
        <w:t>9.4 Path B — facet-local secondary</w:t>
      </w:r>
    </w:p>
    <w:p>
      <w:pPr>
        <w:spacing w:after="120"/>
        <w:ind w:left="288" w:right="144"/>
        <w:shd w:fill="F8FAFC"/>
      </w:pPr>
      <w:r>
        <w:rPr>
          <w:rFonts w:ascii="Courier New" w:hAnsi="Courier New"/>
          <w:color w:val="1F2937"/>
          <w:sz w:val="16"/>
        </w:rPr>
        <w:t>for each unclaimed positive facet:</w:t>
        <w:br/>
        <w:t xml:space="preserve">    build facet-local pool ordered by facet score / raw rank</w:t>
        <w:br/>
        <w:t xml:space="preserve">    require candidate facet score to be near its own strongest facet</w:t>
        <w:br/>
        <w:t xml:space="preserve">    require facet_score &gt;= 0.26</w:t>
        <w:br/>
        <w:t xml:space="preserve">    require weighted_score &gt;= 0.52 * primary.weighted_score</w:t>
        <w:br/>
        <w:t xml:space="preserve">    require primary.weighted_score - candidate.weighted_score &lt;= 0.34</w:t>
        <w:br/>
        <w:t xml:space="preserve">    require strong context support OR specificity-aware canonical lexical evidence</w:t>
        <w:br/>
        <w:t xml:space="preserve">    require material facet advantage over the primary</w:t>
        <w:br/>
        <w:t xml:space="preserve">    reject if explicit-negation veto fires</w:t>
        <w:br/>
        <w:t xml:space="preserve">    choose the strongest eligible candidate for the facet</w:t>
      </w:r>
    </w:p>
    <w:p>
      <w:pPr>
        <w:spacing w:after="100"/>
      </w:pPr>
      <w:r>
        <w:rPr>
          <w:rFonts w:ascii="Arial" w:hAnsi="Arial"/>
          <w:color w:val="1F2937"/>
          <w:sz w:val="20"/>
        </w:rPr>
        <w:t>The implementation must retain raw global rank, promotion path, facet index/text/score, context support and negation-veto evidence for audit. Do not simplify this into “take Top-N by cosine”.</w:t>
      </w:r>
    </w:p>
    <w:p>
      <w:pPr>
        <w:pStyle w:val="Heading1"/>
        <w:keepNext/>
      </w:pPr>
      <w:r>
        <w:t>10. ALG-10/ALG-11 — Abstention and trace construction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3600"/>
            <w:shd w:fill="2F5D8C"/>
            <w:vAlign w:val="center"/>
            <w:tcMar>
              <w:top w:w="55" w:type="dxa"/>
              <w:start w:w="80" w:type="dxa"/>
              <w:bottom w:w="55" w:type="dxa"/>
              <w:end w:w="80" w:type="dxa"/>
            </w:tcMar>
          </w:tcPr>
          <w:p>
            <w:pPr>
              <w:jc w:val="center"/>
            </w:pPr>
            <w:r>
              <w:rPr>
                <w:rFonts w:ascii="Arial" w:hAnsi="Arial"/>
                <w:b/>
                <w:color w:val="FFFFFF"/>
                <w:sz w:val="15"/>
              </w:rPr>
              <w:t>Condition</w:t>
            </w:r>
          </w:p>
        </w:tc>
        <w:tc>
          <w:tcPr>
            <w:tcW w:type="dxa" w:w="6480"/>
            <w:shd w:fill="2F5D8C"/>
            <w:vAlign w:val="center"/>
            <w:tcMar>
              <w:top w:w="55" w:type="dxa"/>
              <w:start w:w="80" w:type="dxa"/>
              <w:bottom w:w="55" w:type="dxa"/>
              <w:end w:w="80" w:type="dxa"/>
            </w:tcMar>
          </w:tcPr>
          <w:p>
            <w:pPr>
              <w:jc w:val="center"/>
            </w:pPr>
            <w:r>
              <w:rPr>
                <w:rFonts w:ascii="Arial" w:hAnsi="Arial"/>
                <w:b/>
                <w:color w:val="FFFFFF"/>
                <w:sz w:val="15"/>
              </w:rPr>
              <w:t>V1 product outcome</w:t>
            </w:r>
          </w:p>
        </w:tc>
      </w:tr>
      <w:tr>
        <w:tc>
          <w:tcPr>
            <w:tcW w:type="dxa" w:w="3600"/>
            <w:vAlign w:val="top"/>
            <w:tcMar>
              <w:top w:w="55" w:type="dxa"/>
              <w:start w:w="80" w:type="dxa"/>
              <w:bottom w:w="55" w:type="dxa"/>
              <w:end w:w="80" w:type="dxa"/>
            </w:tcMar>
          </w:tcPr>
          <w:p>
            <w:pPr>
              <w:spacing w:after="0"/>
            </w:pPr>
            <w:r>
              <w:rPr>
                <w:rFonts w:ascii="Arial" w:hAnsi="Arial"/>
                <w:color w:val="1F2937"/>
                <w:sz w:val="15"/>
              </w:rPr>
              <w:t>Material anchor/context mismatch</w:t>
            </w:r>
          </w:p>
        </w:tc>
        <w:tc>
          <w:tcPr>
            <w:tcW w:type="dxa" w:w="6480"/>
            <w:vAlign w:val="top"/>
            <w:tcMar>
              <w:top w:w="55" w:type="dxa"/>
              <w:start w:w="80" w:type="dxa"/>
              <w:bottom w:w="55" w:type="dxa"/>
              <w:end w:w="80" w:type="dxa"/>
            </w:tcMar>
          </w:tcPr>
          <w:p>
            <w:pPr>
              <w:spacing w:after="0"/>
            </w:pPr>
            <w:r>
              <w:rPr>
                <w:rFonts w:ascii="Arial" w:hAnsi="Arial"/>
                <w:color w:val="1F2937"/>
                <w:sz w:val="15"/>
              </w:rPr>
              <w:t>Block before final Recommendation Core execution; educator reviews curriculum/context.</w:t>
            </w:r>
          </w:p>
        </w:tc>
      </w:tr>
      <w:tr>
        <w:tc>
          <w:tcPr>
            <w:tcW w:type="dxa" w:w="3600"/>
            <w:shd w:fill="F8FAFC"/>
            <w:vAlign w:val="top"/>
            <w:tcMar>
              <w:top w:w="55" w:type="dxa"/>
              <w:start w:w="80" w:type="dxa"/>
              <w:bottom w:w="55" w:type="dxa"/>
              <w:end w:w="80" w:type="dxa"/>
            </w:tcMar>
          </w:tcPr>
          <w:p>
            <w:pPr>
              <w:spacing w:after="0"/>
            </w:pPr>
            <w:r>
              <w:rPr>
                <w:rFonts w:ascii="Arial" w:hAnsi="Arial"/>
                <w:color w:val="1F2937"/>
                <w:sz w:val="15"/>
              </w:rPr>
              <w:t>No defensible sustainability mechanism</w:t>
            </w:r>
          </w:p>
        </w:tc>
        <w:tc>
          <w:tcPr>
            <w:tcW w:type="dxa" w:w="6480"/>
            <w:shd w:fill="F8FAFC"/>
            <w:vAlign w:val="top"/>
            <w:tcMar>
              <w:top w:w="55" w:type="dxa"/>
              <w:start w:w="80" w:type="dxa"/>
              <w:bottom w:w="55" w:type="dxa"/>
              <w:end w:w="80" w:type="dxa"/>
            </w:tcMar>
          </w:tcPr>
          <w:p>
            <w:pPr>
              <w:spacing w:after="0"/>
            </w:pPr>
            <w:r>
              <w:rPr>
                <w:rFonts w:ascii="Arial" w:hAnsi="Arial"/>
                <w:color w:val="1F2937"/>
                <w:sz w:val="15"/>
              </w:rPr>
              <w:t>Recommendation_Status = ABSTAINED; Abstention_Reason = NO_DEFENSIBLE_SUSTAINABILITY_MECHANISM.</w:t>
            </w:r>
          </w:p>
        </w:tc>
      </w:tr>
      <w:tr>
        <w:tc>
          <w:tcPr>
            <w:tcW w:type="dxa" w:w="3600"/>
            <w:vAlign w:val="top"/>
            <w:tcMar>
              <w:top w:w="55" w:type="dxa"/>
              <w:start w:w="80" w:type="dxa"/>
              <w:bottom w:w="55" w:type="dxa"/>
              <w:end w:w="80" w:type="dxa"/>
            </w:tcMar>
          </w:tcPr>
          <w:p>
            <w:pPr>
              <w:spacing w:after="0"/>
            </w:pPr>
            <w:r>
              <w:rPr>
                <w:rFonts w:ascii="Arial" w:hAnsi="Arial"/>
                <w:color w:val="1F2937"/>
                <w:sz w:val="15"/>
              </w:rPr>
              <w:t>Insufficient governed evidence</w:t>
            </w:r>
          </w:p>
        </w:tc>
        <w:tc>
          <w:tcPr>
            <w:tcW w:type="dxa" w:w="6480"/>
            <w:vAlign w:val="top"/>
            <w:tcMar>
              <w:top w:w="55" w:type="dxa"/>
              <w:start w:w="80" w:type="dxa"/>
              <w:bottom w:w="55" w:type="dxa"/>
              <w:end w:w="80" w:type="dxa"/>
            </w:tcMar>
          </w:tcPr>
          <w:p>
            <w:pPr>
              <w:spacing w:after="0"/>
            </w:pPr>
            <w:r>
              <w:rPr>
                <w:rFonts w:ascii="Arial" w:hAnsi="Arial"/>
                <w:color w:val="1F2937"/>
                <w:sz w:val="15"/>
              </w:rPr>
              <w:t>Recommendation_Status = ABSTAINED; Abstention_Reason = INSUFFICIENT_EVIDENCE.</w:t>
            </w:r>
          </w:p>
        </w:tc>
      </w:tr>
      <w:tr>
        <w:tc>
          <w:tcPr>
            <w:tcW w:type="dxa" w:w="3600"/>
            <w:shd w:fill="F8FAFC"/>
            <w:vAlign w:val="top"/>
            <w:tcMar>
              <w:top w:w="55" w:type="dxa"/>
              <w:start w:w="80" w:type="dxa"/>
              <w:bottom w:w="55" w:type="dxa"/>
              <w:end w:w="80" w:type="dxa"/>
            </w:tcMar>
          </w:tcPr>
          <w:p>
            <w:pPr>
              <w:spacing w:after="0"/>
            </w:pPr>
            <w:r>
              <w:rPr>
                <w:rFonts w:ascii="Arial" w:hAnsi="Arial"/>
                <w:color w:val="1F2937"/>
                <w:sz w:val="15"/>
              </w:rPr>
              <w:t>Successful decision</w:t>
            </w:r>
          </w:p>
        </w:tc>
        <w:tc>
          <w:tcPr>
            <w:tcW w:type="dxa" w:w="6480"/>
            <w:shd w:fill="F8FAFC"/>
            <w:vAlign w:val="top"/>
            <w:tcMar>
              <w:top w:w="55" w:type="dxa"/>
              <w:start w:w="80" w:type="dxa"/>
              <w:bottom w:w="55" w:type="dxa"/>
              <w:end w:w="80" w:type="dxa"/>
            </w:tcMar>
          </w:tcPr>
          <w:p>
            <w:pPr>
              <w:spacing w:after="0"/>
            </w:pPr>
            <w:r>
              <w:rPr>
                <w:rFonts w:ascii="Arial" w:hAnsi="Arial"/>
                <w:color w:val="1F2937"/>
                <w:sz w:val="15"/>
              </w:rPr>
              <w:t>SUCCESS with exactly one primary SCR plus only independently promoted supported additional principles.</w:t>
            </w:r>
          </w:p>
        </w:tc>
      </w:tr>
    </w:tbl>
    <w:p/>
    <w:p>
      <w:pPr>
        <w:spacing w:after="100"/>
      </w:pPr>
      <w:r>
        <w:rPr>
          <w:rFonts w:ascii="Arial" w:hAnsi="Arial"/>
          <w:color w:val="1F2937"/>
          <w:sz w:val="20"/>
        </w:rPr>
        <w:t>Trace Builder is deterministic: it records the actual anchor, exact Application Context source/text, mechanism facets, positive/negative evidence, ranked diagnostics, promotions/vetoes, governed paths/evidence references and repository/model/runtime versions. It does not ask an LLM to create a post-hoc explanation.</w:t>
      </w:r>
    </w:p>
    <w:p>
      <w:pPr>
        <w:spacing w:after="60"/>
        <w:jc w:val="center"/>
      </w:pPr>
      <w:r>
        <w:drawing>
          <wp:inline xmlns:a="http://schemas.openxmlformats.org/drawingml/2006/main" xmlns:pic="http://schemas.openxmlformats.org/drawingml/2006/picture">
            <wp:extent cx="5989320" cy="2704501"/>
            <wp:docPr id="6" name="Picture 6" descr="Flow diagram showing accepted SCR, applicable templates, primary/alternative selection, PKCR, material and FCR resolution into a bounded Kit generation packet." title="Figure 6. ALG-12–ALG-15 deterministic Educator Kit resolution algorithms"/>
            <wp:cNvGraphicFramePr>
              <a:graphicFrameLocks noChangeAspect="1"/>
            </wp:cNvGraphicFramePr>
            <a:graphic>
              <a:graphicData uri="http://schemas.openxmlformats.org/drawingml/2006/picture">
                <pic:pic>
                  <pic:nvPicPr>
                    <pic:cNvPr id="0" name="seq07_fig6_kit_algorithms.png"/>
                    <pic:cNvPicPr/>
                  </pic:nvPicPr>
                  <pic:blipFill>
                    <a:blip r:embed="rId22"/>
                    <a:stretch>
                      <a:fillRect/>
                    </a:stretch>
                  </pic:blipFill>
                  <pic:spPr>
                    <a:xfrm>
                      <a:off x="0" y="0"/>
                      <a:ext cx="5989320" cy="2704501"/>
                    </a:xfrm>
                    <a:prstGeom prst="rect"/>
                  </pic:spPr>
                </pic:pic>
              </a:graphicData>
            </a:graphic>
          </wp:inline>
        </w:drawing>
      </w:r>
    </w:p>
    <w:p>
      <w:pPr>
        <w:pStyle w:val="Caption"/>
        <w:spacing w:after="140"/>
        <w:jc w:val="center"/>
      </w:pPr>
      <w:r>
        <w:t>Figure 6. ALG-12–ALG-15 deterministic Educator Kit resolution algorithms</w:t>
      </w:r>
    </w:p>
    <w:p>
      <w:pPr>
        <w:pStyle w:val="Heading1"/>
        <w:keepNext/>
      </w:pPr>
      <w:r>
        <w:t>11. ALG-12 — Pedagogy selection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592"/>
            <w:shd w:fill="2F5D8C"/>
            <w:vAlign w:val="center"/>
            <w:tcMar>
              <w:top w:w="55" w:type="dxa"/>
              <w:start w:w="80" w:type="dxa"/>
              <w:bottom w:w="55" w:type="dxa"/>
              <w:end w:w="80" w:type="dxa"/>
            </w:tcMar>
          </w:tcPr>
          <w:p>
            <w:pPr>
              <w:jc w:val="center"/>
            </w:pPr>
            <w:r>
              <w:rPr>
                <w:rFonts w:ascii="Arial" w:hAnsi="Arial"/>
                <w:b/>
                <w:color w:val="FFFFFF"/>
                <w:sz w:val="14"/>
              </w:rPr>
              <w:t>Rule</w:t>
            </w:r>
          </w:p>
        </w:tc>
        <w:tc>
          <w:tcPr>
            <w:tcW w:type="dxa" w:w="7488"/>
            <w:shd w:fill="2F5D8C"/>
            <w:vAlign w:val="center"/>
            <w:tcMar>
              <w:top w:w="55" w:type="dxa"/>
              <w:start w:w="80" w:type="dxa"/>
              <w:bottom w:w="55" w:type="dxa"/>
              <w:end w:w="80" w:type="dxa"/>
            </w:tcMar>
          </w:tcPr>
          <w:p>
            <w:pPr>
              <w:jc w:val="center"/>
            </w:pPr>
            <w:r>
              <w:rPr>
                <w:rFonts w:ascii="Arial" w:hAnsi="Arial"/>
                <w:b/>
                <w:color w:val="FFFFFF"/>
                <w:sz w:val="14"/>
              </w:rPr>
              <w:t>Specification</w:t>
            </w:r>
          </w:p>
        </w:tc>
      </w:tr>
      <w:tr>
        <w:tc>
          <w:tcPr>
            <w:tcW w:type="dxa" w:w="2592"/>
            <w:vAlign w:val="top"/>
            <w:tcMar>
              <w:top w:w="55" w:type="dxa"/>
              <w:start w:w="80" w:type="dxa"/>
              <w:bottom w:w="55" w:type="dxa"/>
              <w:end w:w="80" w:type="dxa"/>
            </w:tcMar>
          </w:tcPr>
          <w:p>
            <w:pPr>
              <w:spacing w:after="0"/>
            </w:pPr>
            <w:r>
              <w:rPr>
                <w:rFonts w:ascii="Arial" w:hAnsi="Arial"/>
                <w:color w:val="1F2937"/>
                <w:sz w:val="14"/>
              </w:rPr>
              <w:t>Input authority</w:t>
            </w:r>
          </w:p>
        </w:tc>
        <w:tc>
          <w:tcPr>
            <w:tcW w:type="dxa" w:w="7488"/>
            <w:vAlign w:val="top"/>
            <w:tcMar>
              <w:top w:w="55" w:type="dxa"/>
              <w:start w:w="80" w:type="dxa"/>
              <w:bottom w:w="55" w:type="dxa"/>
              <w:end w:w="80" w:type="dxa"/>
            </w:tcMar>
          </w:tcPr>
          <w:p>
            <w:pPr>
              <w:spacing w:after="0"/>
            </w:pPr>
            <w:r>
              <w:rPr>
                <w:rFonts w:ascii="Arial" w:hAnsi="Arial"/>
                <w:color w:val="1F2937"/>
                <w:sz w:val="14"/>
              </w:rPr>
              <w:t>Accepted SCR + active Stage-E templates + template applicability + current teaching context/constraints.</w:t>
            </w:r>
          </w:p>
        </w:tc>
      </w:tr>
      <w:tr>
        <w:tc>
          <w:tcPr>
            <w:tcW w:type="dxa" w:w="2592"/>
            <w:shd w:fill="F8FAFC"/>
            <w:vAlign w:val="top"/>
            <w:tcMar>
              <w:top w:w="55" w:type="dxa"/>
              <w:start w:w="80" w:type="dxa"/>
              <w:bottom w:w="55" w:type="dxa"/>
              <w:end w:w="80" w:type="dxa"/>
            </w:tcMar>
          </w:tcPr>
          <w:p>
            <w:pPr>
              <w:spacing w:after="0"/>
            </w:pPr>
            <w:r>
              <w:rPr>
                <w:rFonts w:ascii="Arial" w:hAnsi="Arial"/>
                <w:color w:val="1F2937"/>
                <w:sz w:val="14"/>
              </w:rPr>
              <w:t>Framework exclusion</w:t>
            </w:r>
          </w:p>
        </w:tc>
        <w:tc>
          <w:tcPr>
            <w:tcW w:type="dxa" w:w="7488"/>
            <w:shd w:fill="F8FAFC"/>
            <w:vAlign w:val="top"/>
            <w:tcMar>
              <w:top w:w="55" w:type="dxa"/>
              <w:start w:w="80" w:type="dxa"/>
              <w:bottom w:w="55" w:type="dxa"/>
              <w:end w:w="80" w:type="dxa"/>
            </w:tcMar>
          </w:tcPr>
          <w:p>
            <w:pPr>
              <w:spacing w:after="0"/>
            </w:pPr>
            <w:r>
              <w:rPr>
                <w:rFonts w:ascii="Arial" w:hAnsi="Arial"/>
                <w:color w:val="1F2937"/>
                <w:sz w:val="14"/>
              </w:rPr>
              <w:t>Framework mappings never participate in Template_ID selection or re-ranking.</w:t>
            </w:r>
          </w:p>
        </w:tc>
      </w:tr>
      <w:tr>
        <w:tc>
          <w:tcPr>
            <w:tcW w:type="dxa" w:w="2592"/>
            <w:vAlign w:val="top"/>
            <w:tcMar>
              <w:top w:w="55" w:type="dxa"/>
              <w:start w:w="80" w:type="dxa"/>
              <w:bottom w:w="55" w:type="dxa"/>
              <w:end w:w="80" w:type="dxa"/>
            </w:tcMar>
          </w:tcPr>
          <w:p>
            <w:pPr>
              <w:spacing w:after="0"/>
            </w:pPr>
            <w:r>
              <w:rPr>
                <w:rFonts w:ascii="Arial" w:hAnsi="Arial"/>
                <w:color w:val="1F2937"/>
                <w:sz w:val="14"/>
              </w:rPr>
              <w:t>Applicability states</w:t>
            </w:r>
          </w:p>
        </w:tc>
        <w:tc>
          <w:tcPr>
            <w:tcW w:type="dxa" w:w="7488"/>
            <w:vAlign w:val="top"/>
            <w:tcMar>
              <w:top w:w="55" w:type="dxa"/>
              <w:start w:w="80" w:type="dxa"/>
              <w:bottom w:w="55" w:type="dxa"/>
              <w:end w:w="80" w:type="dxa"/>
            </w:tcMar>
          </w:tcPr>
          <w:p>
            <w:pPr>
              <w:spacing w:after="0"/>
            </w:pPr>
            <w:r>
              <w:rPr>
                <w:rFonts w:ascii="Arial" w:hAnsi="Arial"/>
                <w:color w:val="1F2937"/>
                <w:sz w:val="14"/>
              </w:rPr>
              <w:t>RECOMMENDED; RECOMMENDED_WITH_CONDITIONS; ADAPTATION_SUGGESTED; BOUNDARY_WARNING; HARD_BLOCK.</w:t>
            </w:r>
          </w:p>
        </w:tc>
      </w:tr>
      <w:tr>
        <w:tc>
          <w:tcPr>
            <w:tcW w:type="dxa" w:w="2592"/>
            <w:shd w:fill="F8FAFC"/>
            <w:vAlign w:val="top"/>
            <w:tcMar>
              <w:top w:w="55" w:type="dxa"/>
              <w:start w:w="80" w:type="dxa"/>
              <w:bottom w:w="55" w:type="dxa"/>
              <w:end w:w="80" w:type="dxa"/>
            </w:tcMar>
          </w:tcPr>
          <w:p>
            <w:pPr>
              <w:spacing w:after="0"/>
            </w:pPr>
            <w:r>
              <w:rPr>
                <w:rFonts w:ascii="Arial" w:hAnsi="Arial"/>
                <w:color w:val="1F2937"/>
                <w:sz w:val="14"/>
              </w:rPr>
              <w:t>Hard block</w:t>
            </w:r>
          </w:p>
        </w:tc>
        <w:tc>
          <w:tcPr>
            <w:tcW w:type="dxa" w:w="7488"/>
            <w:shd w:fill="F8FAFC"/>
            <w:vAlign w:val="top"/>
            <w:tcMar>
              <w:top w:w="55" w:type="dxa"/>
              <w:start w:w="80" w:type="dxa"/>
              <w:bottom w:w="55" w:type="dxa"/>
              <w:end w:w="80" w:type="dxa"/>
            </w:tcMar>
          </w:tcPr>
          <w:p>
            <w:pPr>
              <w:spacing w:after="0"/>
            </w:pPr>
            <w:r>
              <w:rPr>
                <w:rFonts w:ascii="Arial" w:hAnsi="Arial"/>
                <w:color w:val="1F2937"/>
                <w:sz w:val="14"/>
              </w:rPr>
              <w:t>Use only genuine safety/legal/essential-evidence/canonical-boundary problems; do not present blocked template as normal recommendation.</w:t>
            </w:r>
          </w:p>
        </w:tc>
      </w:tr>
      <w:tr>
        <w:tc>
          <w:tcPr>
            <w:tcW w:type="dxa" w:w="2592"/>
            <w:vAlign w:val="top"/>
            <w:tcMar>
              <w:top w:w="55" w:type="dxa"/>
              <w:start w:w="80" w:type="dxa"/>
              <w:bottom w:w="55" w:type="dxa"/>
              <w:end w:w="80" w:type="dxa"/>
            </w:tcMar>
          </w:tcPr>
          <w:p>
            <w:pPr>
              <w:spacing w:after="0"/>
            </w:pPr>
            <w:r>
              <w:rPr>
                <w:rFonts w:ascii="Arial" w:hAnsi="Arial"/>
                <w:color w:val="1F2937"/>
                <w:sz w:val="14"/>
              </w:rPr>
              <w:t>Output</w:t>
            </w:r>
          </w:p>
        </w:tc>
        <w:tc>
          <w:tcPr>
            <w:tcW w:type="dxa" w:w="7488"/>
            <w:vAlign w:val="top"/>
            <w:tcMar>
              <w:top w:w="55" w:type="dxa"/>
              <w:start w:w="80" w:type="dxa"/>
              <w:bottom w:w="55" w:type="dxa"/>
              <w:end w:w="80" w:type="dxa"/>
            </w:tcMar>
          </w:tcPr>
          <w:p>
            <w:pPr>
              <w:spacing w:after="0"/>
            </w:pPr>
            <w:r>
              <w:rPr>
                <w:rFonts w:ascii="Arial" w:hAnsi="Arial"/>
                <w:color w:val="1F2937"/>
                <w:sz w:val="14"/>
              </w:rPr>
              <w:t>One primary eligible/adaptable template plus up to two materially distinct alternatives; do not return near-duplicate alternatives.</w:t>
            </w:r>
          </w:p>
        </w:tc>
      </w:tr>
      <w:tr>
        <w:tc>
          <w:tcPr>
            <w:tcW w:type="dxa" w:w="2592"/>
            <w:shd w:fill="F8FAFC"/>
            <w:vAlign w:val="top"/>
            <w:tcMar>
              <w:top w:w="55" w:type="dxa"/>
              <w:start w:w="80" w:type="dxa"/>
              <w:bottom w:w="55" w:type="dxa"/>
              <w:end w:w="80" w:type="dxa"/>
            </w:tcMar>
          </w:tcPr>
          <w:p>
            <w:pPr>
              <w:spacing w:after="0"/>
            </w:pPr>
            <w:r>
              <w:rPr>
                <w:rFonts w:ascii="Arial" w:hAnsi="Arial"/>
                <w:color w:val="1F2937"/>
                <w:sz w:val="14"/>
              </w:rPr>
              <w:t>Initial generation</w:t>
            </w:r>
          </w:p>
        </w:tc>
        <w:tc>
          <w:tcPr>
            <w:tcW w:type="dxa" w:w="7488"/>
            <w:shd w:fill="F8FAFC"/>
            <w:vAlign w:val="top"/>
            <w:tcMar>
              <w:top w:w="55" w:type="dxa"/>
              <w:start w:w="80" w:type="dxa"/>
              <w:bottom w:w="55" w:type="dxa"/>
              <w:end w:w="80" w:type="dxa"/>
            </w:tcMar>
          </w:tcPr>
          <w:p>
            <w:pPr>
              <w:spacing w:after="0"/>
            </w:pPr>
            <w:r>
              <w:rPr>
                <w:rFonts w:ascii="Arial" w:hAnsi="Arial"/>
                <w:color w:val="1F2937"/>
                <w:sz w:val="14"/>
              </w:rPr>
              <w:t>Only primary is fully generated/validated initially; alternatives are summaries until explicitly selected.</w:t>
            </w:r>
          </w:p>
        </w:tc>
      </w:tr>
    </w:tbl>
    <w:p/>
    <w:p>
      <w:pPr>
        <w:pStyle w:val="Heading1"/>
        <w:keepNext/>
      </w:pPr>
      <w:r>
        <w:t>12. ALG-13/ALG-14/ALG-15 — PKCR, teaching material and framework resolution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592"/>
            <w:shd w:fill="2F5D8C"/>
            <w:vAlign w:val="center"/>
            <w:tcMar>
              <w:top w:w="55" w:type="dxa"/>
              <w:start w:w="80" w:type="dxa"/>
              <w:bottom w:w="55" w:type="dxa"/>
              <w:end w:w="80" w:type="dxa"/>
            </w:tcMar>
          </w:tcPr>
          <w:p>
            <w:pPr>
              <w:jc w:val="center"/>
            </w:pPr>
            <w:r>
              <w:rPr>
                <w:rFonts w:ascii="Arial" w:hAnsi="Arial"/>
                <w:b/>
                <w:color w:val="FFFFFF"/>
                <w:sz w:val="14"/>
              </w:rPr>
              <w:t>Algorithm</w:t>
            </w:r>
          </w:p>
        </w:tc>
        <w:tc>
          <w:tcPr>
            <w:tcW w:type="dxa" w:w="7488"/>
            <w:shd w:fill="2F5D8C"/>
            <w:vAlign w:val="center"/>
            <w:tcMar>
              <w:top w:w="55" w:type="dxa"/>
              <w:start w:w="80" w:type="dxa"/>
              <w:bottom w:w="55" w:type="dxa"/>
              <w:end w:w="80" w:type="dxa"/>
            </w:tcMar>
          </w:tcPr>
          <w:p>
            <w:pPr>
              <w:jc w:val="center"/>
            </w:pPr>
            <w:r>
              <w:rPr>
                <w:rFonts w:ascii="Arial" w:hAnsi="Arial"/>
                <w:b/>
                <w:color w:val="FFFFFF"/>
                <w:sz w:val="14"/>
              </w:rPr>
              <w:t>Deterministic rule</w:t>
            </w:r>
          </w:p>
        </w:tc>
      </w:tr>
      <w:tr>
        <w:tc>
          <w:tcPr>
            <w:tcW w:type="dxa" w:w="2592"/>
            <w:vAlign w:val="top"/>
            <w:tcMar>
              <w:top w:w="55" w:type="dxa"/>
              <w:start w:w="80" w:type="dxa"/>
              <w:bottom w:w="55" w:type="dxa"/>
              <w:end w:w="80" w:type="dxa"/>
            </w:tcMar>
          </w:tcPr>
          <w:p>
            <w:pPr>
              <w:spacing w:after="0"/>
            </w:pPr>
            <w:r>
              <w:rPr>
                <w:rFonts w:ascii="Arial" w:hAnsi="Arial"/>
                <w:color w:val="1F2937"/>
                <w:sz w:val="14"/>
              </w:rPr>
              <w:t>PKCR</w:t>
            </w:r>
          </w:p>
        </w:tc>
        <w:tc>
          <w:tcPr>
            <w:tcW w:type="dxa" w:w="7488"/>
            <w:vAlign w:val="top"/>
            <w:tcMar>
              <w:top w:w="55" w:type="dxa"/>
              <w:start w:w="80" w:type="dxa"/>
              <w:bottom w:w="55" w:type="dxa"/>
              <w:end w:w="80" w:type="dxa"/>
            </w:tcMar>
          </w:tcPr>
          <w:p>
            <w:pPr>
              <w:spacing w:after="0"/>
            </w:pPr>
            <w:r>
              <w:rPr>
                <w:rFonts w:ascii="Arial" w:hAnsi="Arial"/>
                <w:color w:val="1F2937"/>
                <w:sz w:val="14"/>
              </w:rPr>
              <w:t>Given selected Template_ID and trigger state, return exact REQUIRED plus triggered CONDITIONAL output elements in contract order. Output contract never selects Template_ID.</w:t>
            </w:r>
          </w:p>
        </w:tc>
      </w:tr>
      <w:tr>
        <w:tc>
          <w:tcPr>
            <w:tcW w:type="dxa" w:w="2592"/>
            <w:shd w:fill="F8FAFC"/>
            <w:vAlign w:val="top"/>
            <w:tcMar>
              <w:top w:w="55" w:type="dxa"/>
              <w:start w:w="80" w:type="dxa"/>
              <w:bottom w:w="55" w:type="dxa"/>
              <w:end w:w="80" w:type="dxa"/>
            </w:tcMar>
          </w:tcPr>
          <w:p>
            <w:pPr>
              <w:spacing w:after="0"/>
            </w:pPr>
            <w:r>
              <w:rPr>
                <w:rFonts w:ascii="Arial" w:hAnsi="Arial"/>
                <w:color w:val="1F2937"/>
                <w:sz w:val="14"/>
              </w:rPr>
              <w:t>Teaching Material Resolver</w:t>
            </w:r>
          </w:p>
        </w:tc>
        <w:tc>
          <w:tcPr>
            <w:tcW w:type="dxa" w:w="7488"/>
            <w:shd w:fill="F8FAFC"/>
            <w:vAlign w:val="top"/>
            <w:tcMar>
              <w:top w:w="55" w:type="dxa"/>
              <w:start w:w="80" w:type="dxa"/>
              <w:bottom w:w="55" w:type="dxa"/>
              <w:end w:w="80" w:type="dxa"/>
            </w:tcMar>
          </w:tcPr>
          <w:p>
            <w:pPr>
              <w:spacing w:after="0"/>
            </w:pPr>
            <w:r>
              <w:rPr>
                <w:rFonts w:ascii="Arial" w:hAnsi="Arial"/>
                <w:color w:val="1F2937"/>
                <w:sz w:val="14"/>
              </w:rPr>
              <w:t>If USE_MY_MATERIAL, preserve educator-source provenance; if USE_SYSTEM_SUGGESTION, resolve governed teaching evidence/reference or clearly labelled generated hypothetical/scaffold. Never merge real/generated values without provenance.</w:t>
            </w:r>
          </w:p>
        </w:tc>
      </w:tr>
      <w:tr>
        <w:tc>
          <w:tcPr>
            <w:tcW w:type="dxa" w:w="2592"/>
            <w:vAlign w:val="top"/>
            <w:tcMar>
              <w:top w:w="55" w:type="dxa"/>
              <w:start w:w="80" w:type="dxa"/>
              <w:bottom w:w="55" w:type="dxa"/>
              <w:end w:w="80" w:type="dxa"/>
            </w:tcMar>
          </w:tcPr>
          <w:p>
            <w:pPr>
              <w:spacing w:after="0"/>
            </w:pPr>
            <w:r>
              <w:rPr>
                <w:rFonts w:ascii="Arial" w:hAnsi="Arial"/>
                <w:color w:val="1F2937"/>
                <w:sz w:val="14"/>
              </w:rPr>
              <w:t>Framework Context Resolver</w:t>
            </w:r>
          </w:p>
        </w:tc>
        <w:tc>
          <w:tcPr>
            <w:tcW w:type="dxa" w:w="7488"/>
            <w:vAlign w:val="top"/>
            <w:tcMar>
              <w:top w:w="55" w:type="dxa"/>
              <w:start w:w="80" w:type="dxa"/>
              <w:bottom w:w="55" w:type="dxa"/>
              <w:end w:w="80" w:type="dxa"/>
            </w:tcMar>
          </w:tcPr>
          <w:p>
            <w:pPr>
              <w:spacing w:after="0"/>
            </w:pPr>
            <w:r>
              <w:rPr>
                <w:rFonts w:ascii="Arial" w:hAnsi="Arial"/>
                <w:color w:val="1F2937"/>
                <w:sz w:val="14"/>
              </w:rPr>
              <w:t>Resolve mapped items to ACTIVE_DIRECT, ACTIVE_CONTEXT or EXCLUDED using mapping role, applicability condition, education level/context and output-contract intersection. Send only active packet to generation; retain exclusions/reasons in audit.</w:t>
            </w:r>
          </w:p>
        </w:tc>
      </w:tr>
    </w:tbl>
    <w:p/>
    <w:p>
      <w:pPr>
        <w:pStyle w:val="Heading1"/>
        <w:keepNext/>
      </w:pPr>
      <w:r>
        <w:t>13. ALG-16 — Educator Kit validation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448"/>
            <w:shd w:fill="2F5D8C"/>
            <w:vAlign w:val="center"/>
            <w:tcMar>
              <w:top w:w="55" w:type="dxa"/>
              <w:start w:w="80" w:type="dxa"/>
              <w:bottom w:w="55" w:type="dxa"/>
              <w:end w:w="80" w:type="dxa"/>
            </w:tcMar>
          </w:tcPr>
          <w:p>
            <w:pPr>
              <w:jc w:val="center"/>
            </w:pPr>
            <w:r>
              <w:rPr>
                <w:rFonts w:ascii="Arial" w:hAnsi="Arial"/>
                <w:b/>
                <w:color w:val="FFFFFF"/>
                <w:sz w:val="14"/>
              </w:rPr>
              <w:t>Step</w:t>
            </w:r>
          </w:p>
        </w:tc>
        <w:tc>
          <w:tcPr>
            <w:tcW w:type="dxa" w:w="7632"/>
            <w:shd w:fill="2F5D8C"/>
            <w:vAlign w:val="center"/>
            <w:tcMar>
              <w:top w:w="55" w:type="dxa"/>
              <w:start w:w="80" w:type="dxa"/>
              <w:bottom w:w="55" w:type="dxa"/>
              <w:end w:w="80" w:type="dxa"/>
            </w:tcMar>
          </w:tcPr>
          <w:p>
            <w:pPr>
              <w:jc w:val="center"/>
            </w:pPr>
            <w:r>
              <w:rPr>
                <w:rFonts w:ascii="Arial" w:hAnsi="Arial"/>
                <w:b/>
                <w:color w:val="FFFFFF"/>
                <w:sz w:val="14"/>
              </w:rPr>
              <w:t>Rule</w:t>
            </w:r>
          </w:p>
        </w:tc>
      </w:tr>
      <w:tr>
        <w:tc>
          <w:tcPr>
            <w:tcW w:type="dxa" w:w="2448"/>
            <w:vAlign w:val="top"/>
            <w:tcMar>
              <w:top w:w="55" w:type="dxa"/>
              <w:start w:w="80" w:type="dxa"/>
              <w:bottom w:w="55" w:type="dxa"/>
              <w:end w:w="80" w:type="dxa"/>
            </w:tcMar>
          </w:tcPr>
          <w:p>
            <w:pPr>
              <w:spacing w:after="0"/>
            </w:pPr>
            <w:r>
              <w:rPr>
                <w:rFonts w:ascii="Arial" w:hAnsi="Arial"/>
                <w:color w:val="1F2937"/>
                <w:sz w:val="14"/>
              </w:rPr>
              <w:t>Enumerate contract</w:t>
            </w:r>
          </w:p>
        </w:tc>
        <w:tc>
          <w:tcPr>
            <w:tcW w:type="dxa" w:w="7632"/>
            <w:vAlign w:val="top"/>
            <w:tcMar>
              <w:top w:w="55" w:type="dxa"/>
              <w:start w:w="80" w:type="dxa"/>
              <w:bottom w:w="55" w:type="dxa"/>
              <w:end w:w="80" w:type="dxa"/>
            </w:tcMar>
          </w:tcPr>
          <w:p>
            <w:pPr>
              <w:spacing w:after="0"/>
            </w:pPr>
            <w:r>
              <w:rPr>
                <w:rFonts w:ascii="Arial" w:hAnsi="Arial"/>
                <w:color w:val="1F2937"/>
                <w:sz w:val="14"/>
              </w:rPr>
              <w:t>Use same ResolvedOutputElementContract that governed generation.</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4"/>
              </w:rPr>
              <w:t>Element applicability</w:t>
            </w:r>
          </w:p>
        </w:tc>
        <w:tc>
          <w:tcPr>
            <w:tcW w:type="dxa" w:w="7632"/>
            <w:shd w:fill="F8FAFC"/>
            <w:vAlign w:val="top"/>
            <w:tcMar>
              <w:top w:w="55" w:type="dxa"/>
              <w:start w:w="80" w:type="dxa"/>
              <w:bottom w:w="55" w:type="dxa"/>
              <w:end w:w="80" w:type="dxa"/>
            </w:tcMar>
          </w:tcPr>
          <w:p>
            <w:pPr>
              <w:spacing w:after="0"/>
            </w:pPr>
            <w:r>
              <w:rPr>
                <w:rFonts w:ascii="Arial" w:hAnsi="Arial"/>
                <w:color w:val="1F2937"/>
                <w:sz w:val="14"/>
              </w:rPr>
              <w:t>Evaluate REQUIRED and triggered CONDITIONAL elements; untriggered conditional element is NOT_APPLICABLE.</w:t>
            </w:r>
          </w:p>
        </w:tc>
      </w:tr>
      <w:tr>
        <w:tc>
          <w:tcPr>
            <w:tcW w:type="dxa" w:w="2448"/>
            <w:vAlign w:val="top"/>
            <w:tcMar>
              <w:top w:w="55" w:type="dxa"/>
              <w:start w:w="80" w:type="dxa"/>
              <w:bottom w:w="55" w:type="dxa"/>
              <w:end w:w="80" w:type="dxa"/>
            </w:tcMar>
          </w:tcPr>
          <w:p>
            <w:pPr>
              <w:spacing w:after="0"/>
            </w:pPr>
            <w:r>
              <w:rPr>
                <w:rFonts w:ascii="Arial" w:hAnsi="Arial"/>
                <w:color w:val="1F2937"/>
                <w:sz w:val="14"/>
              </w:rPr>
              <w:t>Content test</w:t>
            </w:r>
          </w:p>
        </w:tc>
        <w:tc>
          <w:tcPr>
            <w:tcW w:type="dxa" w:w="7632"/>
            <w:vAlign w:val="top"/>
            <w:tcMar>
              <w:top w:w="55" w:type="dxa"/>
              <w:start w:w="80" w:type="dxa"/>
              <w:bottom w:w="55" w:type="dxa"/>
              <w:end w:w="80" w:type="dxa"/>
            </w:tcMar>
          </w:tcPr>
          <w:p>
            <w:pPr>
              <w:spacing w:after="0"/>
            </w:pPr>
            <w:r>
              <w:rPr>
                <w:rFonts w:ascii="Arial" w:hAnsi="Arial"/>
                <w:color w:val="1F2937"/>
                <w:sz w:val="14"/>
              </w:rPr>
              <w:t>Required/triggered element must contain concrete, ready-to-use content satisfying Ready_to_Use_Test/provenance requirements; generic placeholder statements fail.</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4"/>
              </w:rPr>
              <w:t>Per-element status</w:t>
            </w:r>
          </w:p>
        </w:tc>
        <w:tc>
          <w:tcPr>
            <w:tcW w:type="dxa" w:w="7632"/>
            <w:shd w:fill="F8FAFC"/>
            <w:vAlign w:val="top"/>
            <w:tcMar>
              <w:top w:w="55" w:type="dxa"/>
              <w:start w:w="80" w:type="dxa"/>
              <w:bottom w:w="55" w:type="dxa"/>
              <w:end w:w="80" w:type="dxa"/>
            </w:tcMar>
          </w:tcPr>
          <w:p>
            <w:pPr>
              <w:spacing w:after="0"/>
            </w:pPr>
            <w:r>
              <w:rPr>
                <w:rFonts w:ascii="Arial" w:hAnsi="Arial"/>
                <w:color w:val="1F2937"/>
                <w:sz w:val="14"/>
              </w:rPr>
              <w:t>PASS | FAIL | NOT_APPLICABLE.</w:t>
            </w:r>
          </w:p>
        </w:tc>
      </w:tr>
      <w:tr>
        <w:tc>
          <w:tcPr>
            <w:tcW w:type="dxa" w:w="2448"/>
            <w:vAlign w:val="top"/>
            <w:tcMar>
              <w:top w:w="55" w:type="dxa"/>
              <w:start w:w="80" w:type="dxa"/>
              <w:bottom w:w="55" w:type="dxa"/>
              <w:end w:w="80" w:type="dxa"/>
            </w:tcMar>
          </w:tcPr>
          <w:p>
            <w:pPr>
              <w:spacing w:after="0"/>
            </w:pPr>
            <w:r>
              <w:rPr>
                <w:rFonts w:ascii="Arial" w:hAnsi="Arial"/>
                <w:color w:val="1F2937"/>
                <w:sz w:val="14"/>
              </w:rPr>
              <w:t>Overall status</w:t>
            </w:r>
          </w:p>
        </w:tc>
        <w:tc>
          <w:tcPr>
            <w:tcW w:type="dxa" w:w="7632"/>
            <w:vAlign w:val="top"/>
            <w:tcMar>
              <w:top w:w="55" w:type="dxa"/>
              <w:start w:w="80" w:type="dxa"/>
              <w:bottom w:w="55" w:type="dxa"/>
              <w:end w:w="80" w:type="dxa"/>
            </w:tcMar>
          </w:tcPr>
          <w:p>
            <w:pPr>
              <w:spacing w:after="0"/>
            </w:pPr>
            <w:r>
              <w:rPr>
                <w:rFonts w:ascii="Arial" w:hAnsi="Arial"/>
                <w:color w:val="1F2937"/>
                <w:sz w:val="14"/>
              </w:rPr>
              <w:t>PASS only when every required/triggered applicable element passes; otherwise FAIL.</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4"/>
              </w:rPr>
              <w:t>Failure behavior</w:t>
            </w:r>
          </w:p>
        </w:tc>
        <w:tc>
          <w:tcPr>
            <w:tcW w:type="dxa" w:w="7632"/>
            <w:shd w:fill="F8FAFC"/>
            <w:vAlign w:val="top"/>
            <w:tcMar>
              <w:top w:w="55" w:type="dxa"/>
              <w:start w:w="80" w:type="dxa"/>
              <w:bottom w:w="55" w:type="dxa"/>
              <w:end w:w="80" w:type="dxa"/>
            </w:tcMar>
          </w:tcPr>
          <w:p>
            <w:pPr>
              <w:spacing w:after="0"/>
            </w:pPr>
            <w:r>
              <w:rPr>
                <w:rFonts w:ascii="Arial" w:hAnsi="Arial"/>
                <w:color w:val="1F2937"/>
                <w:sz w:val="14"/>
              </w:rPr>
              <w:t>Persist failed validation provenance as governed; no ready Kit and no automatic repair/regeneration.</w:t>
            </w:r>
          </w:p>
        </w:tc>
      </w:tr>
    </w:tbl>
    <w:p/>
    <w:p>
      <w:pPr>
        <w:spacing w:after="60"/>
        <w:jc w:val="center"/>
      </w:pPr>
      <w:r>
        <w:drawing>
          <wp:inline xmlns:a="http://schemas.openxmlformats.org/drawingml/2006/main" xmlns:pic="http://schemas.openxmlformats.org/drawingml/2006/picture">
            <wp:extent cx="5989320" cy="2516521"/>
            <wp:docPr id="7" name="Picture 7" descr="Flow diagram showing endpoint validation, directed BFS over governed edges, deterministic tie-break and FOUND/NO_GOVERNED_PATH result." title="Figure 7. ALG-17 deterministic Knowledge Graph shortest-path algorithm"/>
            <wp:cNvGraphicFramePr>
              <a:graphicFrameLocks noChangeAspect="1"/>
            </wp:cNvGraphicFramePr>
            <a:graphic>
              <a:graphicData uri="http://schemas.openxmlformats.org/drawingml/2006/picture">
                <pic:pic>
                  <pic:nvPicPr>
                    <pic:cNvPr id="0" name="seq07_fig7_kg_path.png"/>
                    <pic:cNvPicPr/>
                  </pic:nvPicPr>
                  <pic:blipFill>
                    <a:blip r:embed="rId23"/>
                    <a:stretch>
                      <a:fillRect/>
                    </a:stretch>
                  </pic:blipFill>
                  <pic:spPr>
                    <a:xfrm>
                      <a:off x="0" y="0"/>
                      <a:ext cx="5989320" cy="2516521"/>
                    </a:xfrm>
                    <a:prstGeom prst="rect"/>
                  </pic:spPr>
                </pic:pic>
              </a:graphicData>
            </a:graphic>
          </wp:inline>
        </w:drawing>
      </w:r>
    </w:p>
    <w:p>
      <w:pPr>
        <w:pStyle w:val="Caption"/>
        <w:spacing w:after="140"/>
        <w:jc w:val="center"/>
      </w:pPr>
      <w:r>
        <w:t>Figure 7. ALG-17 deterministic Knowledge Graph shortest-path algorithm</w:t>
      </w:r>
    </w:p>
    <w:p>
      <w:pPr>
        <w:pStyle w:val="Heading1"/>
        <w:keepNext/>
      </w:pPr>
      <w:r>
        <w:t>14. ALG-17/ALG-18/ALG-19 — Graph path, repository build and idempotency</w:t>
      </w:r>
    </w:p>
    <w:p>
      <w:pPr>
        <w:pStyle w:val="Heading2"/>
        <w:keepNext/>
      </w:pPr>
      <w:r>
        <w:t>14.1 ALG-17 governed shortest path</w:t>
      </w:r>
    </w:p>
    <w:p>
      <w:pPr>
        <w:pStyle w:val="ListBullet"/>
        <w:spacing w:after="40"/>
      </w:pPr>
      <w:r>
        <w:t>Resolve both canonical endpoints in active compiled graph.</w:t>
      </w:r>
    </w:p>
    <w:p>
      <w:pPr>
        <w:pStyle w:val="ListBullet"/>
        <w:spacing w:after="40"/>
      </w:pPr>
      <w:r>
        <w:t>Search only stored active governed relationship directions.</w:t>
      </w:r>
    </w:p>
    <w:p>
      <w:pPr>
        <w:pStyle w:val="ListBullet"/>
        <w:spacing w:after="40"/>
      </w:pPr>
      <w:r>
        <w:t>Return one shortest directed path by hop count.</w:t>
      </w:r>
    </w:p>
    <w:p>
      <w:pPr>
        <w:pStyle w:val="ListBullet"/>
        <w:spacing w:after="40"/>
      </w:pPr>
      <w:r>
        <w:t>For equal shortest paths, use stable traversal ordering Relationship_Type → Target_Entity_ID → Edge_Key.</w:t>
      </w:r>
    </w:p>
    <w:p>
      <w:pPr>
        <w:pStyle w:val="ListBullet"/>
        <w:spacing w:after="40"/>
      </w:pPr>
      <w:r>
        <w:t>Return NO_GOVERNED_PATH when none exists; do not search undirected/invented edges.</w:t>
      </w:r>
    </w:p>
    <w:p>
      <w:pPr>
        <w:pStyle w:val="ListBullet"/>
        <w:spacing w:after="40"/>
      </w:pPr>
      <w:r>
        <w:t>Canvas display filters do not alter the graph used by the algorithm unless a future explicit constrained-path parameter is introduced.</w:t>
      </w:r>
    </w:p>
    <w:p>
      <w:pPr>
        <w:pStyle w:val="Heading2"/>
        <w:keepNext/>
      </w:pPr>
      <w:r>
        <w:t>14.2 ALG-18 repository build</w:t>
      </w:r>
    </w:p>
    <w:p>
      <w:pPr>
        <w:pStyle w:val="ListBullet"/>
        <w:spacing w:after="40"/>
      </w:pPr>
      <w:r>
        <w:t>Validate registered workbook/schema identity and required fields.</w:t>
      </w:r>
    </w:p>
    <w:p>
      <w:pPr>
        <w:pStyle w:val="ListBullet"/>
        <w:spacing w:after="40"/>
      </w:pPr>
      <w:r>
        <w:t>Validate controlled values and referential integrity.</w:t>
      </w:r>
    </w:p>
    <w:p>
      <w:pPr>
        <w:pStyle w:val="ListBullet"/>
        <w:spacing w:after="40"/>
      </w:pPr>
      <w:r>
        <w:t>Validate semantic/governance invariants required by build.</w:t>
      </w:r>
    </w:p>
    <w:p>
      <w:pPr>
        <w:pStyle w:val="ListBullet"/>
        <w:spacing w:after="40"/>
      </w:pPr>
      <w:r>
        <w:t>Compile runtime tabular objects, graph artifact, embeddings and manifest/checksums.</w:t>
      </w:r>
    </w:p>
    <w:p>
      <w:pPr>
        <w:pStyle w:val="ListBullet"/>
        <w:spacing w:after="40"/>
      </w:pPr>
      <w:r>
        <w:t>Fail closed: invalid source does not silently become active runtime truth.</w:t>
      </w:r>
    </w:p>
    <w:p>
      <w:pPr>
        <w:pStyle w:val="Heading2"/>
        <w:keepNext/>
      </w:pPr>
      <w:r>
        <w:t>14.3 ALG-19 idempotency</w:t>
      </w:r>
    </w:p>
    <w:p>
      <w:pPr>
        <w:pStyle w:val="ListBullet"/>
        <w:spacing w:after="40"/>
      </w:pPr>
      <w:r>
        <w:t>Recommendation Request_ID uniquely identifies one Generate semantic action.</w:t>
      </w:r>
    </w:p>
    <w:p>
      <w:pPr>
        <w:pStyle w:val="ListBullet"/>
        <w:spacing w:after="40"/>
      </w:pPr>
      <w:r>
        <w:t>Kit_Request_ID uniquely identifies one explicit Kit generation action.</w:t>
      </w:r>
    </w:p>
    <w:p>
      <w:pPr>
        <w:pStyle w:val="ListBullet"/>
        <w:spacing w:after="40"/>
      </w:pPr>
      <w:r>
        <w:t>Duplicate key + same canonical request hash returns/reuses stored result rather than duplicating execution.</w:t>
      </w:r>
    </w:p>
    <w:p>
      <w:pPr>
        <w:pStyle w:val="ListBullet"/>
        <w:spacing w:after="40"/>
      </w:pPr>
      <w:r>
        <w:t>Duplicate key + different hash is an idempotency conflict and must be rejected.</w:t>
      </w:r>
    </w:p>
    <w:p>
      <w:pPr>
        <w:pStyle w:val="Heading1"/>
        <w:keepNext/>
      </w:pPr>
      <w:r>
        <w:t>15. Consolidated pseudocode — recommendation path</w:t>
      </w:r>
    </w:p>
    <w:p>
      <w:pPr>
        <w:spacing w:after="120"/>
        <w:ind w:left="288" w:right="144"/>
        <w:shd w:fill="F8FAFC"/>
      </w:pPr>
      <w:r>
        <w:rPr>
          <w:rFonts w:ascii="Courier New" w:hAnsi="Courier New"/>
          <w:color w:val="1F2937"/>
          <w:sz w:val="16"/>
        </w:rPr>
        <w:t>validate_v1_hierarchy_and_context(request)</w:t>
        <w:br/>
        <w:t>if blocking_mismatch(request): return BLOCK</w:t>
        <w:br/>
        <w:t>normalized = normalize_preserving_raw_text(request)</w:t>
        <w:br/>
        <w:t>facets_pos, facets_neg = build_mechanism_profile(normalized)</w:t>
        <w:br/>
        <w:t>if no_defensible_mechanism(facets_pos): persist_abstention(NO_DEFENSIBLE...); return ABSTAINED</w:t>
        <w:br/>
        <w:t>evidence = controlled_graph_and_context_evidence(anchor, facets_pos)</w:t>
        <w:br/>
        <w:t>eligible = apply_scope_mechanism_guardrail_boundary_evidence_gates(evidence)</w:t>
        <w:br/>
        <w:t>if eligible is empty/insufficient: persist_abstention(INSUFFICIENT_EVIDENCE); return ABSTAINED</w:t>
        <w:br/>
        <w:t>ranked = frozen_primary_rank(eligible, facets_pos, context_evidence)</w:t>
        <w:br/>
        <w:t>primary = ranked[0]</w:t>
        <w:br/>
        <w:t>secondaries = design8a_promote(ranked, facets_pos, facets_neg)</w:t>
        <w:br/>
        <w:t>trace = build_trace_from_actual_decision_state(...)</w:t>
        <w:br/>
        <w:t>atomically_persist(context_snapshot, recommendation_event)</w:t>
        <w:br/>
        <w:t>return RecommendationResult(primary, supported_secondaries, trace_available)</w:t>
      </w:r>
    </w:p>
    <w:p>
      <w:pPr>
        <w:pStyle w:val="Heading1"/>
        <w:keepNext/>
      </w:pPr>
      <w:r>
        <w:t>16. Regression and benchmark linkage</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3168"/>
            <w:shd w:fill="2F5D8C"/>
            <w:vAlign w:val="center"/>
            <w:tcMar>
              <w:top w:w="55" w:type="dxa"/>
              <w:start w:w="80" w:type="dxa"/>
              <w:bottom w:w="55" w:type="dxa"/>
              <w:end w:w="80" w:type="dxa"/>
            </w:tcMar>
          </w:tcPr>
          <w:p>
            <w:pPr>
              <w:jc w:val="center"/>
            </w:pPr>
            <w:r>
              <w:rPr>
                <w:rFonts w:ascii="Arial" w:hAnsi="Arial"/>
                <w:b/>
                <w:color w:val="FFFFFF"/>
                <w:sz w:val="14"/>
              </w:rPr>
              <w:t>Regression obligation</w:t>
            </w:r>
          </w:p>
        </w:tc>
        <w:tc>
          <w:tcPr>
            <w:tcW w:type="dxa" w:w="6912"/>
            <w:shd w:fill="2F5D8C"/>
            <w:vAlign w:val="center"/>
            <w:tcMar>
              <w:top w:w="55" w:type="dxa"/>
              <w:start w:w="80" w:type="dxa"/>
              <w:bottom w:w="55" w:type="dxa"/>
              <w:end w:w="80" w:type="dxa"/>
            </w:tcMar>
          </w:tcPr>
          <w:p>
            <w:pPr>
              <w:jc w:val="center"/>
            </w:pPr>
            <w:r>
              <w:rPr>
                <w:rFonts w:ascii="Arial" w:hAnsi="Arial"/>
                <w:b/>
                <w:color w:val="FFFFFF"/>
                <w:sz w:val="14"/>
              </w:rPr>
              <w:t>Required condition</w:t>
            </w:r>
          </w:p>
        </w:tc>
      </w:tr>
      <w:tr>
        <w:tc>
          <w:tcPr>
            <w:tcW w:type="dxa" w:w="3168"/>
            <w:vAlign w:val="top"/>
            <w:tcMar>
              <w:top w:w="55" w:type="dxa"/>
              <w:start w:w="80" w:type="dxa"/>
              <w:bottom w:w="55" w:type="dxa"/>
              <w:end w:w="80" w:type="dxa"/>
            </w:tcMar>
          </w:tcPr>
          <w:p>
            <w:pPr>
              <w:spacing w:after="0"/>
            </w:pPr>
            <w:r>
              <w:rPr>
                <w:rFonts w:ascii="Arial" w:hAnsi="Arial"/>
                <w:color w:val="1F2937"/>
                <w:sz w:val="14"/>
              </w:rPr>
              <w:t>Primary ranking parity</w:t>
            </w:r>
          </w:p>
        </w:tc>
        <w:tc>
          <w:tcPr>
            <w:tcW w:type="dxa" w:w="6912"/>
            <w:vAlign w:val="top"/>
            <w:tcMar>
              <w:top w:w="55" w:type="dxa"/>
              <w:start w:w="80" w:type="dxa"/>
              <w:bottom w:w="55" w:type="dxa"/>
              <w:end w:w="80" w:type="dxa"/>
            </w:tcMar>
          </w:tcPr>
          <w:p>
            <w:pPr>
              <w:spacing w:after="0"/>
            </w:pPr>
            <w:r>
              <w:rPr>
                <w:rFonts w:ascii="Arial" w:hAnsi="Arial"/>
                <w:color w:val="1F2937"/>
                <w:sz w:val="14"/>
              </w:rPr>
              <w:t>Design-8/8a must preserve the validated pre-Design-8 primary Top-1 path.</w:t>
            </w:r>
          </w:p>
        </w:tc>
      </w:tr>
      <w:tr>
        <w:tc>
          <w:tcPr>
            <w:tcW w:type="dxa" w:w="3168"/>
            <w:shd w:fill="F8FAFC"/>
            <w:vAlign w:val="top"/>
            <w:tcMar>
              <w:top w:w="55" w:type="dxa"/>
              <w:start w:w="80" w:type="dxa"/>
              <w:bottom w:w="55" w:type="dxa"/>
              <w:end w:w="80" w:type="dxa"/>
            </w:tcMar>
          </w:tcPr>
          <w:p>
            <w:pPr>
              <w:spacing w:after="0"/>
            </w:pPr>
            <w:r>
              <w:rPr>
                <w:rFonts w:ascii="Arial" w:hAnsi="Arial"/>
                <w:color w:val="1F2937"/>
                <w:sz w:val="14"/>
              </w:rPr>
              <w:t>Educator input controls</w:t>
            </w:r>
          </w:p>
        </w:tc>
        <w:tc>
          <w:tcPr>
            <w:tcW w:type="dxa" w:w="6912"/>
            <w:shd w:fill="F8FAFC"/>
            <w:vAlign w:val="top"/>
            <w:tcMar>
              <w:top w:w="55" w:type="dxa"/>
              <w:start w:w="80" w:type="dxa"/>
              <w:bottom w:w="55" w:type="dxa"/>
              <w:end w:w="80" w:type="dxa"/>
            </w:tcMar>
          </w:tcPr>
          <w:p>
            <w:pPr>
              <w:spacing w:after="0"/>
            </w:pPr>
            <w:r>
              <w:rPr>
                <w:rFonts w:ascii="Arial" w:hAnsi="Arial"/>
                <w:color w:val="1F2937"/>
                <w:sz w:val="14"/>
              </w:rPr>
              <w:t>Design-7.5b generated-context eligibility-before-ranking and input precedence remain frozen.</w:t>
            </w:r>
          </w:p>
        </w:tc>
      </w:tr>
      <w:tr>
        <w:tc>
          <w:tcPr>
            <w:tcW w:type="dxa" w:w="3168"/>
            <w:vAlign w:val="top"/>
            <w:tcMar>
              <w:top w:w="55" w:type="dxa"/>
              <w:start w:w="80" w:type="dxa"/>
              <w:bottom w:w="55" w:type="dxa"/>
              <w:end w:w="80" w:type="dxa"/>
            </w:tcMar>
          </w:tcPr>
          <w:p>
            <w:pPr>
              <w:spacing w:after="0"/>
            </w:pPr>
            <w:r>
              <w:rPr>
                <w:rFonts w:ascii="Arial" w:hAnsi="Arial"/>
                <w:color w:val="1F2937"/>
                <w:sz w:val="14"/>
              </w:rPr>
              <w:t>Negation</w:t>
            </w:r>
          </w:p>
        </w:tc>
        <w:tc>
          <w:tcPr>
            <w:tcW w:type="dxa" w:w="6912"/>
            <w:vAlign w:val="top"/>
            <w:tcMar>
              <w:top w:w="55" w:type="dxa"/>
              <w:start w:w="80" w:type="dxa"/>
              <w:bottom w:w="55" w:type="dxa"/>
              <w:end w:w="80" w:type="dxa"/>
            </w:tcMar>
          </w:tcPr>
          <w:p>
            <w:pPr>
              <w:spacing w:after="0"/>
            </w:pPr>
            <w:r>
              <w:rPr>
                <w:rFonts w:ascii="Arial" w:hAnsi="Arial"/>
                <w:color w:val="1F2937"/>
                <w:sz w:val="14"/>
              </w:rPr>
              <w:t>Explicit negation never becomes positive secondary evidence; forbidden promoted violations remain zero under frozen regression.</w:t>
            </w:r>
          </w:p>
        </w:tc>
      </w:tr>
      <w:tr>
        <w:tc>
          <w:tcPr>
            <w:tcW w:type="dxa" w:w="3168"/>
            <w:shd w:fill="F8FAFC"/>
            <w:vAlign w:val="top"/>
            <w:tcMar>
              <w:top w:w="55" w:type="dxa"/>
              <w:start w:w="80" w:type="dxa"/>
              <w:bottom w:w="55" w:type="dxa"/>
              <w:end w:w="80" w:type="dxa"/>
            </w:tcMar>
          </w:tcPr>
          <w:p>
            <w:pPr>
              <w:spacing w:after="0"/>
            </w:pPr>
            <w:r>
              <w:rPr>
                <w:rFonts w:ascii="Arial" w:hAnsi="Arial"/>
                <w:color w:val="1F2937"/>
                <w:sz w:val="14"/>
              </w:rPr>
              <w:t>Context quality</w:t>
            </w:r>
          </w:p>
        </w:tc>
        <w:tc>
          <w:tcPr>
            <w:tcW w:type="dxa" w:w="6912"/>
            <w:shd w:fill="F8FAFC"/>
            <w:vAlign w:val="top"/>
            <w:tcMar>
              <w:top w:w="55" w:type="dxa"/>
              <w:start w:w="80" w:type="dxa"/>
              <w:bottom w:w="55" w:type="dxa"/>
              <w:end w:w="80" w:type="dxa"/>
            </w:tcMar>
          </w:tcPr>
          <w:p>
            <w:pPr>
              <w:spacing w:after="0"/>
            </w:pPr>
            <w:r>
              <w:rPr>
                <w:rFonts w:ascii="Arial" w:hAnsi="Arial"/>
                <w:color w:val="1F2937"/>
                <w:sz w:val="14"/>
              </w:rPr>
              <w:t>Off-scope generated context must be removed by compatibility gate before semantic ranking.</w:t>
            </w:r>
          </w:p>
        </w:tc>
      </w:tr>
      <w:tr>
        <w:tc>
          <w:tcPr>
            <w:tcW w:type="dxa" w:w="3168"/>
            <w:vAlign w:val="top"/>
            <w:tcMar>
              <w:top w:w="55" w:type="dxa"/>
              <w:start w:w="80" w:type="dxa"/>
              <w:bottom w:w="55" w:type="dxa"/>
              <w:end w:w="80" w:type="dxa"/>
            </w:tcMar>
          </w:tcPr>
          <w:p>
            <w:pPr>
              <w:spacing w:after="0"/>
            </w:pPr>
            <w:r>
              <w:rPr>
                <w:rFonts w:ascii="Arial" w:hAnsi="Arial"/>
                <w:color w:val="1F2937"/>
                <w:sz w:val="14"/>
              </w:rPr>
              <w:t>Benchmark ambiguity</w:t>
            </w:r>
          </w:p>
        </w:tc>
        <w:tc>
          <w:tcPr>
            <w:tcW w:type="dxa" w:w="6912"/>
            <w:vAlign w:val="top"/>
            <w:tcMar>
              <w:top w:w="55" w:type="dxa"/>
              <w:start w:w="80" w:type="dxa"/>
              <w:bottom w:w="55" w:type="dxa"/>
              <w:end w:w="80" w:type="dxa"/>
            </w:tcMar>
          </w:tcPr>
          <w:p>
            <w:pPr>
              <w:spacing w:after="0"/>
            </w:pPr>
            <w:r>
              <w:rPr>
                <w:rFonts w:ascii="Arial" w:hAnsi="Arial"/>
                <w:color w:val="1F2937"/>
                <w:sz w:val="14"/>
              </w:rPr>
              <w:t>Cases already identified as expert-review/ambiguous are not tuning targets merely to force gold.</w:t>
            </w:r>
          </w:p>
        </w:tc>
      </w:tr>
      <w:tr>
        <w:tc>
          <w:tcPr>
            <w:tcW w:type="dxa" w:w="3168"/>
            <w:shd w:fill="F8FAFC"/>
            <w:vAlign w:val="top"/>
            <w:tcMar>
              <w:top w:w="55" w:type="dxa"/>
              <w:start w:w="80" w:type="dxa"/>
              <w:bottom w:w="55" w:type="dxa"/>
              <w:end w:w="80" w:type="dxa"/>
            </w:tcMar>
          </w:tcPr>
          <w:p>
            <w:pPr>
              <w:spacing w:after="0"/>
            </w:pPr>
            <w:r>
              <w:rPr>
                <w:rFonts w:ascii="Arial" w:hAnsi="Arial"/>
                <w:color w:val="1F2937"/>
                <w:sz w:val="14"/>
              </w:rPr>
              <w:t>Model/version change</w:t>
            </w:r>
          </w:p>
        </w:tc>
        <w:tc>
          <w:tcPr>
            <w:tcW w:type="dxa" w:w="6912"/>
            <w:shd w:fill="F8FAFC"/>
            <w:vAlign w:val="top"/>
            <w:tcMar>
              <w:top w:w="55" w:type="dxa"/>
              <w:start w:w="80" w:type="dxa"/>
              <w:bottom w:w="55" w:type="dxa"/>
              <w:end w:w="80" w:type="dxa"/>
            </w:tcMar>
          </w:tcPr>
          <w:p>
            <w:pPr>
              <w:spacing w:after="0"/>
            </w:pPr>
            <w:r>
              <w:rPr>
                <w:rFonts w:ascii="Arial" w:hAnsi="Arial"/>
                <w:color w:val="1F2937"/>
                <w:sz w:val="14"/>
              </w:rPr>
              <w:t>Changing MiniLM/model/thresholds/weights requires a new frozen benchmark/parity validation rather than silent substitution.</w:t>
            </w:r>
          </w:p>
        </w:tc>
      </w:tr>
    </w:tbl>
    <w:p/>
    <w:p>
      <w:pPr>
        <w:pStyle w:val="Heading1"/>
        <w:keepNext/>
      </w:pPr>
      <w:r>
        <w:t>17. Acceptance checklist</w:t>
      </w:r>
    </w:p>
    <w:p>
      <w:pPr>
        <w:pStyle w:val="ListBullet"/>
        <w:spacing w:after="40"/>
      </w:pPr>
      <w:r>
        <w:t>Each algorithm has defined inputs, outputs, preconditions, decision rules and failure/domain outcomes.</w:t>
      </w:r>
    </w:p>
    <w:p>
      <w:pPr>
        <w:pStyle w:val="ListBullet"/>
        <w:spacing w:after="40"/>
      </w:pPr>
      <w:r>
        <w:t>Exact Design-8a ranking/promotion parameters are configuration-owned and covered by parity tests.</w:t>
      </w:r>
    </w:p>
    <w:p>
      <w:pPr>
        <w:pStyle w:val="ListBullet"/>
        <w:spacing w:after="40"/>
      </w:pPr>
      <w:r>
        <w:t>No algorithm reads benchmark gold labels during prediction.</w:t>
      </w:r>
    </w:p>
    <w:p>
      <w:pPr>
        <w:pStyle w:val="ListBullet"/>
        <w:spacing w:after="40"/>
      </w:pPr>
      <w:r>
        <w:t>Application Context and SCR semantic similarity never bypass eligibility/compatibility.</w:t>
      </w:r>
    </w:p>
    <w:p>
      <w:pPr>
        <w:pStyle w:val="ListBullet"/>
        <w:spacing w:after="40"/>
      </w:pPr>
      <w:r>
        <w:t>Positive and negated promotion facets remain separate.</w:t>
      </w:r>
    </w:p>
    <w:p>
      <w:pPr>
        <w:pStyle w:val="ListBullet"/>
        <w:spacing w:after="40"/>
      </w:pPr>
      <w:r>
        <w:t>Downstream Kit algorithms cannot modify accepted SCR eligibility.</w:t>
      </w:r>
    </w:p>
    <w:p>
      <w:pPr>
        <w:pStyle w:val="ListBullet"/>
        <w:spacing w:after="40"/>
      </w:pPr>
      <w:r>
        <w:t>Graph path is deterministic and inspection-only.</w:t>
      </w:r>
    </w:p>
    <w:p>
      <w:pPr>
        <w:pStyle w:val="ListBullet"/>
        <w:spacing w:after="40"/>
      </w:pPr>
      <w:r>
        <w:t>SEQ-08 modules can implement these algorithms without adding new cross-domain authority.</w:t>
      </w:r>
    </w:p>
    <w:sectPr w:rsidR="00FC693F" w:rsidRPr="0006063C" w:rsidSect="00034616">
      <w:headerReference w:type="default" r:id="rId9"/>
      <w:footerReference w:type="default" r:id="rId10"/>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 xml:space="preserve">Ontology-Driven Sustainability Recommendation System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SEQ-07 — Algorithm Specification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2F5D8C"/>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2F5D8C"/>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2F5D8C"/>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Arial"/>
      <w:b/>
      <w:bCs/>
      <w:i/>
      <w:iCs/>
      <w:color w:val="2F5D8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D8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Interface Design v0.2</dc:title>
  <dc:subject>SEQ-04 — reconciled V1 interface contracts with line-flow diagrams</dc:subject>
  <dc:creator/>
  <cp:keywords>SEQ-04, technical interface design, recommendation system, knowledge graph, sustainability</cp:keywords>
  <dc:description>V1 implementation baseline</dc:description>
  <cp:lastModifiedBy/>
  <cp:revision>1</cp:revision>
  <dcterms:created xsi:type="dcterms:W3CDTF">2013-12-23T23:15:00Z</dcterms:created>
  <dcterms:modified xsi:type="dcterms:W3CDTF">2013-12-23T23:15:00Z</dcterms:modified>
  <cp:category/>
</cp:coreProperties>
</file>