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360"/>
        <w:jc w:val="center"/>
      </w:pPr>
      <w:r>
        <w:rPr>
          <w:rFonts w:ascii="Arial" w:hAnsi="Arial"/>
          <w:b/>
          <w:color w:val="2F5D8C"/>
          <w:sz w:val="52"/>
        </w:rPr>
        <w:t>DATA MODEL &amp; PERSISTENCE SPECIFICATION</w:t>
      </w:r>
    </w:p>
    <w:p>
      <w:pPr>
        <w:spacing w:after="240"/>
        <w:jc w:val="center"/>
      </w:pPr>
      <w:r>
        <w:rPr>
          <w:rFonts w:ascii="Arial" w:hAnsi="Arial"/>
          <w:b/>
          <w:color w:val="1F2937"/>
          <w:sz w:val="36"/>
        </w:rPr>
        <w:t>Ontology and Knowledge Graph-Driven</w:t>
        <w:br/>
        <w:t>Sustainability Principles Recommendation System</w:t>
      </w:r>
    </w:p>
    <w:p>
      <w:pPr>
        <w:spacing w:after="560"/>
        <w:jc w:val="center"/>
      </w:pPr>
      <w:r>
        <w:rPr>
          <w:rFonts w:ascii="Arial" w:hAnsi="Arial"/>
          <w:color w:val="6B7280"/>
          <w:sz w:val="22"/>
        </w:rPr>
        <w:t>SEQ-09  |  Version 0.2  |  September 2026</w:t>
      </w:r>
    </w:p>
    <w:p>
      <w:pPr>
        <w:spacing w:before="800" w:after="120"/>
      </w:pPr>
      <w:r>
        <w:rPr>
          <w:b/>
          <w:color w:val="2F5D8C"/>
          <w:sz w:val="24"/>
        </w:rPr>
        <w:t>Purpose</w:t>
      </w:r>
    </w:p>
    <w:p>
      <w:pPr>
        <w:spacing w:after="0"/>
      </w:pPr>
      <w:r>
        <w:t>Define the V1 physical operational data model, persistence semantics, identifiers, constraints, transactions, portability rules and migration/backup expectations for SQLite local development and Supabase PostgreSQL hosted deployment, while preserving canonical repository/runtime separation.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44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63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Sequence</w:t>
            </w:r>
          </w:p>
        </w:tc>
        <w:tc>
          <w:tcPr>
            <w:tcW w:type="dxa" w:w="76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SEQ-09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Version</w:t>
            </w:r>
          </w:p>
        </w:tc>
        <w:tc>
          <w:tcPr>
            <w:tcW w:type="dxa" w:w="76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0.2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Status</w:t>
            </w:r>
          </w:p>
        </w:tc>
        <w:tc>
          <w:tcPr>
            <w:tcW w:type="dxa" w:w="76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V1 physical persistence baseline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Date</w:t>
            </w:r>
          </w:p>
        </w:tc>
        <w:tc>
          <w:tcPr>
            <w:tcW w:type="dxa" w:w="76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September 2026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Upstream baseline</w:t>
            </w:r>
          </w:p>
        </w:tc>
        <w:tc>
          <w:tcPr>
            <w:tcW w:type="dxa" w:w="76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System Architecture Design v1.1 Final; Technical Interface Design v0.2; Interface Contract Registry v0.1; Data Flow Design v0.1 Final; Data Flow Registry v0.1; SEQ-06 Process Flow Specification v0.1; SEQ-07 Algorithm Specification v0.1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Change rule</w:t>
            </w:r>
          </w:p>
        </w:tc>
        <w:tc>
          <w:tcPr>
            <w:tcW w:type="dxa" w:w="76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This specification refines implementation detail without changing frozen recommendation semantics or V1 product scope.</w:t>
            </w:r>
          </w:p>
        </w:tc>
      </w:tr>
    </w:tbl>
    <w:p/>
    <w:p>
      <w:pPr>
        <w:pStyle w:val="Heading2"/>
        <w:keepNext/>
      </w:pPr>
      <w:r>
        <w:t>Contents and reading order</w:t>
      </w:r>
    </w:p>
    <w:p>
      <w:pPr>
        <w:pStyle w:val="ListBullet"/>
        <w:spacing w:after="40"/>
      </w:pPr>
      <w:r>
        <w:t>1–3 define scope, source authority and persistence principles.</w:t>
      </w:r>
    </w:p>
    <w:p>
      <w:pPr>
        <w:pStyle w:val="ListBullet"/>
        <w:spacing w:after="40"/>
      </w:pPr>
      <w:r>
        <w:t>4–8 define identifiers, physical tables, JSON payloads, constraints and transaction/idempotency behavior.</w:t>
      </w:r>
    </w:p>
    <w:p>
      <w:pPr>
        <w:pStyle w:val="ListBullet"/>
        <w:spacing w:after="40"/>
      </w:pPr>
      <w:r>
        <w:t>9–12 define portability, migrations, retention/backup and runtime read/write patterns.</w:t>
      </w:r>
    </w:p>
    <w:p>
      <w:pPr>
        <w:pStyle w:val="ListBullet"/>
        <w:spacing w:after="40"/>
      </w:pPr>
      <w:r>
        <w:t>13–15 reconcile security handoff, deferred scope and acceptance.</w:t>
      </w:r>
    </w:p>
    <w:p>
      <w:pPr>
        <w:pStyle w:val="Heading1"/>
        <w:keepNext/>
      </w:pPr>
      <w:r>
        <w:t>1. Purpose and scope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SEQ-09 converts SEQ-05 logical stores and persistence events into a concrete V1 operational persistence design. It does not replace governed Excel repositories or compiled graph/embedding artifacts with database-managed ontology truth.</w:t>
      </w:r>
    </w:p>
    <w:p>
      <w:pPr>
        <w:pStyle w:val="Heading2"/>
        <w:keepNext/>
      </w:pPr>
      <w:r>
        <w:t>1.1 In scope</w:t>
      </w:r>
    </w:p>
    <w:p>
      <w:pPr>
        <w:pStyle w:val="ListBullet"/>
        <w:spacing w:after="40"/>
      </w:pPr>
      <w:r>
        <w:t>Operational SQL tables, primary/foreign/unique/check constraints and indexes.</w:t>
      </w:r>
    </w:p>
    <w:p>
      <w:pPr>
        <w:pStyle w:val="ListBullet"/>
        <w:spacing w:after="40"/>
      </w:pPr>
      <w:r>
        <w:t>Immutable/append-only semantics and atomic transaction boundaries.</w:t>
      </w:r>
    </w:p>
    <w:p>
      <w:pPr>
        <w:pStyle w:val="ListBullet"/>
        <w:spacing w:after="40"/>
      </w:pPr>
      <w:r>
        <w:t>Portable SQLite and PostgreSQL type mapping.</w:t>
      </w:r>
    </w:p>
    <w:p>
      <w:pPr>
        <w:pStyle w:val="ListBullet"/>
        <w:spacing w:after="40"/>
      </w:pPr>
      <w:r>
        <w:t>Idempotency persistence, version provenance and technical audit records.</w:t>
      </w:r>
    </w:p>
    <w:p>
      <w:pPr>
        <w:pStyle w:val="ListBullet"/>
        <w:spacing w:after="40"/>
      </w:pPr>
      <w:r>
        <w:t>Persistence adapter behavior required by SEQ-08.</w:t>
      </w:r>
    </w:p>
    <w:p>
      <w:pPr>
        <w:pStyle w:val="Heading2"/>
        <w:keepNext/>
      </w:pPr>
      <w:r>
        <w:t>1.2 Out of scope</w:t>
      </w:r>
    </w:p>
    <w:p>
      <w:pPr>
        <w:pStyle w:val="ListBullet"/>
        <w:spacing w:after="40"/>
      </w:pPr>
      <w:r>
        <w:t>Canonical repository schema — existing governed repositories remain authoritative.</w:t>
      </w:r>
    </w:p>
    <w:p>
      <w:pPr>
        <w:pStyle w:val="ListBullet"/>
        <w:spacing w:after="40"/>
      </w:pPr>
      <w:r>
        <w:t>Graph/embedding runtime data as relational tables — compiled artifacts remain build outputs.</w:t>
      </w:r>
    </w:p>
    <w:p>
      <w:pPr>
        <w:pStyle w:val="ListBullet"/>
        <w:spacing w:after="40"/>
      </w:pPr>
      <w:r>
        <w:t>Functional repository publication/rollback persistence — deferred beyond V1.</w:t>
      </w:r>
    </w:p>
    <w:p>
      <w:pPr>
        <w:pStyle w:val="ListBullet"/>
        <w:spacing w:after="40"/>
      </w:pPr>
      <w:r>
        <w:t>Authentication provider implementation and detailed row-level access policy — SEQ-10.</w:t>
      </w:r>
    </w:p>
    <w:p>
      <w:pPr>
        <w:pStyle w:val="Heading1"/>
        <w:keepNext/>
      </w:pPr>
      <w:r>
        <w:t>2. Source baseline and data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16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691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Persistence consequence</w:t>
            </w:r>
          </w:p>
        </w:tc>
      </w:tr>
      <w:tr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System Architecture Design v1.1 Final</w:t>
            </w:r>
          </w:p>
        </w:tc>
        <w:tc>
          <w:tcPr>
            <w:tcW w:type="dxa" w:w="69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Canonical knowledge separate from RecommendationEvent, RecommendationContextSnapshot, EducatorKitSnapshot and EducatorDecision.</w:t>
            </w:r>
          </w:p>
        </w:tc>
      </w:tr>
      <w:tr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Technical Interface Design v0.2</w:t>
            </w:r>
          </w:p>
        </w:tc>
        <w:tc>
          <w:tcPr>
            <w:tcW w:type="dxa" w:w="69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Exact IDs/statuses/controlled values and idempotency/error behavior.</w:t>
            </w:r>
          </w:p>
        </w:tc>
      </w:tr>
      <w:tr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Data Flow Design v0.1 Final</w:t>
            </w:r>
          </w:p>
        </w:tc>
        <w:tc>
          <w:tcPr>
            <w:tcW w:type="dxa" w:w="69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Creation timing, mutability and consumers for persisted objects.</w:t>
            </w:r>
          </w:p>
        </w:tc>
      </w:tr>
      <w:tr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SEQ-08 Module Interface Specification v0.2</w:t>
            </w:r>
          </w:p>
        </w:tc>
        <w:tc>
          <w:tcPr>
            <w:tcW w:type="dxa" w:w="69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PersistencePort is the only domain-facing operational write/read boundary.</w:t>
            </w:r>
          </w:p>
        </w:tc>
      </w:tr>
    </w:tbl>
    <w:p/>
    <w:p>
      <w:pPr>
        <w:pStyle w:val="Heading1"/>
        <w:keepNext/>
      </w:pPr>
      <w:r>
        <w:t>3. Persistence principles</w:t>
      </w:r>
    </w:p>
    <w:p>
      <w:pPr>
        <w:pStyle w:val="ListBullet"/>
        <w:spacing w:after="40"/>
      </w:pPr>
      <w:r>
        <w:t>Canonical/operational separation: runtime outputs never become ontology truth.</w:t>
      </w:r>
    </w:p>
    <w:p>
      <w:pPr>
        <w:pStyle w:val="ListBullet"/>
        <w:spacing w:after="40"/>
      </w:pPr>
      <w:r>
        <w:t>Immutable snapshots: context and Kit snapshot rows are insert-only after commit.</w:t>
      </w:r>
    </w:p>
    <w:p>
      <w:pPr>
        <w:pStyle w:val="ListBullet"/>
        <w:spacing w:after="40"/>
      </w:pPr>
      <w:r>
        <w:t>Append-only events/decisions: no overwrite of historical system or educator actions.</w:t>
      </w:r>
    </w:p>
    <w:p>
      <w:pPr>
        <w:pStyle w:val="ListBullet"/>
        <w:spacing w:after="40"/>
      </w:pPr>
      <w:r>
        <w:t>Atomic completed recommendation: context snapshot and event commit together before RecommendationResult is returned.</w:t>
      </w:r>
    </w:p>
    <w:p>
      <w:pPr>
        <w:pStyle w:val="ListBullet"/>
        <w:spacing w:after="40"/>
      </w:pPr>
      <w:r>
        <w:t>Portable SQL core: one logical schema supports SQLite and PostgreSQL; backend-specific optimizations remain adapter-local.</w:t>
      </w:r>
    </w:p>
    <w:p>
      <w:pPr>
        <w:pStyle w:val="ListBullet"/>
        <w:spacing w:after="40"/>
      </w:pPr>
      <w:r>
        <w:t>Exact text preservation: educator Application Context and adaptation text are persisted exactly as used/saved.</w:t>
      </w:r>
    </w:p>
    <w:p>
      <w:pPr>
        <w:pStyle w:val="ListBullet"/>
        <w:spacing w:after="40"/>
      </w:pPr>
      <w:r>
        <w:t>Version provenance: repository, graph, embedding/model, runtime, prompt/contract and interface versions are stored with the relevant historical record.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22355"/>
            <wp:docPr id="1" name="Picture 1" descr="Entity relationship line diagram for recommendation_context_snapshot, recommendation_event, educator_kit_snapshot, educator_decision and audit_event. Canonical repository entities are referenced by stable IDs but remain outside the operational database." title="Figure 1. V1 operational physical data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9_fig1_physical_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2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1. V1 operational physical data model</w:t>
      </w:r>
    </w:p>
    <w:p>
      <w:pPr>
        <w:pStyle w:val="Heading1"/>
        <w:keepNext/>
      </w:pPr>
      <w:r>
        <w:t>4. Identifier and timestamp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Field family</w:t>
            </w:r>
          </w:p>
        </w:tc>
        <w:tc>
          <w:tcPr>
            <w:tcW w:type="dxa" w:w="720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Operational IDs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Opaque UUID strings generated server-side: context_snapshot_id, recommendation_event_id, kit_snapshot_id, educator_decision_id, audit_event_id. They must not imitate canonical repository ID formats.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Request IDs</w:t>
            </w:r>
          </w:p>
        </w:tc>
        <w:tc>
          <w:tcPr>
            <w:tcW w:type="dxa" w:w="72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Request_ID and Kit_Request_ID are opaque idempotency keys supplied/generated by application layer and protected by UNIQUE constraints.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Canonical IDs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Course_ID, Module_ID, Subtopic_ID, SCR_ID, Template_ID, Context_Candidate_ID and governed entity IDs are stored as text references; no operational FK is created to Excel/runtime artifacts.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Timestamps</w:t>
            </w:r>
          </w:p>
        </w:tc>
        <w:tc>
          <w:tcPr>
            <w:tcW w:type="dxa" w:w="72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Persist UTC. PostgreSQL uses timestamptz; SQLite uses ISO-8601 UTC text.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Hashes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SHA-256 canonical request payload hash is stored for idempotency conflict detection.</w:t>
            </w:r>
          </w:p>
        </w:tc>
      </w:tr>
    </w:tbl>
    <w:p/>
    <w:p>
      <w:pPr>
        <w:pStyle w:val="Heading1"/>
        <w:keepNext/>
      </w:pPr>
      <w:r>
        <w:t>5. Physical table specification</w:t>
      </w:r>
    </w:p>
    <w:p>
      <w:pPr>
        <w:pStyle w:val="Heading2"/>
        <w:keepNext/>
      </w:pPr>
      <w:r>
        <w:t>5.1 recommendation_context_snapshot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37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1944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93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Null</w:t>
            </w:r>
          </w:p>
        </w:tc>
        <w:tc>
          <w:tcPr>
            <w:tcW w:type="dxa" w:w="496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Constraint / purpose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context_snapshot_id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 / varchar UUID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PRIMARY KEY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request_id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UNIQUE; recommendation idempotency key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request_payload_hash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SHA-256 canonical normalized request representation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course_id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Canonical Course reference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module_id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Canonical Module reference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subtopic_id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Authoritative V1 technical anchor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application_context_source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CHECK EDUCATOR_ENTERED | ACCEPTED_SYSTEM_GENERATED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application_context_text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Exact accepted text used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accepted_context_candidate_id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49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Required only for ACCEPTED_SYSTEM_GENERATED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suggested_contexts_json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Final 0..2 candidates actually shown; default []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teaching_context_json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Reviewed teaching context; default {}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mechanism_profile_json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49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Positive and explicit-negative derived facets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evidence_state_json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49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Resolved graph/context/eligibility evidence snapshot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version_manifest_json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Repository/graph/model/runtime/interface versions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actor_scope_hash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49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Server-generated session/actor scope for access enforcement; not user-visible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created_at_utc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TIMESTAMPTZ/TEXT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9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Immutable creation timestamp</w:t>
            </w:r>
          </w:p>
        </w:tc>
      </w:tr>
    </w:tbl>
    <w:p/>
    <w:p>
      <w:pPr>
        <w:pStyle w:val="Heading2"/>
        <w:keepNext/>
      </w:pPr>
      <w:r>
        <w:t>5.2 recommendation_event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4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1944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93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Null</w:t>
            </w:r>
          </w:p>
        </w:tc>
        <w:tc>
          <w:tcPr>
            <w:tcW w:type="dxa" w:w="489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Constraint / purpose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recommendation_event_id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89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PRIMARY KEY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request_id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89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UNIQUE; must match context snapshot request_id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context_snapshot_id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89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UNIQUE FK → recommendation_context_snapshot ON DELETE RESTRICT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recommendation_status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89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CHECK SUCCESS | ABSTAINED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primary_scr_id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489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Required iff SUCCESS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additional_scr_ids_json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89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Independent supported additional SCR IDs; default []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abstention_reason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489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Required iff ABSTAINED; controlled values only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why_this_fits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489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Trace-derived concise delivered explanation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trace_json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489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Structured persisted Explanation/Audit_Detail provenance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trace_available</w:t>
            </w:r>
          </w:p>
        </w:tc>
        <w:tc>
          <w:tcPr>
            <w:tcW w:type="dxa" w:w="19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BOOLEAN/INTEGER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89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Derived/persisted convenience flag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created_at_utc</w:t>
            </w:r>
          </w:p>
        </w:tc>
        <w:tc>
          <w:tcPr>
            <w:tcW w:type="dxa" w:w="19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TIMESTAMPTZ/TEXT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489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Append-only event time</w:t>
            </w:r>
          </w:p>
        </w:tc>
      </w:tr>
    </w:tbl>
    <w:p/>
    <w:p>
      <w:pPr>
        <w:pStyle w:val="Heading2"/>
        <w:keepNext/>
      </w:pPr>
      <w:r>
        <w:t>5.3 educator_kit_snapshot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4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180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93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Null</w:t>
            </w:r>
          </w:p>
        </w:tc>
        <w:tc>
          <w:tcPr>
            <w:tcW w:type="dxa" w:w="504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Constraint / purpose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kit_snapshot_id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PRIMARY KEY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kit_request_id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UNIQUE Kit-generation idempotency key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kit_request_hash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SHA-256 canonical request hash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recommendation_event_id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FK → recommendation_event ON DELETE RESTRICT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context_snapshot_id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FK → recommendation_context_snapshot ON DELETE RESTRICT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selected_template_id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Canonical selected Stage-E Template_ID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requested_template_id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Non-null for explicit alternative request when applicable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kit_generation_status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CHECK READY | VALIDATION_FAILED for persisted snapshots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validation_status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CHECK PASS | FAIL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material_source_mode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CHECK USE_SYSTEM_SUGGESTION | USE_MY_MATERIAL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teaching_context_json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Effective teaching context used for this Kit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alternative_template_summaries_json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0..2 summaries; default []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resolved_contract_json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Exact output-element contract + version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teaching_material_json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Resolved material/evidence with provenance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framework_context_json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Resolved active/excluded framework context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generation_provenance_json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Provider/model/prompt/runtime versions; no secret values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kit_payload_json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Structured generated Kit content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validation_json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Overall + element PASS/FAIL/NOT_APPLICABLE and reasons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actor_scope_hash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Session/actor scope for access enforcement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created_at_utc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TIMESTAMPTZ/TEXT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Immutable snapshot timestamp</w:t>
            </w:r>
          </w:p>
        </w:tc>
      </w:tr>
    </w:tbl>
    <w:p/>
    <w:p>
      <w:pPr>
        <w:pStyle w:val="Heading2"/>
        <w:keepNext/>
      </w:pPr>
      <w:r>
        <w:t>5.4 educator_decision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4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187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93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Null</w:t>
            </w:r>
          </w:p>
        </w:tc>
        <w:tc>
          <w:tcPr>
            <w:tcW w:type="dxa" w:w="504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Constraint / purpose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educator_decision_id</w:t>
            </w:r>
          </w:p>
        </w:tc>
        <w:tc>
          <w:tcPr>
            <w:tcW w:type="dxa" w:w="187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PRIMARY KEY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kit_snapshot_id</w:t>
            </w:r>
          </w:p>
        </w:tc>
        <w:tc>
          <w:tcPr>
            <w:tcW w:type="dxa" w:w="187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FK → educator_kit_snapshot ON DELETE RESTRICT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decision</w:t>
            </w:r>
          </w:p>
        </w:tc>
        <w:tc>
          <w:tcPr>
            <w:tcW w:type="dxa" w:w="187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CHECK USE_AS_SUGGESTED | ADAPT | CHOOSE_ALTERNATIVE | NOT_USE | SAVE_FOR_LATER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chosen_template_id</w:t>
            </w:r>
          </w:p>
        </w:tc>
        <w:tc>
          <w:tcPr>
            <w:tcW w:type="dxa" w:w="187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Required iff CHOOSE_ALTERNATIVE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adaptation_text</w:t>
            </w:r>
          </w:p>
        </w:tc>
        <w:tc>
          <w:tcPr>
            <w:tcW w:type="dxa" w:w="187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Required when an ADAPT decision saves an adaptation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decision_note</w:t>
            </w:r>
          </w:p>
        </w:tc>
        <w:tc>
          <w:tcPr>
            <w:tcW w:type="dxa" w:w="187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Optional educator note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actor_scope_hash</w:t>
            </w:r>
          </w:p>
        </w:tc>
        <w:tc>
          <w:tcPr>
            <w:tcW w:type="dxa" w:w="187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04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Session/actor scope if available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created_at_utc</w:t>
            </w:r>
          </w:p>
        </w:tc>
        <w:tc>
          <w:tcPr>
            <w:tcW w:type="dxa" w:w="187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TIMESTAMPTZ/TEXT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04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Append-only action timestamp</w:t>
            </w:r>
          </w:p>
        </w:tc>
      </w:tr>
    </w:tbl>
    <w:p/>
    <w:p>
      <w:pPr>
        <w:pStyle w:val="Heading2"/>
        <w:keepNext/>
      </w:pPr>
      <w:r>
        <w:t>5.5 audit_event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37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180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93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Null</w:t>
            </w:r>
          </w:p>
        </w:tc>
        <w:tc>
          <w:tcPr>
            <w:tcW w:type="dxa" w:w="5184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Constraint / purpose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audit_event_id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18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PRIMARY KEY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occurred_at_utc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TIMESTAMPTZ/TEXT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18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UTC event time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actor_type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18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PUBLIC_EDUCATOR | ADMIN | SYSTEM_SERVICE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event_type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NO</w:t>
            </w:r>
          </w:p>
        </w:tc>
        <w:tc>
          <w:tcPr>
            <w:tcW w:type="dxa" w:w="518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Stable audit event code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request_id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18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Recommendation/Kit request correlation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entity_type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18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Operational/canonical resource type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entity_id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18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Opaque/canonical ID as applicable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outcome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18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SUCCESS/DENIED/ERROR/etc.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error_code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TEXT</w:t>
            </w:r>
          </w:p>
        </w:tc>
        <w:tc>
          <w:tcPr>
            <w:tcW w:type="dxa" w:w="9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18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TechnicalError code if applicable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details_json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JSON/TEXT</w:t>
            </w:r>
          </w:p>
        </w:tc>
        <w:tc>
          <w:tcPr>
            <w:tcW w:type="dxa" w:w="9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YES</w:t>
            </w:r>
          </w:p>
        </w:tc>
        <w:tc>
          <w:tcPr>
            <w:tcW w:type="dxa" w:w="518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3"/>
              </w:rPr>
              <w:t>Sanitized metadata only; avoid raw educator/generated content and secrets</w:t>
            </w:r>
          </w:p>
        </w:tc>
      </w:tr>
    </w:tbl>
    <w:p/>
    <w:p>
      <w:pPr>
        <w:pStyle w:val="Heading1"/>
        <w:keepNext/>
      </w:pPr>
      <w:r>
        <w:t>6. Integrity constraints</w:t>
      </w:r>
    </w:p>
    <w:p>
      <w:pPr>
        <w:pStyle w:val="ListBullet"/>
        <w:spacing w:after="40"/>
      </w:pPr>
      <w:r>
        <w:t>SUCCESS requires primary_scr_id IS NOT NULL and abstention_reason IS NULL; ABSTAINED requires primary_scr_id IS NULL and a governed abstention_reason.</w:t>
      </w:r>
    </w:p>
    <w:p>
      <w:pPr>
        <w:pStyle w:val="ListBullet"/>
        <w:spacing w:after="40"/>
      </w:pPr>
      <w:r>
        <w:t>ACCEPTED_SYSTEM_GENERATED requires accepted_context_candidate_id; EDUCATOR_ENTERED requires it to be NULL.</w:t>
      </w:r>
    </w:p>
    <w:p>
      <w:pPr>
        <w:pStyle w:val="ListBullet"/>
        <w:spacing w:after="40"/>
      </w:pPr>
      <w:r>
        <w:t>Persisted Kit snapshot status is READY only when validation_status = PASS; VALIDATION_FAILED only when validation_status = FAIL.</w:t>
      </w:r>
    </w:p>
    <w:p>
      <w:pPr>
        <w:pStyle w:val="ListBullet"/>
        <w:spacing w:after="40"/>
      </w:pPr>
      <w:r>
        <w:t>NO_ELIGIBLE_TEMPLATE produces no educator_kit_snapshot row because no generated Kit exists.</w:t>
      </w:r>
    </w:p>
    <w:p>
      <w:pPr>
        <w:pStyle w:val="ListBullet"/>
        <w:spacing w:after="40"/>
      </w:pPr>
      <w:r>
        <w:t>CHOOSE_ALTERNATIVE requires chosen_template_id; ADAPT requires adaptation_text when the adaptation is actually saved.</w:t>
      </w:r>
    </w:p>
    <w:p>
      <w:pPr>
        <w:pStyle w:val="ListBullet"/>
        <w:spacing w:after="40"/>
      </w:pPr>
      <w:r>
        <w:t>Foreign-key deletes are RESTRICT/NO ACTION; operational history is not cascaded away by normal application operations.</w:t>
      </w:r>
    </w:p>
    <w:p>
      <w:pPr>
        <w:pStyle w:val="Heading1"/>
        <w:keepNext/>
      </w:pPr>
      <w:r>
        <w:t>7. Transactions and idempotency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529190"/>
            <wp:docPr id="2" name="Picture 2" descr="Sequence-line diagram showing atomic recommendation snapshot/event commit, immutable Kit snapshot insert, and append-only educator decision writes." title="Figure 2. V1 persistence transaction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9_fig2_transa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2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2. V1 persistence transaction boundaries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Recommendation transaction: validate idempotency key/hash, insert RecommendationContextSnapshot, insert RecommendationEvent, commit, then return RecommendationResult. A failure before commit returns TechnicalError and leaves no half-completed recommendation.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Kit transaction: validate Kit_Request_ID/hash, insert the immutable EducatorKitSnapshot for READY or VALIDATION_FAILED, commit, then return the Kit generation result. NO_ELIGIBLE_TEMPLATE is a domain result without snapshot creation.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Duplicate Request_ID/Kit_Request_ID with the same canonical payload hash returns the stored completed outcome. Reuse with a different hash is an idempotency conflict and must not execute a second semantic action.</w:t>
      </w:r>
    </w:p>
    <w:p>
      <w:pPr>
        <w:pStyle w:val="Heading1"/>
        <w:keepNext/>
      </w:pPr>
      <w:r>
        <w:t>8. JSON payload schemas and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Payload</w:t>
            </w:r>
          </w:p>
        </w:tc>
        <w:tc>
          <w:tcPr>
            <w:tcW w:type="dxa" w:w="720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Persistence rule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suggested_contexts_json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Array of 0..2 exact displayed ContextCandidate records needed for provenance; internal resolver evidence may be summarized separately in evidence_state_json.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teaching_context_json</w:t>
            </w:r>
          </w:p>
        </w:tc>
        <w:tc>
          <w:tcPr>
            <w:tcW w:type="dxa" w:w="72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Keyed controlled fields; omit or null only according to SEQ-04 null rules; preserve Additional_Constraints exact text.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evidence_state_json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Structured mechanism facets, evidence paths/eligibility diagnostics and exact relevant version references needed for replay/audit.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version_manifest_json</w:t>
            </w:r>
          </w:p>
        </w:tc>
        <w:tc>
          <w:tcPr>
            <w:tcW w:type="dxa" w:w="72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Named version keys for repository bundle, graph manifest, embedding/model, runtime algorithm, interface contract and resolver versions.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trace_json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Structured educator Explanation plus Audit_Detail; no post-hoc generated prose.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kit_payload_json</w:t>
            </w:r>
          </w:p>
        </w:tc>
        <w:tc>
          <w:tcPr>
            <w:tcW w:type="dxa" w:w="72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Output-element-keyed structured Kit content; content-layer separation retained.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validation_json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Overall PASS/FAIL plus per Element_ID status PASS/FAIL/NOT_APPLICABLE and Failure_Reason.</w:t>
            </w:r>
          </w:p>
        </w:tc>
      </w:tr>
    </w:tbl>
    <w:p/>
    <w:p>
      <w:pPr>
        <w:pStyle w:val="Heading1"/>
        <w:keepNext/>
      </w:pPr>
      <w:r>
        <w:t>9. Indexing and read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024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705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Required indexes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recommendation_context_snapshot</w:t>
            </w:r>
          </w:p>
        </w:tc>
        <w:tc>
          <w:tcPr>
            <w:tcW w:type="dxa" w:w="70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UNIQUE(request_id); INDEX(created_at_utc); optional INDEX(subtopic_id) for audit only.</w:t>
            </w:r>
          </w:p>
        </w:tc>
      </w:tr>
      <w:tr>
        <w:tc>
          <w:tcPr>
            <w:tcW w:type="dxa" w:w="302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recommendation_event</w:t>
            </w:r>
          </w:p>
        </w:tc>
        <w:tc>
          <w:tcPr>
            <w:tcW w:type="dxa" w:w="70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UNIQUE(request_id); UNIQUE(context_snapshot_id); INDEX(recommendation_status, created_at_utc); INDEX(primary_scr_id).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educator_kit_snapshot</w:t>
            </w:r>
          </w:p>
        </w:tc>
        <w:tc>
          <w:tcPr>
            <w:tcW w:type="dxa" w:w="70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UNIQUE(kit_request_id); INDEX(recommendation_event_id); INDEX(context_snapshot_id); INDEX(selected_template_id); INDEX(created_at_utc).</w:t>
            </w:r>
          </w:p>
        </w:tc>
      </w:tr>
      <w:tr>
        <w:tc>
          <w:tcPr>
            <w:tcW w:type="dxa" w:w="302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educator_decision</w:t>
            </w:r>
          </w:p>
        </w:tc>
        <w:tc>
          <w:tcPr>
            <w:tcW w:type="dxa" w:w="70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INDEX(kit_snapshot_id, created_at_utc); INDEX(decision).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audit_event</w:t>
            </w:r>
          </w:p>
        </w:tc>
        <w:tc>
          <w:tcPr>
            <w:tcW w:type="dxa" w:w="70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INDEX(occurred_at_utc); INDEX(request_id); INDEX(event_type, occurred_at_utc).</w:t>
            </w:r>
          </w:p>
        </w:tc>
      </w:tr>
    </w:tbl>
    <w:p/>
    <w:p>
      <w:pPr>
        <w:pStyle w:val="Heading1"/>
        <w:keepNext/>
      </w:pPr>
      <w:r>
        <w:t>10. SQLite / PostgreSQL portability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534935"/>
            <wp:docPr id="3" name="Picture 3" descr="Line diagram showing one PersistencePort implemented by SQLite and PostgreSQL adapters with the same transaction semantics and parameterized queries." title="Figure 3. Persistence adapter portabil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9_fig4_portabi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3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3. Persistence adapter portability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88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Logical type</w:t>
            </w:r>
          </w:p>
        </w:tc>
        <w:tc>
          <w:tcPr>
            <w:tcW w:type="dxa" w:w="345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SQLite</w:t>
            </w:r>
          </w:p>
        </w:tc>
        <w:tc>
          <w:tcPr>
            <w:tcW w:type="dxa" w:w="345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PostgreSQL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Operational ID / canonical ID</w:t>
            </w:r>
          </w:p>
        </w:tc>
        <w:tc>
          <w:tcPr>
            <w:tcW w:type="dxa" w:w="34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TEXT</w:t>
            </w:r>
          </w:p>
        </w:tc>
        <w:tc>
          <w:tcPr>
            <w:tcW w:type="dxa" w:w="34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text / varchar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UTC timestamp</w:t>
            </w:r>
          </w:p>
        </w:tc>
        <w:tc>
          <w:tcPr>
            <w:tcW w:type="dxa" w:w="34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TEXT ISO-8601 UTC</w:t>
            </w:r>
          </w:p>
        </w:tc>
        <w:tc>
          <w:tcPr>
            <w:tcW w:type="dxa" w:w="34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timestamptz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Boolean</w:t>
            </w:r>
          </w:p>
        </w:tc>
        <w:tc>
          <w:tcPr>
            <w:tcW w:type="dxa" w:w="34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INTEGER 0/1</w:t>
            </w:r>
          </w:p>
        </w:tc>
        <w:tc>
          <w:tcPr>
            <w:tcW w:type="dxa" w:w="34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boolean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Structured JSON</w:t>
            </w:r>
          </w:p>
        </w:tc>
        <w:tc>
          <w:tcPr>
            <w:tcW w:type="dxa" w:w="34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TEXT containing canonical JSON</w:t>
            </w:r>
          </w:p>
        </w:tc>
        <w:tc>
          <w:tcPr>
            <w:tcW w:type="dxa" w:w="34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jsonb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Large text</w:t>
            </w:r>
          </w:p>
        </w:tc>
        <w:tc>
          <w:tcPr>
            <w:tcW w:type="dxa" w:w="34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TEXT</w:t>
            </w:r>
          </w:p>
        </w:tc>
        <w:tc>
          <w:tcPr>
            <w:tcW w:type="dxa" w:w="34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text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Foreign key</w:t>
            </w:r>
          </w:p>
        </w:tc>
        <w:tc>
          <w:tcPr>
            <w:tcW w:type="dxa" w:w="34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PRAGMA foreign_keys=ON</w:t>
            </w:r>
          </w:p>
        </w:tc>
        <w:tc>
          <w:tcPr>
            <w:tcW w:type="dxa" w:w="34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native FK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Transaction</w:t>
            </w:r>
          </w:p>
        </w:tc>
        <w:tc>
          <w:tcPr>
            <w:tcW w:type="dxa" w:w="34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BEGIN IMMEDIATE where write serialization needed</w:t>
            </w:r>
          </w:p>
        </w:tc>
        <w:tc>
          <w:tcPr>
            <w:tcW w:type="dxa" w:w="34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standard transaction with appropriate isolation</w:t>
            </w:r>
          </w:p>
        </w:tc>
      </w:tr>
    </w:tbl>
    <w:p/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534935"/>
            <wp:docPr id="4" name="Picture 4" descr="Storage-boundary line diagram showing canonical Excel repositories compiled to runtime artifacts and memory, while runtime writes only operational provenance to SQLite/PostgreSQL." title="Figure 4. Canonical, compiled runtime and operational storage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9_fig3_storage_bounda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3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4. Canonical, compiled runtime and operational storage boundaries</w:t>
      </w:r>
    </w:p>
    <w:p>
      <w:pPr>
        <w:pStyle w:val="Heading1"/>
        <w:keepNext/>
      </w:pPr>
      <w:r>
        <w:t>11. Migrations, backup and recovery</w:t>
      </w:r>
    </w:p>
    <w:p>
      <w:pPr>
        <w:pStyle w:val="ListBullet"/>
        <w:spacing w:after="40"/>
      </w:pPr>
      <w:r>
        <w:t>Maintain monotonically versioned SQL migration scripts in source control; never auto-alter production schema from Python object introspection.</w:t>
      </w:r>
    </w:p>
    <w:p>
      <w:pPr>
        <w:pStyle w:val="ListBullet"/>
        <w:spacing w:after="40"/>
      </w:pPr>
      <w:r>
        <w:t>Record current schema_version in migration metadata controlled by the persistence adapter.</w:t>
      </w:r>
    </w:p>
    <w:p>
      <w:pPr>
        <w:pStyle w:val="ListBullet"/>
        <w:spacing w:after="40"/>
      </w:pPr>
      <w:r>
        <w:t>SQLite local backup is file-level only while application is stopped or via SQLite backup API.</w:t>
      </w:r>
    </w:p>
    <w:p>
      <w:pPr>
        <w:pStyle w:val="ListBullet"/>
        <w:spacing w:after="40"/>
      </w:pPr>
      <w:r>
        <w:t>Hosted PostgreSQL backup/restore follows deployment-provider capability; restoration is an operational procedure, not the deferred repository-release rollback UI.</w:t>
      </w:r>
    </w:p>
    <w:p>
      <w:pPr>
        <w:pStyle w:val="ListBullet"/>
        <w:spacing w:after="40"/>
      </w:pPr>
      <w:r>
        <w:t>Migrations must preserve immutable historical snapshots/events; destructive migration requires explicit export/backup and review.</w:t>
      </w:r>
    </w:p>
    <w:p>
      <w:pPr>
        <w:pStyle w:val="Heading1"/>
        <w:keepNext/>
      </w:pPr>
      <w:r>
        <w:t>12. Retention and deletion behavior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V1 has no educator-facing delete-history workflow. Operational retention is configurable by deployment policy; no automatic purge is assumed by this specification. Where deletion is legally or operationally required, it is performed as a controlled maintenance action that respects linked records and audit requirements rather than by cascading UI deletes.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Raw temporary upload bytes, if educator material file upload is later enabled, are not part of this persistence model by default. Only the governed/extracted material used in the Kit and its provenance are retained inside the Kit snapshot unless a separate approved storage design is introduced.</w:t>
      </w:r>
    </w:p>
    <w:p>
      <w:pPr>
        <w:pStyle w:val="Heading1"/>
        <w:keepNext/>
      </w:pPr>
      <w:r>
        <w:t>13. Security handoff to SEQ-10</w:t>
      </w:r>
    </w:p>
    <w:p>
      <w:pPr>
        <w:pStyle w:val="ListBullet"/>
        <w:spacing w:after="40"/>
      </w:pPr>
      <w:r>
        <w:t>actor_scope_hash is server-generated support metadata for session/actor authorization and must not expose raw session tokens.</w:t>
      </w:r>
    </w:p>
    <w:p>
      <w:pPr>
        <w:pStyle w:val="ListBullet"/>
        <w:spacing w:after="40"/>
      </w:pPr>
      <w:r>
        <w:t>Database credentials remain server-side; no browser/direct client operational-table access is required for V1.</w:t>
      </w:r>
    </w:p>
    <w:p>
      <w:pPr>
        <w:pStyle w:val="ListBullet"/>
        <w:spacing w:after="40"/>
      </w:pPr>
      <w:r>
        <w:t>audit_event details are sanitized and must not contain secrets or unrestricted raw educator/generated content.</w:t>
      </w:r>
    </w:p>
    <w:p>
      <w:pPr>
        <w:pStyle w:val="ListBullet"/>
        <w:spacing w:after="40"/>
      </w:pPr>
      <w:r>
        <w:t>Hosted row-level access and role policies are defined in SEQ-10, not by exposing persistence tables directly to Streamlit clients.</w:t>
      </w:r>
    </w:p>
    <w:p>
      <w:pPr>
        <w:pStyle w:val="Heading1"/>
        <w:keepNext/>
      </w:pPr>
      <w:r>
        <w:t>14. Deferred persistence scope</w:t>
      </w:r>
    </w:p>
    <w:p>
      <w:pPr>
        <w:pStyle w:val="ListBullet"/>
        <w:spacing w:after="40"/>
      </w:pPr>
      <w:r>
        <w:t>Repository candidate releases/publication history/activation rollback tables for functional Admin release management.</w:t>
      </w:r>
    </w:p>
    <w:p>
      <w:pPr>
        <w:pStyle w:val="ListBullet"/>
        <w:spacing w:after="40"/>
      </w:pPr>
      <w:r>
        <w:t>Persisted PDF/export entities and export history.</w:t>
      </w:r>
    </w:p>
    <w:p>
      <w:pPr>
        <w:pStyle w:val="ListBullet"/>
        <w:spacing w:after="40"/>
      </w:pPr>
      <w:r>
        <w:t>User accounts, educator saved-history ownership and cross-session retrieval model.</w:t>
      </w:r>
    </w:p>
    <w:p>
      <w:pPr>
        <w:pStyle w:val="ListBullet"/>
        <w:spacing w:after="40"/>
      </w:pPr>
      <w:r>
        <w:t>Async job/queue tables.</w:t>
      </w:r>
    </w:p>
    <w:p>
      <w:pPr>
        <w:pStyle w:val="ListBullet"/>
        <w:spacing w:after="40"/>
      </w:pPr>
      <w:r>
        <w:t>Automatic Kit repair attempt history.</w:t>
      </w:r>
    </w:p>
    <w:p>
      <w:pPr>
        <w:pStyle w:val="Heading1"/>
        <w:keepNext/>
      </w:pPr>
      <w:r>
        <w:t>15. Persistence acceptance checklist</w:t>
      </w:r>
    </w:p>
    <w:p>
      <w:pPr>
        <w:pStyle w:val="ListBullet"/>
        <w:spacing w:after="40"/>
      </w:pPr>
      <w:r>
        <w:t>RecommendationContextSnapshot and RecommendationEvent commit atomically.</w:t>
      </w:r>
    </w:p>
    <w:p>
      <w:pPr>
        <w:pStyle w:val="ListBullet"/>
        <w:spacing w:after="40"/>
      </w:pPr>
      <w:r>
        <w:t>All snapshots are immutable after commit; events/decisions are append-only.</w:t>
      </w:r>
    </w:p>
    <w:p>
      <w:pPr>
        <w:pStyle w:val="ListBullet"/>
        <w:spacing w:after="40"/>
      </w:pPr>
      <w:r>
        <w:t>Unique idempotency keys and hashes prevent duplicate semantic execution.</w:t>
      </w:r>
    </w:p>
    <w:p>
      <w:pPr>
        <w:pStyle w:val="ListBullet"/>
        <w:spacing w:after="40"/>
      </w:pPr>
      <w:r>
        <w:t>Canonical repository IDs are references only and operational data never writes back to canonical sources.</w:t>
      </w:r>
    </w:p>
    <w:p>
      <w:pPr>
        <w:pStyle w:val="ListBullet"/>
        <w:spacing w:after="40"/>
      </w:pPr>
      <w:r>
        <w:t>SQLite and PostgreSQL adapters pass the same persistence contract tests.</w:t>
      </w:r>
    </w:p>
    <w:p>
      <w:pPr>
        <w:pStyle w:val="ListBullet"/>
        <w:spacing w:after="40"/>
      </w:pPr>
      <w:r>
        <w:t>Hosted security rules can be applied without changing domain-facing PersistencePort signatures.</w:t>
      </w:r>
    </w:p>
    <w:p>
      <w:pPr>
        <w:pStyle w:val="Heading1"/>
        <w:keepNext/>
      </w:pPr>
      <w:r>
        <w:t>16. SEQ-06/SEQ-07 reconciliation verification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SEQ-09 was verified against all SEQ-06 process persistence points and SEQ-07 algorithm trace requirements. The four operational domain records plus sanitized audit event remain sufficient for V1; no new canonical or operational table is required solely by SEQ-06/07.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81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Requirement from SEQ-06/07</w:t>
            </w:r>
          </w:p>
        </w:tc>
        <w:tc>
          <w:tcPr>
            <w:tcW w:type="dxa" w:w="6264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Persistence coverage</w:t>
            </w:r>
          </w:p>
        </w:tc>
      </w:tr>
      <w:tr>
        <w:tc>
          <w:tcPr>
            <w:tcW w:type="dxa" w:w="381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PF-03/PF-04 / ALG-10–11</w:t>
            </w:r>
          </w:p>
        </w:tc>
        <w:tc>
          <w:tcPr>
            <w:tcW w:type="dxa" w:w="626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Context snapshot + recommendation event already store completed outcome, trace/version/evidence payloads.</w:t>
            </w:r>
          </w:p>
        </w:tc>
      </w:tr>
      <w:tr>
        <w:tc>
          <w:tcPr>
            <w:tcW w:type="dxa" w:w="381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ALG-08/09</w:t>
            </w:r>
          </w:p>
        </w:tc>
        <w:tc>
          <w:tcPr>
            <w:tcW w:type="dxa" w:w="626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Promotion path, raw/display rank, positive/negative facets and veto evidence remain JSON/provenance fields in snapshot/event rather than new tables.</w:t>
            </w:r>
          </w:p>
        </w:tc>
      </w:tr>
      <w:tr>
        <w:tc>
          <w:tcPr>
            <w:tcW w:type="dxa" w:w="381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PF-06–PF-08 / ALG-12–16</w:t>
            </w:r>
          </w:p>
        </w:tc>
        <w:tc>
          <w:tcPr>
            <w:tcW w:type="dxa" w:w="626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EducatorKitSnapshot stores template, contract, material, framework, model/prompt and validation provenance.</w:t>
            </w:r>
          </w:p>
        </w:tc>
      </w:tr>
      <w:tr>
        <w:tc>
          <w:tcPr>
            <w:tcW w:type="dxa" w:w="381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PF-10</w:t>
            </w:r>
          </w:p>
        </w:tc>
        <w:tc>
          <w:tcPr>
            <w:tcW w:type="dxa" w:w="626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EducatorDecision remains separate append-only record.</w:t>
            </w:r>
          </w:p>
        </w:tc>
      </w:tr>
      <w:tr>
        <w:tc>
          <w:tcPr>
            <w:tcW w:type="dxa" w:w="381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ALG-19</w:t>
            </w:r>
          </w:p>
        </w:tc>
        <w:tc>
          <w:tcPr>
            <w:tcW w:type="dxa" w:w="626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request_id/kit_request_id + canonical request hash provide idempotency conflict detection.</w:t>
            </w:r>
          </w:p>
        </w:tc>
      </w:tr>
      <w:tr>
        <w:tc>
          <w:tcPr>
            <w:tcW w:type="dxa" w:w="381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PF-14 replay</w:t>
            </w:r>
          </w:p>
        </w:tc>
        <w:tc>
          <w:tcPr>
            <w:tcW w:type="dxa" w:w="626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Recorded version references remain sufficient; replay must not silently substitute latest assets.</w:t>
            </w:r>
          </w:p>
        </w:tc>
      </w:tr>
    </w:tbl>
    <w:p/>
    <w:p>
      <w:pPr>
        <w:pStyle w:val="ListBullet"/>
        <w:spacing w:after="40"/>
      </w:pPr>
      <w:r>
        <w:t>No schema expansion is required for text-only anchor routing, Admin release lifecycle, PDF history or automatic repair because those remain deferred.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Verification outcome: the specification remains semantically compatible after SEQ-06/07. Version 0.2 records this reconciliation and updates the upstream baseline; it does not redesign the frozen V1 behavior.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Ontology-Driven Sustainability Recommendation System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SEQ-09 — Data Model &amp; Persistence Specification  |  Version 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D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D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2F5D8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F5D8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Interface Design v0.2</dc:title>
  <dc:subject>SEQ-04 — reconciled V1 interface contracts with line-flow diagrams</dc:subject>
  <dc:creator/>
  <cp:keywords>SEQ-04, technical interface design, recommendation system, knowledge graph, sustainability</cp:keywords>
  <dc:description>V1 implementation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