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Arial" w:hAnsi="Arial"/>
          <w:b/>
          <w:color w:val="2F5D8C"/>
          <w:sz w:val="52"/>
        </w:rPr>
        <w:t>SECURITY &amp; ACCESS CONTROL SPECIFICATION</w:t>
      </w:r>
    </w:p>
    <w:p>
      <w:pPr>
        <w:spacing w:after="240"/>
        <w:jc w:val="center"/>
      </w:pPr>
      <w:r>
        <w:rPr>
          <w:rFonts w:ascii="Arial" w:hAnsi="Arial"/>
          <w:b/>
          <w:color w:val="1F2937"/>
          <w:sz w:val="36"/>
        </w:rPr>
        <w:t>Ontology and Knowledge Graph-Driven</w:t>
        <w:br/>
        <w:t>Sustainability Principles Recommendation System</w:t>
      </w:r>
    </w:p>
    <w:p>
      <w:pPr>
        <w:spacing w:after="560"/>
        <w:jc w:val="center"/>
      </w:pPr>
      <w:r>
        <w:rPr>
          <w:rFonts w:ascii="Arial" w:hAnsi="Arial"/>
          <w:color w:val="6B7280"/>
          <w:sz w:val="22"/>
        </w:rPr>
        <w:t>SEQ-10  |  Version 0.2  |  September 2026</w:t>
      </w:r>
    </w:p>
    <w:p>
      <w:pPr>
        <w:spacing w:before="800" w:after="120"/>
      </w:pPr>
      <w:r>
        <w:rPr>
          <w:b/>
          <w:color w:val="2F5D8C"/>
          <w:sz w:val="24"/>
        </w:rPr>
        <w:t>Purpose</w:t>
      </w:r>
    </w:p>
    <w:p>
      <w:pPr>
        <w:spacing w:after="0"/>
      </w:pPr>
      <w:r>
        <w:t>Define the V1 trust boundaries, roles, authorization rules, secrets handling, input/output protections, provider and persistence safeguards, audit controls and security verification requirements for the public academic research prototype without expanding V1 administrative functionality.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44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6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Sequence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SEQ-10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Version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0.2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Status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V1 security/access-control baseline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Date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September 2026</w:t>
            </w:r>
          </w:p>
        </w:tc>
      </w:tr>
      <w:tr>
        <w:tc>
          <w:tcPr>
            <w:tcW w:type="dxa" w:w="244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Upstream baseline</w:t>
            </w:r>
          </w:p>
        </w:tc>
        <w:tc>
          <w:tcPr>
            <w:tcW w:type="dxa" w:w="76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color w:val="1F2937"/>
                <w:sz w:val="16"/>
              </w:rPr>
              <w:t>System Architecture Design v1.1 Final; Technical Interface Design v0.2; Interface Contract Registry v0.1; Data Flow Design v0.1 Final; Data Flow Registry v0.1; SEQ-06 Process Flow Specification v0.1; SEQ-07 Algorithm Specification v0.1</w:t>
            </w:r>
          </w:p>
        </w:tc>
      </w:tr>
      <w:tr>
        <w:tc>
          <w:tcPr>
            <w:tcW w:type="dxa" w:w="244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Change rule</w:t>
            </w:r>
          </w:p>
        </w:tc>
        <w:tc>
          <w:tcPr>
            <w:tcW w:type="dxa" w:w="76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This specification refines implementation detail without changing frozen recommendation semantics or V1 product scope.</w:t>
            </w:r>
          </w:p>
        </w:tc>
      </w:tr>
    </w:tbl>
    <w:p/>
    <w:p>
      <w:pPr>
        <w:pStyle w:val="Heading2"/>
        <w:keepNext/>
      </w:pPr>
      <w:r>
        <w:t>Contents and reading order</w:t>
      </w:r>
    </w:p>
    <w:p>
      <w:pPr>
        <w:pStyle w:val="ListBullet"/>
        <w:spacing w:after="40"/>
      </w:pPr>
      <w:r>
        <w:t>1–3 define security scope, trust model and roles.</w:t>
      </w:r>
    </w:p>
    <w:p>
      <w:pPr>
        <w:pStyle w:val="ListBullet"/>
        <w:spacing w:after="40"/>
      </w:pPr>
      <w:r>
        <w:t>4–8 define authorization, persistence/secrets, input/output, external-generation and graph/admin controls.</w:t>
      </w:r>
    </w:p>
    <w:p>
      <w:pPr>
        <w:pStyle w:val="ListBullet"/>
        <w:spacing w:after="40"/>
      </w:pPr>
      <w:r>
        <w:t>9–12 define logging/privacy, availability/dependency controls and security verification.</w:t>
      </w:r>
    </w:p>
    <w:p>
      <w:pPr>
        <w:pStyle w:val="ListBullet"/>
        <w:spacing w:after="40"/>
      </w:pPr>
      <w:r>
        <w:t>13–15 provide incident handling, deferred scope and acceptance.</w:t>
      </w:r>
    </w:p>
    <w:p>
      <w:pPr>
        <w:pStyle w:val="Heading1"/>
        <w:keepNext/>
      </w:pPr>
      <w:r>
        <w:t>1. Purpose and scope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SEQ-10 protects the frozen V1 educator workflow and read-only/prototype Administration boundary. It assumes the application is an internet-accessible academic research prototype, not an enterprise identity platform.</w:t>
      </w:r>
    </w:p>
    <w:p>
      <w:pPr>
        <w:pStyle w:val="Heading2"/>
        <w:keepNext/>
      </w:pPr>
      <w:r>
        <w:t>1.1 In scope</w:t>
      </w:r>
    </w:p>
    <w:p>
      <w:pPr>
        <w:pStyle w:val="ListBullet"/>
        <w:spacing w:after="40"/>
      </w:pPr>
      <w:r>
        <w:t>Public educator versus protected Admin trust boundaries.</w:t>
      </w:r>
    </w:p>
    <w:p>
      <w:pPr>
        <w:pStyle w:val="ListBullet"/>
        <w:spacing w:after="40"/>
      </w:pPr>
      <w:r>
        <w:t>Server-side authorization before protected content/actions.</w:t>
      </w:r>
    </w:p>
    <w:p>
      <w:pPr>
        <w:pStyle w:val="ListBullet"/>
        <w:spacing w:after="40"/>
      </w:pPr>
      <w:r>
        <w:t>Database/provider/model-registry secret isolation.</w:t>
      </w:r>
    </w:p>
    <w:p>
      <w:pPr>
        <w:pStyle w:val="ListBullet"/>
        <w:spacing w:after="40"/>
      </w:pPr>
      <w:r>
        <w:t>Untrusted educator text/material and generated-output handling.</w:t>
      </w:r>
    </w:p>
    <w:p>
      <w:pPr>
        <w:pStyle w:val="ListBullet"/>
        <w:spacing w:after="40"/>
      </w:pPr>
      <w:r>
        <w:t>SQL/XSS/prompt-injection/path/file-upload safeguards.</w:t>
      </w:r>
    </w:p>
    <w:p>
      <w:pPr>
        <w:pStyle w:val="ListBullet"/>
        <w:spacing w:after="40"/>
      </w:pPr>
      <w:r>
        <w:t>Audit logging, rate/abuse controls, dependency hygiene and security test cases.</w:t>
      </w:r>
    </w:p>
    <w:p>
      <w:pPr>
        <w:pStyle w:val="Heading2"/>
        <w:keepNext/>
      </w:pPr>
      <w:r>
        <w:t>1.2 Out of scope</w:t>
      </w:r>
    </w:p>
    <w:p>
      <w:pPr>
        <w:pStyle w:val="ListBullet"/>
        <w:spacing w:after="40"/>
      </w:pPr>
      <w:r>
        <w:t>Enterprise SSO, organizational RBAC hierarchy or multi-tenant institution administration.</w:t>
      </w:r>
    </w:p>
    <w:p>
      <w:pPr>
        <w:pStyle w:val="ListBullet"/>
        <w:spacing w:after="40"/>
      </w:pPr>
      <w:r>
        <w:t>Functional repository publication, rollback or mutation authorization — those capabilities are deferred.</w:t>
      </w:r>
    </w:p>
    <w:p>
      <w:pPr>
        <w:pStyle w:val="ListBullet"/>
        <w:spacing w:after="40"/>
      </w:pPr>
      <w:r>
        <w:t>Legal/compliance certification; deployment owner remains responsible for applicable policy.</w:t>
      </w:r>
    </w:p>
    <w:p>
      <w:pPr>
        <w:pStyle w:val="Heading1"/>
        <w:keepNext/>
      </w:pPr>
      <w:r>
        <w:t>2. Trust boundaries and threat model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23494"/>
            <wp:docPr id="1" name="Picture 1" descr="Trust-boundary line diagram showing public educator and authorized Admin sessions entering the application trust zone, with server-side access to runtime data, operational database, OpenAI API and model registry." title="Figure 1. V1 security trust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_fig1_trust_bounda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1. V1 security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76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Asset / boundary</w:t>
            </w:r>
          </w:p>
        </w:tc>
        <w:tc>
          <w:tcPr>
            <w:tcW w:type="dxa" w:w="36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Primary risks</w:t>
            </w:r>
          </w:p>
        </w:tc>
        <w:tc>
          <w:tcPr>
            <w:tcW w:type="dxa" w:w="511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V1 control direction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Public educator input</w:t>
            </w:r>
          </w:p>
        </w:tc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malformed input, prompt injection, abuse, sensitive/confidential text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Typed Pydantic/contract validation, size limits, treat all text/material as untrusted data, rate controls.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Admin UI</w:t>
            </w:r>
          </w:p>
        </w:tc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unauthorized access, privilege escalation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Authenticate configured admin identity/provider; check ADMIN role before rendering protected content.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Operational DB</w:t>
            </w:r>
          </w:p>
        </w:tc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SQL injection, ID guessing, data leakage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Server-only credentials, parameterized queries, default-deny direct client access, session/actor scope checks.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Generation provider</w:t>
            </w:r>
          </w:p>
        </w:tc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secret leakage, prompt injection, over-sharing data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Server-side key, bounded structured packet, minimum necessary data, no tool execution from model output.</w:t>
            </w:r>
          </w:p>
        </w:tc>
      </w:tr>
      <w:tr>
        <w:tc>
          <w:tcPr>
            <w:tcW w:type="dxa" w:w="2376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Graph/runtime artifacts</w:t>
            </w:r>
          </w:p>
        </w:tc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tampering or stale/unverified artifacts</w:t>
            </w:r>
          </w:p>
        </w:tc>
        <w:tc>
          <w:tcPr>
            <w:tcW w:type="dxa" w:w="51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Version/checksum/config validation at startup; read-only in request path.</w:t>
            </w:r>
          </w:p>
        </w:tc>
      </w:tr>
      <w:tr>
        <w:tc>
          <w:tcPr>
            <w:tcW w:type="dxa" w:w="2376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Logs/audit</w:t>
            </w:r>
          </w:p>
        </w:tc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content/secrets leakage</w:t>
            </w:r>
          </w:p>
        </w:tc>
        <w:tc>
          <w:tcPr>
            <w:tcW w:type="dxa" w:w="51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Redacted structured logs using IDs/codes, not raw prompts or credentials.</w:t>
            </w:r>
          </w:p>
        </w:tc>
      </w:tr>
    </w:tbl>
    <w:p/>
    <w:p>
      <w:pPr>
        <w:pStyle w:val="Heading1"/>
        <w:keepNext/>
      </w:pPr>
      <w:r>
        <w:t>3. Roles and 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59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Authentication</w:t>
            </w:r>
          </w:p>
        </w:tc>
        <w:tc>
          <w:tcPr>
            <w:tcW w:type="dxa" w:w="4464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Allowed V1 capabilities</w:t>
            </w:r>
          </w:p>
        </w:tc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Explicitly not allowed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PUBLIC_EDUCATOR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No account required unless deployment chooses otherwise; session-scoped application state</w:t>
            </w:r>
          </w:p>
        </w:tc>
        <w:tc>
          <w:tcPr>
            <w:tcW w:type="dxa" w:w="446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Browse active curriculum/help; context suggestions; generate recommendation; view current-session result/trace/Kit; PDF export; KG Explorer</w:t>
            </w:r>
          </w:p>
        </w:tc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Administration; repository mutation; direct DB/provider access; cross-session arbitrary snapshot lookup.</w:t>
            </w:r>
          </w:p>
        </w:tc>
      </w:tr>
      <w:tr>
        <w:tc>
          <w:tcPr>
            <w:tcW w:type="dxa" w:w="20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ADMIN</w:t>
            </w:r>
          </w:p>
        </w:tc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Authenticated through configured Access Control mechanism and assigned ADMIN role/allowlist</w:t>
            </w:r>
          </w:p>
        </w:tc>
        <w:tc>
          <w:tcPr>
            <w:tcW w:type="dxa" w:w="4464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Protected Administration shell, read-only repository/runtime inspection and prototype/future workflow guidance</w:t>
            </w:r>
          </w:p>
        </w:tc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Upload/stage/build/publish/rollback/benchmark execution in V1.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SYSTEM_SERVICE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Server-side process identity</w:t>
            </w:r>
          </w:p>
        </w:tc>
        <w:tc>
          <w:tcPr>
            <w:tcW w:type="dxa" w:w="4464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Load compiled artifacts, call persistence/provider adapters, append audit events</w:t>
            </w:r>
          </w:p>
        </w:tc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Interactive user capabilities.</w:t>
            </w:r>
          </w:p>
        </w:tc>
      </w:tr>
    </w:tbl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86744"/>
            <wp:docPr id="2" name="Picture 2" descr="Line diagram showing request processing through session/role authorization and independent input contract validation before any protected/domain action." title="Figure 2. Authorization and contract-validation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_fig2_authorization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86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2. Authorization and contract-validation flow</w:t>
      </w:r>
    </w:p>
    <w:p>
      <w:pPr>
        <w:pStyle w:val="Heading1"/>
        <w:keepNext/>
      </w:pPr>
      <w:r>
        <w:t>4. Authorization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331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Action/resource</w:t>
            </w:r>
          </w:p>
        </w:tc>
        <w:tc>
          <w:tcPr>
            <w:tcW w:type="dxa" w:w="22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PUBLIC_EDUCATOR</w:t>
            </w:r>
          </w:p>
        </w:tc>
        <w:tc>
          <w:tcPr>
            <w:tcW w:type="dxa" w:w="223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ADMIN</w:t>
            </w:r>
          </w:p>
        </w:tc>
        <w:tc>
          <w:tcPr>
            <w:tcW w:type="dxa" w:w="259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SYSTEM_SERVICE</w:t>
            </w:r>
          </w:p>
        </w:tc>
      </w:tr>
      <w:tr>
        <w:tc>
          <w:tcPr>
            <w:tcW w:type="dxa" w:w="33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Curriculum/help reads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</w:tr>
      <w:tr>
        <w:tc>
          <w:tcPr>
            <w:tcW w:type="dxa" w:w="33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Recommendation/context/trace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within current server session/actor scope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for diagnostic use where UI exposes it</w:t>
            </w:r>
          </w:p>
        </w:tc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</w:tr>
      <w:tr>
        <w:tc>
          <w:tcPr>
            <w:tcW w:type="dxa" w:w="33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Kit generation/view/PDF/decision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within current scope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for diagnostic use where exposed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</w:tr>
      <w:tr>
        <w:tc>
          <w:tcPr>
            <w:tcW w:type="dxa" w:w="33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KG Explorer read-only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</w:tr>
      <w:tr>
        <w:tc>
          <w:tcPr>
            <w:tcW w:type="dxa" w:w="33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Admin shell / read-only repository inspection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ALLOW as internal support</w:t>
            </w:r>
          </w:p>
        </w:tc>
      </w:tr>
      <w:tr>
        <w:tc>
          <w:tcPr>
            <w:tcW w:type="dxa" w:w="33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Repository mutation/publication/build/rollback/benchmark execution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 in V1</w:t>
            </w:r>
          </w:p>
        </w:tc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Deployment/build tooling only, outside Admin UI</w:t>
            </w:r>
          </w:p>
        </w:tc>
      </w:tr>
      <w:tr>
        <w:tc>
          <w:tcPr>
            <w:tcW w:type="dxa" w:w="33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Operational SQL/database API direct from browser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23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Server-side adapter only</w:t>
            </w:r>
          </w:p>
        </w:tc>
      </w:tr>
      <w:tr>
        <w:tc>
          <w:tcPr>
            <w:tcW w:type="dxa" w:w="33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External generation API credentials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23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DENY</w:t>
            </w:r>
          </w:p>
        </w:tc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4"/>
              </w:rPr>
              <w:t>Generation adapter only</w:t>
            </w:r>
          </w:p>
        </w:tc>
      </w:tr>
    </w:tbl>
    <w:p/>
    <w:p>
      <w:pPr>
        <w:spacing w:after="100"/>
      </w:pPr>
      <w:r>
        <w:rPr>
          <w:rFonts w:ascii="Arial" w:hAnsi="Arial"/>
          <w:color w:val="1F2937"/>
          <w:sz w:val="20"/>
        </w:rPr>
        <w:t>For public educator routes with no account identity, access to persisted recommendation/Kit records is session/actor scoped by server-held state plus actor_scope_hash metadata. Opaque IDs are not treated as sufficient authorization by themselves.</w:t>
      </w:r>
    </w:p>
    <w:p>
      <w:pPr>
        <w:pStyle w:val="Heading1"/>
        <w:keepNext/>
      </w:pPr>
      <w:r>
        <w:t>5. Secrets and configuration</w:t>
      </w:r>
    </w:p>
    <w:p>
      <w:pPr>
        <w:pStyle w:val="ListBullet"/>
        <w:spacing w:after="40"/>
      </w:pPr>
      <w:r>
        <w:t>OpenAI/API/provider keys, hosted database credentials and Admin authentication secrets are loaded from deployment environment/host secret storage (for example Streamlit secrets or environment variables) and never committed to source or serialized into snapshots.</w:t>
      </w:r>
    </w:p>
    <w:p>
      <w:pPr>
        <w:pStyle w:val="ListBullet"/>
        <w:spacing w:after="40"/>
      </w:pPr>
      <w:r>
        <w:t>Only server-side adapters can access secrets. Secrets must not be echoed into UI errors, logs, trace JSON, generation provenance or PDF output.</w:t>
      </w:r>
    </w:p>
    <w:p>
      <w:pPr>
        <w:pStyle w:val="ListBullet"/>
        <w:spacing w:after="40"/>
      </w:pPr>
      <w:r>
        <w:t>Configuration separates public non-secret values (model name/version, interface version) from secret credentials.</w:t>
      </w:r>
    </w:p>
    <w:p>
      <w:pPr>
        <w:pStyle w:val="ListBullet"/>
        <w:spacing w:after="40"/>
      </w:pPr>
      <w:r>
        <w:t>Secret rotation must not require changing domain/interface contracts.</w:t>
      </w:r>
    </w:p>
    <w:p>
      <w:pPr>
        <w:pStyle w:val="Heading1"/>
        <w:keepNext/>
      </w:pPr>
      <w:r>
        <w:t>6. Input, query and rendering security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38051"/>
            <wp:docPr id="3" name="Picture 3" descr="Line diagram showing layered validation, typed domain processing, parameterized persistence, redacted logging, safe output rendering and server-side secret isolation." title="Figure 3. Layered input, processing, rendering and secret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_fig4_control_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3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3. Layered input, processing, rendering and secret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Surface</w:t>
            </w:r>
          </w:p>
        </w:tc>
        <w:tc>
          <w:tcPr>
            <w:tcW w:type="dxa" w:w="72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controls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Canonical IDs / enums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Validate against expected format/controlled value and resolve existence where required; do not trust UI labels as keys.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Free text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Bound length; Unicode-safe normalization only where semantically appropriate; preserve exact text separately; no command/template evaluation.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SQL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Parameterized statements only; no string concatenation of educator text or IDs into SQL.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HTML/Streamlit rendering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Escape/sanitize educator and generated text; do not render raw model-provided HTML/JavaScript.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PDF rendering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Render from validated immutable Kit snapshot; disable/strip active content; sanitize filenames and external links.</w:t>
            </w:r>
          </w:p>
        </w:tc>
      </w:tr>
      <w:tr>
        <w:tc>
          <w:tcPr>
            <w:tcW w:type="dxa" w:w="28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Graph search/path</w:t>
            </w:r>
          </w:p>
        </w:tc>
        <w:tc>
          <w:tcPr>
            <w:tcW w:type="dxa" w:w="72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Resolve canonical endpoints; no arbitrary code/query-language execution from text.</w:t>
            </w:r>
          </w:p>
        </w:tc>
      </w:tr>
      <w:tr>
        <w:tc>
          <w:tcPr>
            <w:tcW w:type="dxa" w:w="28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File material if enabled</w:t>
            </w:r>
          </w:p>
        </w:tc>
        <w:tc>
          <w:tcPr>
            <w:tcW w:type="dxa" w:w="72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Configured non-executable types and size limit; never execute macros/scripts; extract text in isolated/temp path; discard temporary bytes unless separately approved.</w:t>
            </w:r>
          </w:p>
        </w:tc>
      </w:tr>
    </w:tbl>
    <w:p/>
    <w:p>
      <w:pPr>
        <w:pStyle w:val="Heading1"/>
        <w:keepNext/>
      </w:pPr>
      <w:r>
        <w:t>7. External generation and prompt-injection boundary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28051"/>
            <wp:docPr id="4" name="Picture 4" descr="Line diagram showing untrusted educator/repository content assembled into a governed KitGenerationPacket, passed through the Generation Provider adapter to OpenAI, then validated before persistence." title="Figure 4. Bounded external-generation security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_fig3_generation_bound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2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t>Figure 4. Bounded external-generation security boundary</w:t>
      </w:r>
    </w:p>
    <w:p>
      <w:pPr>
        <w:pStyle w:val="ListBullet"/>
        <w:spacing w:after="40"/>
      </w:pPr>
      <w:r>
        <w:t>Educator text, teaching material and retrieved source excerpts are explicitly treated as data, not executable instructions that can override system/developer constraints.</w:t>
      </w:r>
    </w:p>
    <w:p>
      <w:pPr>
        <w:pStyle w:val="ListBullet"/>
        <w:spacing w:after="40"/>
      </w:pPr>
      <w:r>
        <w:t>The generation request is assembled only after Template_ID, output contract, teaching material provenance and framework context are deterministically resolved.</w:t>
      </w:r>
    </w:p>
    <w:p>
      <w:pPr>
        <w:pStyle w:val="ListBullet"/>
        <w:spacing w:after="40"/>
      </w:pPr>
      <w:r>
        <w:t>The model cannot choose/alter Course, Module, Subtopic, SCR_ID, Template_ID, framework eligibility or output-contract requiredness.</w:t>
      </w:r>
    </w:p>
    <w:p>
      <w:pPr>
        <w:pStyle w:val="ListBullet"/>
        <w:spacing w:after="40"/>
      </w:pPr>
      <w:r>
        <w:t>Model output cannot directly trigger tools, database writes, network fetches, graph mutation or repository mutation.</w:t>
      </w:r>
    </w:p>
    <w:p>
      <w:pPr>
        <w:pStyle w:val="ListBullet"/>
        <w:spacing w:after="40"/>
      </w:pPr>
      <w:r>
        <w:t>Candidate output is parsed/validated against the expected structured schema and the same output-element contract before a ready Kit snapshot is exposed.</w:t>
      </w:r>
    </w:p>
    <w:p>
      <w:pPr>
        <w:pStyle w:val="ListBullet"/>
        <w:spacing w:after="40"/>
      </w:pPr>
      <w:r>
        <w:t>Provider/network failure returns TechnicalError; contract failure returns VALIDATION_FAILED; neither is silently converted to success.</w:t>
      </w:r>
    </w:p>
    <w:p>
      <w:pPr>
        <w:pStyle w:val="Heading1"/>
        <w:keepNext/>
      </w:pPr>
      <w:r>
        <w:t>8. Persistence and database security</w:t>
      </w:r>
    </w:p>
    <w:p>
      <w:pPr>
        <w:pStyle w:val="ListBullet"/>
        <w:spacing w:after="40"/>
      </w:pPr>
      <w:r>
        <w:t>The application, not the browser, holds database credentials. Hosted operational tables are default-deny for direct anonymous/client access.</w:t>
      </w:r>
    </w:p>
    <w:p>
      <w:pPr>
        <w:pStyle w:val="ListBullet"/>
        <w:spacing w:after="40"/>
      </w:pPr>
      <w:r>
        <w:t>If Supabase PostgreSQL is used, enable RLS/default-deny policies for anon/authenticated client roles; the server-side backend/service identity performs authorized operational reads/writes.</w:t>
      </w:r>
    </w:p>
    <w:p>
      <w:pPr>
        <w:pStyle w:val="ListBullet"/>
        <w:spacing w:after="40"/>
      </w:pPr>
      <w:r>
        <w:t>Persistence adapters use parameterized queries, explicit transactions and foreign/check/unique constraints from SEQ-09.</w:t>
      </w:r>
    </w:p>
    <w:p>
      <w:pPr>
        <w:pStyle w:val="ListBullet"/>
        <w:spacing w:after="40"/>
      </w:pPr>
      <w:r>
        <w:t>actor_scope_hash is a server-side authorization aid only; never store raw session cookies/tokens in operational tables.</w:t>
      </w:r>
    </w:p>
    <w:p>
      <w:pPr>
        <w:pStyle w:val="ListBullet"/>
        <w:spacing w:after="40"/>
      </w:pPr>
      <w:r>
        <w:t>SQLite local files use restrictive filesystem permissions and are not served as static assets.</w:t>
      </w:r>
    </w:p>
    <w:p>
      <w:pPr>
        <w:pStyle w:val="ListBullet"/>
        <w:spacing w:after="40"/>
      </w:pPr>
      <w:r>
        <w:t>Backups and database diagnostics are protected operational assets and must not be exposed through the public Streamlit app.</w:t>
      </w:r>
    </w:p>
    <w:p>
      <w:pPr>
        <w:pStyle w:val="Heading1"/>
        <w:keepNext/>
      </w:pPr>
      <w:r>
        <w:t>9. Knowledge Graph and Administration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59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8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KG Explorer</w:t>
            </w:r>
          </w:p>
        </w:tc>
        <w:tc>
          <w:tcPr>
            <w:tcW w:type="dxa" w:w="74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Read-only; all entity/relationship data comes from the active compiled governed graph/repositories. Search/path cannot mutate graph or invoke Recommendation Core.</w:t>
            </w:r>
          </w:p>
        </w:tc>
      </w:tr>
      <w:tr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Canonical IDs</w:t>
            </w:r>
          </w:p>
        </w:tc>
        <w:tc>
          <w:tcPr>
            <w:tcW w:type="dxa" w:w="74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Hidden from normal educator UI where not needed; may be retained internally/advanced audit. Hidden IDs are not themselves an authorization control.</w:t>
            </w:r>
          </w:p>
        </w:tc>
      </w:tr>
      <w:tr>
        <w:tc>
          <w:tcPr>
            <w:tcW w:type="dxa" w:w="259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Admin entry</w:t>
            </w:r>
          </w:p>
        </w:tc>
        <w:tc>
          <w:tcPr>
            <w:tcW w:type="dxa" w:w="748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Authorization check occurs before protected content is rendered. Unauthorized state shows a generic access-denied response.</w:t>
            </w:r>
          </w:p>
        </w:tc>
      </w:tr>
      <w:tr>
        <w:tc>
          <w:tcPr>
            <w:tcW w:type="dxa" w:w="259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Admin V1 scope</w:t>
            </w:r>
          </w:p>
        </w:tc>
        <w:tc>
          <w:tcPr>
            <w:tcW w:type="dxa" w:w="748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functional repository write/upload/publish/rollback/benchmark execution endpoints exist in the public application. Future workflow descriptions are non-executable.</w:t>
            </w:r>
          </w:p>
        </w:tc>
      </w:tr>
    </w:tbl>
    <w:p/>
    <w:p>
      <w:pPr>
        <w:pStyle w:val="Heading1"/>
        <w:keepNext/>
      </w:pPr>
      <w:r>
        <w:t>10. Logging, audit and privacy minimization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168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6912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Logging rule</w:t>
            </w:r>
          </w:p>
        </w:tc>
      </w:tr>
      <w:tr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Request/Event/Kit IDs</w:t>
            </w:r>
          </w:p>
        </w:tc>
        <w:tc>
          <w:tcPr>
            <w:tcW w:type="dxa" w:w="69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May be logged for correlation.</w:t>
            </w:r>
          </w:p>
        </w:tc>
      </w:tr>
      <w:tr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Error codes / component / timing</w:t>
            </w:r>
          </w:p>
        </w:tc>
        <w:tc>
          <w:tcPr>
            <w:tcW w:type="dxa" w:w="69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May be logged.</w:t>
            </w:r>
          </w:p>
        </w:tc>
      </w:tr>
      <w:tr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Educator Application Context / teaching constraints</w:t>
            </w:r>
          </w:p>
        </w:tc>
        <w:tc>
          <w:tcPr>
            <w:tcW w:type="dxa" w:w="69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Do not write full raw text to routine technical logs; exact text belongs only in governed operational snapshot where required.</w:t>
            </w:r>
          </w:p>
        </w:tc>
      </w:tr>
      <w:tr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Generated Kit content</w:t>
            </w:r>
          </w:p>
        </w:tc>
        <w:tc>
          <w:tcPr>
            <w:tcW w:type="dxa" w:w="69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Do not duplicate into routine logs; persisted Kit snapshot is the authoritative operational record.</w:t>
            </w:r>
          </w:p>
        </w:tc>
      </w:tr>
      <w:tr>
        <w:tc>
          <w:tcPr>
            <w:tcW w:type="dxa" w:w="3168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Secrets / auth tokens / DB credentials</w:t>
            </w:r>
          </w:p>
        </w:tc>
        <w:tc>
          <w:tcPr>
            <w:tcW w:type="dxa" w:w="6912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Never log.</w:t>
            </w:r>
          </w:p>
        </w:tc>
      </w:tr>
      <w:tr>
        <w:tc>
          <w:tcPr>
            <w:tcW w:type="dxa" w:w="3168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Audit event details</w:t>
            </w:r>
          </w:p>
        </w:tc>
        <w:tc>
          <w:tcPr>
            <w:tcW w:type="dxa" w:w="6912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Structured, minimal and sanitized; include actor type, action, resource ID, outcome and error code as needed.</w:t>
            </w:r>
          </w:p>
        </w:tc>
      </w:tr>
    </w:tbl>
    <w:p/>
    <w:p>
      <w:pPr>
        <w:spacing w:after="100"/>
      </w:pPr>
      <w:r>
        <w:rPr>
          <w:rFonts w:ascii="Arial" w:hAnsi="Arial"/>
          <w:color w:val="1F2937"/>
          <w:sz w:val="20"/>
        </w:rPr>
        <w:t>The public UI should advise educators not to enter unnecessary personal, confidential or regulated information. The system persists only data required for recommendation/Kit provenance and configured operational audit.</w:t>
      </w:r>
    </w:p>
    <w:p>
      <w:pPr>
        <w:pStyle w:val="Heading1"/>
        <w:keepNext/>
      </w:pPr>
      <w:r>
        <w:t>11. Availability and abuse controls</w:t>
      </w:r>
    </w:p>
    <w:p>
      <w:pPr>
        <w:pStyle w:val="ListBullet"/>
        <w:spacing w:after="40"/>
      </w:pPr>
      <w:r>
        <w:t>Disable Generate/Kit primary actions while a request is in flight; Request_ID/Kit_Request_ID idempotency prevents duplicate semantic execution.</w:t>
      </w:r>
    </w:p>
    <w:p>
      <w:pPr>
        <w:pStyle w:val="ListBullet"/>
        <w:spacing w:after="40"/>
      </w:pPr>
      <w:r>
        <w:t>Apply configurable per-session/IP throttling to expensive recommendation and generation operations; exact quotas are deployment configuration, not contract constants.</w:t>
      </w:r>
    </w:p>
    <w:p>
      <w:pPr>
        <w:pStyle w:val="ListBullet"/>
        <w:spacing w:after="40"/>
      </w:pPr>
      <w:r>
        <w:t>Bound input sizes, candidate counts, graph search result counts and PDF rendering payload sizes.</w:t>
      </w:r>
    </w:p>
    <w:p>
      <w:pPr>
        <w:pStyle w:val="ListBullet"/>
        <w:spacing w:after="40"/>
      </w:pPr>
      <w:r>
        <w:t>Provider/model/database unavailability must fail explicitly without fallback to an unregistered backend.</w:t>
      </w:r>
    </w:p>
    <w:p>
      <w:pPr>
        <w:pStyle w:val="ListBullet"/>
        <w:spacing w:after="40"/>
      </w:pPr>
      <w:r>
        <w:t>Time out external provider/network calls and surface retryable TechnicalError only when safe.</w:t>
      </w:r>
    </w:p>
    <w:p>
      <w:pPr>
        <w:pStyle w:val="Heading1"/>
        <w:keepNext/>
      </w:pPr>
      <w:r>
        <w:t>12. Supply-chain and deployment controls</w:t>
      </w:r>
    </w:p>
    <w:p>
      <w:pPr>
        <w:pStyle w:val="ListBullet"/>
        <w:spacing w:after="40"/>
      </w:pPr>
      <w:r>
        <w:t>Pin Python dependencies in a reproducible lock/requirements file and review updates before deployment.</w:t>
      </w:r>
    </w:p>
    <w:p>
      <w:pPr>
        <w:pStyle w:val="ListBullet"/>
        <w:spacing w:after="40"/>
      </w:pPr>
      <w:r>
        <w:t>Keep source repository private where intended; never commit secrets, local DB files or exported operational data.</w:t>
      </w:r>
    </w:p>
    <w:p>
      <w:pPr>
        <w:pStyle w:val="ListBullet"/>
        <w:spacing w:after="40"/>
      </w:pPr>
      <w:r>
        <w:t>Validate compiled graph/embedding artifact versions/checksums before startup use.</w:t>
      </w:r>
    </w:p>
    <w:p>
      <w:pPr>
        <w:pStyle w:val="ListBullet"/>
        <w:spacing w:after="40"/>
      </w:pPr>
      <w:r>
        <w:t>Use HTTPS for hosted application and all external provider/database connections.</w:t>
      </w:r>
    </w:p>
    <w:p>
      <w:pPr>
        <w:pStyle w:val="ListBullet"/>
        <w:spacing w:after="40"/>
      </w:pPr>
      <w:r>
        <w:t>Run dependency vulnerability scanning and static secret scanning as part of release verification where tooling is available.</w:t>
      </w:r>
    </w:p>
    <w:p>
      <w:pPr>
        <w:pStyle w:val="Heading1"/>
        <w:keepNext/>
      </w:pPr>
      <w:r>
        <w:t>13. Security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6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64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Expected result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Unauthenticated Admin access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DENIED before protected content rendering.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PUBLIC_EDUCATOR calls deferred publication endpoint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such functional endpoint / DENY.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SQL injection payload in free text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Stored/processed as text; parameterized SQL unaffected.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HTML/script in educator/model text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Escaped/sanitized; no script execution.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Prompt injection asking model to change SCR/Template_ID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No authority; deterministic IDs/contracts remain unchanged.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Duplicate Request_ID same hash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Return/reuse stored outcome; no duplicate event.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Duplicate Request_ID different hash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Reject idempotency conflict.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Guess another persisted snapshot ID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Denied unless current authorized/session scope allows it.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Provider unavailable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TechnicalError; no fallback provider/model.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Kit validation fails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VALIDATION_FAILED retained; no ready Kit/no hidden regeneration.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Graph runtime unavailable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Explicit unavailable state; no fake empty graph.</w:t>
            </w:r>
          </w:p>
        </w:tc>
      </w:tr>
    </w:tbl>
    <w:p/>
    <w:p>
      <w:pPr>
        <w:pStyle w:val="Heading1"/>
        <w:keepNext/>
      </w:pPr>
      <w:r>
        <w:t>14. Incident and recovery behavior</w:t>
      </w:r>
    </w:p>
    <w:p>
      <w:pPr>
        <w:pStyle w:val="ListBullet"/>
        <w:spacing w:after="40"/>
      </w:pPr>
      <w:r>
        <w:t>Security-relevant denial/failure can append sanitized audit_event records with correlation IDs.</w:t>
      </w:r>
    </w:p>
    <w:p>
      <w:pPr>
        <w:pStyle w:val="ListBullet"/>
        <w:spacing w:after="40"/>
      </w:pPr>
      <w:r>
        <w:t>On suspected credential exposure, rotate affected secrets and restart/redeploy without changing domain contracts.</w:t>
      </w:r>
    </w:p>
    <w:p>
      <w:pPr>
        <w:pStyle w:val="ListBullet"/>
        <w:spacing w:after="40"/>
      </w:pPr>
      <w:r>
        <w:t>On database compromise, disable affected deployment access, preserve required audit evidence, restore from controlled backup and verify integrity before reopening.</w:t>
      </w:r>
    </w:p>
    <w:p>
      <w:pPr>
        <w:pStyle w:val="ListBullet"/>
        <w:spacing w:after="40"/>
      </w:pPr>
      <w:r>
        <w:t>On artifact tampering/version mismatch, fail startup/readiness rather than loading an unverified graph/model package.</w:t>
      </w:r>
    </w:p>
    <w:p>
      <w:pPr>
        <w:pStyle w:val="Heading1"/>
        <w:keepNext/>
      </w:pPr>
      <w:r>
        <w:t>15. Deferred security scope and acceptance</w:t>
      </w:r>
    </w:p>
    <w:p>
      <w:pPr>
        <w:pStyle w:val="Heading2"/>
        <w:keepNext/>
      </w:pPr>
      <w:r>
        <w:t>15.1 Deferred beyond V1</w:t>
      </w:r>
    </w:p>
    <w:p>
      <w:pPr>
        <w:pStyle w:val="ListBullet"/>
        <w:spacing w:after="40"/>
      </w:pPr>
      <w:r>
        <w:t>Enterprise SSO/federation and institutional multi-tenant role hierarchy.</w:t>
      </w:r>
    </w:p>
    <w:p>
      <w:pPr>
        <w:pStyle w:val="ListBullet"/>
        <w:spacing w:after="40"/>
      </w:pPr>
      <w:r>
        <w:t>Authenticated educator accounts and cross-session saved-history ownership model.</w:t>
      </w:r>
    </w:p>
    <w:p>
      <w:pPr>
        <w:pStyle w:val="ListBullet"/>
        <w:spacing w:after="40"/>
      </w:pPr>
      <w:r>
        <w:t>Authorization for repository publication/build/rollback/benchmark execution.</w:t>
      </w:r>
    </w:p>
    <w:p>
      <w:pPr>
        <w:pStyle w:val="ListBullet"/>
        <w:spacing w:after="40"/>
      </w:pPr>
      <w:r>
        <w:t>Persistent uploaded-file/object-storage security architecture if future product scope requires it.</w:t>
      </w:r>
    </w:p>
    <w:p>
      <w:pPr>
        <w:pStyle w:val="ListBullet"/>
        <w:spacing w:after="40"/>
      </w:pPr>
      <w:r>
        <w:t>Fine-grained per-institution data isolation.</w:t>
      </w:r>
    </w:p>
    <w:p>
      <w:pPr>
        <w:pStyle w:val="Heading2"/>
        <w:keepNext/>
      </w:pPr>
      <w:r>
        <w:t>15.2 Acceptance checklist</w:t>
      </w:r>
    </w:p>
    <w:p>
      <w:pPr>
        <w:pStyle w:val="ListBullet"/>
        <w:spacing w:after="40"/>
      </w:pPr>
      <w:r>
        <w:t>No secret is present in source-controlled configuration, snapshots, trace or logs.</w:t>
      </w:r>
    </w:p>
    <w:p>
      <w:pPr>
        <w:pStyle w:val="ListBullet"/>
        <w:spacing w:after="40"/>
      </w:pPr>
      <w:r>
        <w:t>All protected Admin routes check authorization before rendering/action.</w:t>
      </w:r>
    </w:p>
    <w:p>
      <w:pPr>
        <w:pStyle w:val="ListBullet"/>
        <w:spacing w:after="40"/>
      </w:pPr>
      <w:r>
        <w:t>No direct browser access to operational tables/provider credentials is required.</w:t>
      </w:r>
    </w:p>
    <w:p>
      <w:pPr>
        <w:pStyle w:val="ListBullet"/>
        <w:spacing w:after="40"/>
      </w:pPr>
      <w:r>
        <w:t>Untrusted text cannot become executable code/HTML/tool authority.</w:t>
      </w:r>
    </w:p>
    <w:p>
      <w:pPr>
        <w:pStyle w:val="ListBullet"/>
        <w:spacing w:after="40"/>
      </w:pPr>
      <w:r>
        <w:t>Persistence, generation and graph operations respect frozen SEQ-04/05 domain/error boundaries.</w:t>
      </w:r>
    </w:p>
    <w:p>
      <w:pPr>
        <w:pStyle w:val="ListBullet"/>
        <w:spacing w:after="40"/>
      </w:pPr>
      <w:r>
        <w:t>Security controls do not introduce a new V1 repository mutation/publication capability.</w:t>
      </w:r>
    </w:p>
    <w:p>
      <w:pPr>
        <w:pStyle w:val="Heading1"/>
        <w:keepNext/>
      </w:pPr>
      <w:r>
        <w:t>16. SEQ-06/SEQ-07 reconciliation verification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SEQ-10 was verified against the finalized process branches and algorithm authorities. Existing controls cover the new formalization; no new V1 trust boundary is introduced by SEQ-06/07.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60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Process / algorithm risk</w:t>
            </w:r>
          </w:p>
        </w:tc>
        <w:tc>
          <w:tcPr>
            <w:tcW w:type="dxa" w:w="6480"/>
            <w:shd w:fill="2F5D8C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Verified control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PF-01/PF-02 / ALG-01/04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Typed input validation, canonical ID resolution, bounded free text and no silent re-anchor.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ALG-07–09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Weights/thresholds/config are server-side; client cannot alter candidate eligibility/promotion/negation rules.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PF-06 / ALG-12–16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Untrusted content enters bounded generation packet as data; model has no authority over IDs/eligibility; output contract validation required.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PF-11 / ALG-17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Graph endpoints canonicalized; read-only directed path query; no graph query language/code execution from educator text.</w:t>
            </w:r>
          </w:p>
        </w:tc>
      </w:tr>
      <w:tr>
        <w:tc>
          <w:tcPr>
            <w:tcW w:type="dxa" w:w="360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PF-12 / ALG-18</w:t>
            </w:r>
          </w:p>
        </w:tc>
        <w:tc>
          <w:tcPr>
            <w:tcW w:type="dxa" w:w="6480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Runtime artifact checksums/versions verified before load; invalid build fails closed.</w:t>
            </w:r>
          </w:p>
        </w:tc>
      </w:tr>
      <w:tr>
        <w:tc>
          <w:tcPr>
            <w:tcW w:type="dxa" w:w="360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ALG-19</w:t>
            </w:r>
          </w:p>
        </w:tc>
        <w:tc>
          <w:tcPr>
            <w:tcW w:type="dxa" w:w="6480"/>
            <w:shd w:fill="F8FAFC"/>
            <w:vAlign w:val="top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5"/>
              </w:rPr>
              <w:t>Idempotency keys/hashes mitigate duplicate expensive execution; conflicts are explicit.</w:t>
            </w:r>
          </w:p>
        </w:tc>
      </w:tr>
    </w:tbl>
    <w:p/>
    <w:p>
      <w:pPr>
        <w:pStyle w:val="ListBullet"/>
        <w:spacing w:after="40"/>
      </w:pPr>
      <w:r>
        <w:t>No functional V1 Admin mutation endpoint is introduced by the process or algorithm specifications.</w:t>
      </w:r>
    </w:p>
    <w:p>
      <w:pPr>
        <w:spacing w:after="100"/>
      </w:pPr>
      <w:r>
        <w:rPr>
          <w:rFonts w:ascii="Arial" w:hAnsi="Arial"/>
          <w:color w:val="1F2937"/>
          <w:sz w:val="20"/>
        </w:rPr>
        <w:t>Verification outcome: the specification remains semantically compatible after SEQ-06/07. Version 0.2 records this reconciliation and updates the upstream baseline; it does not redesign the frozen V1 behavior.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Ontology-Driven Sustainability Recommendation System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SEQ-10 — Security &amp; Access Control Specification  |  Version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2F5D8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F5D8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Interface Design v0.2</dc:title>
  <dc:subject>SEQ-04 — reconciled V1 interface contracts with line-flow diagrams</dc:subject>
  <dc:creator/>
  <cp:keywords>SEQ-04, technical interface design, recommendation system, knowledge graph, sustainability</cp:keywords>
  <dc:description>V1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