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Verification &amp; Validation Plan</w:t>
      </w:r>
    </w:p>
    <w:p>
      <w:pPr>
        <w:jc w:val="left"/>
      </w:pPr>
      <w:r>
        <w:rPr>
          <w:b/>
          <w:color w:val="26323F"/>
        </w:rPr>
        <w:t>SEQ-11  |  Version 0.1  |  Original Python implementation plan</w:t>
      </w:r>
    </w:p>
    <w:p>
      <w:pPr>
        <w:pStyle w:val="Subtitle"/>
      </w:pPr>
      <w:r>
        <w:t>Defines evidence, test layers and release gates before implementation changes are accepted.</w:t>
      </w:r>
    </w:p>
    <w:p>
      <w:r>
        <w:t>Ontology and Knowledge Graph-Driven Sustainability Principles Recommendation System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850548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11_vv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850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Verification and validation proceeds from frozen specifications to executable parity/regression evidence.</w:t>
      </w:r>
    </w:p>
    <w:p>
      <w:pPr>
        <w:pStyle w:val="Heading1"/>
      </w:pPr>
      <w:r>
        <w:t>Source and design basis</w:t>
      </w:r>
    </w:p>
    <w:p>
      <w:r>
        <w:t>This specification is implementation-facing and is subordinate to the previously frozen system design. It does not introduce Bolt.new or any alternate TypeScript deployment assumptions.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Authoritative input</w:t>
            </w:r>
          </w:p>
        </w:tc>
        <w:tc>
          <w:tcPr>
            <w:tcW w:type="dxa" w:w="504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Use in this sequence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System Architecture Design v1.1 Final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Component boundaries and V1 architecture invariants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Technical Interface Design v0.2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Logical interface contracts and domain/technical outcome separation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Data Flow Design v0.1 Final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Data objects, transformations, persistence events and authority boundaries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SEQ-06 Process Flow Specification v0.1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Behavioral ordering, branches and termination states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SEQ-07 Algorithm Specification v0.1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Algorithm semantics and frozen Design-8a behavior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SEQ-08/09/10 v0.2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Module ownership, persistence and security baseline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hybrid_runtime_v5.py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Accepted Design-8a reference implementation / parity oracle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Validation Benchmark Master Register v1.8 Lean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Accepted baseline gates and benchmark history</w:t>
            </w:r>
          </w:p>
        </w:tc>
      </w:tr>
    </w:tbl>
    <w:p>
      <w:pPr>
        <w:pStyle w:val="Heading1"/>
      </w:pPr>
      <w:r>
        <w:t>1. Purpose and V&amp;V principles</w:t>
      </w:r>
    </w:p>
    <w:p>
      <w:r>
        <w:t>The V&amp;V plan separates verification (the implementation conforms to the specified design) from validation (the implementation continues to produce the accepted Design-8a recommendation behavior). Passing software tests is necessary but not sufficient: recommendation changes must also preserve the accepted benchmark safety and quality gates.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504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Gold isolation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Prediction code must not read gold labels or use benchmark answers as runtime evidence.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Coverage vs quality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Repository/anchor coverage is reported separately from recommendation quality.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Domain outcomes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Abstention, no path, no context and validation failure remain legitimate domain states rather than technical errors.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Parity before refactor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Behavioral refactoring below the recommendation-core boundary is blocked unless reference parity remains green.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Safety over aggregate gain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Forbidden promotions, unsupported inference or negation regressions fail acceptance even if aggregate recall rises.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Versioned evidence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Repository, algorithm, model and test-set versions are retained with every formal run.</w:t>
            </w:r>
          </w:p>
        </w:tc>
      </w:tr>
    </w:tbl>
    <w:p>
      <w:pPr>
        <w:pStyle w:val="Heading1"/>
      </w:pPr>
      <w:r>
        <w:t>2. Verification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6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type="dxa" w:w="336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Minimum evidence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V1 Static repository verification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Schemas, IDs, relationships, hierarchy, checksums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Repository validator report: zero errors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V2 Unit verification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Pure functions, validators, contract adapters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pytest unit suite PASS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V3 Integration verification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Repository compile, runtime load, facade behavior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integration suite PASS + compiled manifest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V4 Reference parity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Frozen v5a oracle vs migrated core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case-level decision/trace parity report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V5 Regression validation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Frozen accepted benchmark suites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accepted baseline gates preserved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V6 End-to-end V1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UI → recommendation → persistence → Kit boundaries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workflow scenarios including domain failures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V7 Security verification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Access, secret isolation, malformed input, logging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SEQ-10 control tests PASS</w:t>
            </w:r>
          </w:p>
        </w:tc>
      </w:tr>
    </w:tbl>
    <w:p>
      <w:pPr>
        <w:pStyle w:val="Heading1"/>
      </w:pPr>
      <w:r>
        <w:t>3. Accepted Design-8a release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Gate</w:t>
            </w:r>
          </w:p>
        </w:tc>
        <w:tc>
          <w:tcPr>
            <w:tcW w:type="dxa" w:w="504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Accepted baseline / required condition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15-case regression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15/15 legacy behavior preserved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Educator input suite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24/24 end-to-end; Design-7.5b routing/context controls preserved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Generated-context quality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4/4 accepted quality/off-scope-avoidance control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Forbidden promotions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Promoted-vetoed overlap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ALL59 strict end-to-end reference point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30/46 recommendation-ready executions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ALL59 promoted precision / recall / F1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69.8% / 65.2% / 67.4% reference point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Top-1 path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Must remain the validated primary ranking path unless a separately approved design change is opened</w:t>
            </w:r>
          </w:p>
        </w:tc>
      </w:tr>
    </w:tbl>
    <w:p>
      <w:r>
        <w:t>The aggregate ALL59 values are reference acceptance evidence, not tuning targets to be optimized case-by-case. Any future algorithm change requires a separately versioned design decision and rerun of all applicable frozen gates.</w:t>
      </w:r>
    </w:p>
    <w:p>
      <w:pPr>
        <w:pStyle w:val="Heading1"/>
      </w:pPr>
      <w:r>
        <w:t>4. Parity comparison policy</w:t>
      </w:r>
    </w:p>
    <w:p>
      <w:r>
        <w:t>Same-language migration expects exact equality for categorical decisions and structured trace fields. Numeric semantic values may use an explicit tolerance only when backend/runtime numerical differences make bit-level equality inappropriate. A tolerance must never mask a threshold crossing that changes a decision.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Field class</w:t>
            </w:r>
          </w:p>
        </w:tc>
        <w:tc>
          <w:tcPr>
            <w:tcW w:type="dxa" w:w="504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Comparison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Exact decision fields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Resolution IDs, selected KCRs, scope status, primary SCR, promoted SCRs, abstention/status, vetoed SCRs: exact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Structured trace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Mechanism facets, promotion facets, negated facets, candidate trace: exact for current Python-to-Python migration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Numeric fields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Absolute tolerance declared by the harness; threshold-near deltas reviewed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Model identity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Backend/model name and version must match the intended run; no silent substitution</w:t>
            </w:r>
          </w:p>
        </w:tc>
      </w:tr>
    </w:tbl>
    <w:p>
      <w:pPr>
        <w:pStyle w:val="Heading1"/>
      </w:pPr>
      <w:r>
        <w:t>5. Test data governance</w:t>
      </w:r>
    </w:p>
    <w:p>
      <w:r>
        <w:t>Frozen benchmark inputs and expected outcomes are test assets, not production knowledge. Gold labels are loaded only by evaluation code after prediction outputs have been frozen. Expert-review/ambiguity cases must not be force-tuned merely to match a gold ordering.</w:t>
      </w:r>
    </w:p>
    <w:p>
      <w:pPr>
        <w:pStyle w:val="Heading1"/>
      </w:pPr>
      <w:r>
        <w:t>6. Entry and exit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336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Entry</w:t>
            </w:r>
          </w:p>
        </w:tc>
        <w:tc>
          <w:tcPr>
            <w:tcW w:type="dxa" w:w="336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Exit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SEQ-12 bootstrap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SEQ-03–10 frozen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Repository initializes cleanly; CI/test skeleton exists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SEQ-13 parity harness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Reference runtime available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Harness produces auditable case-level PASS/mismatch report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SEQ-14 repository pipeline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Current governed CSV bundle available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Validation PASS; deterministic graph/corpus manifest generated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SEQ-15 core migration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SEQ-13 harness green on smoke/reference subset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Migrated kernel callable through production service adapter; parity green on available cases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Implementation release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Full frozen benchmark artifacts available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All mandatory accepted Design-8a gates rerun and PASS</w:t>
            </w:r>
          </w:p>
        </w:tc>
      </w:tr>
    </w:tbl>
    <w:p>
      <w:pPr>
        <w:pStyle w:val="Heading1"/>
      </w:pPr>
      <w:r>
        <w:t>7. Current execution evidence</w:t>
      </w:r>
    </w:p>
    <w:p>
      <w:r>
        <w:t>In the current build session the 19-file CSV repository bundle validated with 0 errors and 0 warnings (9,033 nodes; 10,347 relationships). The compilation pipeline completed. A three-case LSA smoke parity set covering recommendation, abstention and explicit-negation behavior passed 3/3, and the local pytest suite passed. This is implementation smoke evidence only; it does not replace the frozen MiniLM regression/ALL59 release suites.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Implementation baseline •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8090"/>
        <w:sz w:val="16"/>
      </w:rPr>
      <w:t>SEQ-11 — Verification &amp; Validation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F5D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D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D8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F5D8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