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Design-8a Reference Parity Harness</w:t>
      </w:r>
    </w:p>
    <w:p>
      <w:pPr>
        <w:jc w:val="left"/>
      </w:pPr>
      <w:r>
        <w:rPr>
          <w:b/>
          <w:color w:val="26323F"/>
        </w:rPr>
        <w:t>SEQ-13  |  Version 0.1  |  Original Python implementation plan</w:t>
      </w:r>
    </w:p>
    <w:p>
      <w:pPr>
        <w:pStyle w:val="Subtitle"/>
      </w:pPr>
      <w:r>
        <w:t>Creates an executable oracle-vs-candidate comparison gate before Recommendation Core refactoring.</w:t>
      </w:r>
    </w:p>
    <w:p>
      <w:r>
        <w:t>Ontology and Knowledge Graph-Driven Sustainability Principles Recommendation System</w:t>
      </w:r>
    </w:p>
    <w:p>
      <w:pPr>
        <w:jc w:val="center"/>
      </w:pPr>
      <w:r>
        <w:drawing>
          <wp:inline xmlns:a="http://schemas.openxmlformats.org/drawingml/2006/main" xmlns:pic="http://schemas.openxmlformats.org/drawingml/2006/picture">
            <wp:extent cx="6583680" cy="1850548"/>
            <wp:docPr id="1" name="Picture 1" descr="Image: image1.png"/>
            <wp:cNvGraphicFramePr>
              <a:graphicFrameLocks noChangeAspect="1"/>
            </wp:cNvGraphicFramePr>
            <a:graphic>
              <a:graphicData uri="http://schemas.openxmlformats.org/drawingml/2006/picture">
                <pic:pic>
                  <pic:nvPicPr>
                    <pic:cNvPr id="0" name="seq13_parity_flow.png"/>
                    <pic:cNvPicPr/>
                  </pic:nvPicPr>
                  <pic:blipFill>
                    <a:blip r:embed="rId11"/>
                    <a:stretch>
                      <a:fillRect/>
                    </a:stretch>
                  </pic:blipFill>
                  <pic:spPr>
                    <a:xfrm>
                      <a:off x="0" y="0"/>
                      <a:ext cx="6583680" cy="1850548"/>
                    </a:xfrm>
                    <a:prstGeom prst="rect"/>
                  </pic:spPr>
                </pic:pic>
              </a:graphicData>
            </a:graphic>
          </wp:inline>
        </w:drawing>
      </w:r>
    </w:p>
    <w:p>
      <w:r>
        <w:t>Figure 1. Reference and candidate receive identical repository/model/case inputs; discrepancies are emitted as case-level evidence.</w:t>
      </w:r>
    </w:p>
    <w:p>
      <w:pPr>
        <w:pStyle w:val="Heading1"/>
      </w:pPr>
      <w:r>
        <w:t>Source and design basis</w:t>
      </w:r>
    </w:p>
    <w:p>
      <w:r>
        <w:t>This specification is implementation-facing and is subordinate to the previously frozen system design. It does not introduce Bolt.new or any alternate TypeScript deployment assumptions.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F5D8C"/>
            <w:vAlign w:val="center"/>
          </w:tcPr>
          <w:p>
            <w:r>
              <w:rPr>
                <w:b/>
                <w:color w:val="FFFFFF"/>
                <w:sz w:val="17"/>
              </w:rPr>
              <w:t>Authoritative input</w:t>
            </w:r>
          </w:p>
        </w:tc>
        <w:tc>
          <w:tcPr>
            <w:tcW w:type="dxa" w:w="5040"/>
            <w:shd w:fill="2F5D8C"/>
            <w:vAlign w:val="center"/>
          </w:tcPr>
          <w:p>
            <w:r>
              <w:rPr>
                <w:b/>
                <w:color w:val="FFFFFF"/>
                <w:sz w:val="17"/>
              </w:rPr>
              <w:t>Use in this sequence</w:t>
            </w:r>
          </w:p>
        </w:tc>
      </w:tr>
      <w:tr>
        <w:tc>
          <w:tcPr>
            <w:tcW w:type="dxa" w:w="5040"/>
            <w:vAlign w:val="top"/>
          </w:tcPr>
          <w:p>
            <w:r>
              <w:rPr>
                <w:sz w:val="16"/>
              </w:rPr>
              <w:t>System Architecture Design v1.1 Final</w:t>
            </w:r>
          </w:p>
        </w:tc>
        <w:tc>
          <w:tcPr>
            <w:tcW w:type="dxa" w:w="5040"/>
            <w:vAlign w:val="top"/>
          </w:tcPr>
          <w:p>
            <w:r>
              <w:rPr>
                <w:sz w:val="16"/>
              </w:rPr>
              <w:t>Component boundaries and V1 architecture invariants</w:t>
            </w:r>
          </w:p>
        </w:tc>
      </w:tr>
      <w:tr>
        <w:tc>
          <w:tcPr>
            <w:tcW w:type="dxa" w:w="5040"/>
            <w:vAlign w:val="top"/>
          </w:tcPr>
          <w:p>
            <w:r>
              <w:rPr>
                <w:sz w:val="16"/>
              </w:rPr>
              <w:t>Technical Interface Design v0.2</w:t>
            </w:r>
          </w:p>
        </w:tc>
        <w:tc>
          <w:tcPr>
            <w:tcW w:type="dxa" w:w="5040"/>
            <w:vAlign w:val="top"/>
          </w:tcPr>
          <w:p>
            <w:r>
              <w:rPr>
                <w:sz w:val="16"/>
              </w:rPr>
              <w:t>Logical interface contracts and domain/technical outcome separation</w:t>
            </w:r>
          </w:p>
        </w:tc>
      </w:tr>
      <w:tr>
        <w:tc>
          <w:tcPr>
            <w:tcW w:type="dxa" w:w="5040"/>
            <w:vAlign w:val="top"/>
          </w:tcPr>
          <w:p>
            <w:r>
              <w:rPr>
                <w:sz w:val="16"/>
              </w:rPr>
              <w:t>Data Flow Design v0.1 Final</w:t>
            </w:r>
          </w:p>
        </w:tc>
        <w:tc>
          <w:tcPr>
            <w:tcW w:type="dxa" w:w="5040"/>
            <w:vAlign w:val="top"/>
          </w:tcPr>
          <w:p>
            <w:r>
              <w:rPr>
                <w:sz w:val="16"/>
              </w:rPr>
              <w:t>Data objects, transformations, persistence events and authority boundaries</w:t>
            </w:r>
          </w:p>
        </w:tc>
      </w:tr>
      <w:tr>
        <w:tc>
          <w:tcPr>
            <w:tcW w:type="dxa" w:w="5040"/>
            <w:vAlign w:val="top"/>
          </w:tcPr>
          <w:p>
            <w:r>
              <w:rPr>
                <w:sz w:val="16"/>
              </w:rPr>
              <w:t>SEQ-06 Process Flow Specification v0.1</w:t>
            </w:r>
          </w:p>
        </w:tc>
        <w:tc>
          <w:tcPr>
            <w:tcW w:type="dxa" w:w="5040"/>
            <w:vAlign w:val="top"/>
          </w:tcPr>
          <w:p>
            <w:r>
              <w:rPr>
                <w:sz w:val="16"/>
              </w:rPr>
              <w:t>Behavioral ordering, branches and termination states</w:t>
            </w:r>
          </w:p>
        </w:tc>
      </w:tr>
      <w:tr>
        <w:tc>
          <w:tcPr>
            <w:tcW w:type="dxa" w:w="5040"/>
            <w:vAlign w:val="top"/>
          </w:tcPr>
          <w:p>
            <w:r>
              <w:rPr>
                <w:sz w:val="16"/>
              </w:rPr>
              <w:t>SEQ-07 Algorithm Specification v0.1</w:t>
            </w:r>
          </w:p>
        </w:tc>
        <w:tc>
          <w:tcPr>
            <w:tcW w:type="dxa" w:w="5040"/>
            <w:vAlign w:val="top"/>
          </w:tcPr>
          <w:p>
            <w:r>
              <w:rPr>
                <w:sz w:val="16"/>
              </w:rPr>
              <w:t>Algorithm semantics and frozen Design-8a behavior</w:t>
            </w:r>
          </w:p>
        </w:tc>
      </w:tr>
      <w:tr>
        <w:tc>
          <w:tcPr>
            <w:tcW w:type="dxa" w:w="5040"/>
            <w:vAlign w:val="top"/>
          </w:tcPr>
          <w:p>
            <w:r>
              <w:rPr>
                <w:sz w:val="16"/>
              </w:rPr>
              <w:t>SEQ-08/09/10 v0.2</w:t>
            </w:r>
          </w:p>
        </w:tc>
        <w:tc>
          <w:tcPr>
            <w:tcW w:type="dxa" w:w="5040"/>
            <w:vAlign w:val="top"/>
          </w:tcPr>
          <w:p>
            <w:r>
              <w:rPr>
                <w:sz w:val="16"/>
              </w:rPr>
              <w:t>Module ownership, persistence and security baseline</w:t>
            </w:r>
          </w:p>
        </w:tc>
      </w:tr>
      <w:tr>
        <w:tc>
          <w:tcPr>
            <w:tcW w:type="dxa" w:w="5040"/>
            <w:vAlign w:val="top"/>
          </w:tcPr>
          <w:p>
            <w:r>
              <w:rPr>
                <w:sz w:val="16"/>
              </w:rPr>
              <w:t>hybrid_runtime_v5.py</w:t>
            </w:r>
          </w:p>
        </w:tc>
        <w:tc>
          <w:tcPr>
            <w:tcW w:type="dxa" w:w="5040"/>
            <w:vAlign w:val="top"/>
          </w:tcPr>
          <w:p>
            <w:r>
              <w:rPr>
                <w:sz w:val="16"/>
              </w:rPr>
              <w:t>Accepted Design-8a reference implementation / parity oracle</w:t>
            </w:r>
          </w:p>
        </w:tc>
      </w:tr>
      <w:tr>
        <w:tc>
          <w:tcPr>
            <w:tcW w:type="dxa" w:w="5040"/>
            <w:vAlign w:val="top"/>
          </w:tcPr>
          <w:p>
            <w:r>
              <w:rPr>
                <w:sz w:val="16"/>
              </w:rPr>
              <w:t>Validation Benchmark Master Register v1.8 Lean</w:t>
            </w:r>
          </w:p>
        </w:tc>
        <w:tc>
          <w:tcPr>
            <w:tcW w:type="dxa" w:w="5040"/>
            <w:vAlign w:val="top"/>
          </w:tcPr>
          <w:p>
            <w:r>
              <w:rPr>
                <w:sz w:val="16"/>
              </w:rPr>
              <w:t>Accepted baseline gates and benchmark history</w:t>
            </w:r>
          </w:p>
        </w:tc>
      </w:tr>
    </w:tbl>
    <w:p>
      <w:pPr>
        <w:pStyle w:val="Heading1"/>
      </w:pPr>
      <w:r>
        <w:t>1. Reference authority</w:t>
      </w:r>
    </w:p>
    <w:p>
      <w:r>
        <w:t>`reference/hybrid_runtime_v5.py` is the frozen Design-8a / v5a behavioral oracle. The harness never reads gold labels during prediction. It compares reference output to the migrated candidate implementation using the same repository, semantic backend, model configuration and input cases.</w:t>
      </w:r>
    </w:p>
    <w:p>
      <w:pPr>
        <w:pStyle w:val="Heading1"/>
      </w:pPr>
      <w:r>
        <w:t>2. Harness implementation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F5D8C"/>
            <w:vAlign w:val="center"/>
          </w:tcPr>
          <w:p>
            <w:r>
              <w:rPr>
                <w:b/>
                <w:color w:val="FFFFFF"/>
                <w:sz w:val="17"/>
              </w:rPr>
              <w:t>Component</w:t>
            </w:r>
          </w:p>
        </w:tc>
        <w:tc>
          <w:tcPr>
            <w:tcW w:type="dxa" w:w="5040"/>
            <w:shd w:fill="2F5D8C"/>
            <w:vAlign w:val="center"/>
          </w:tcPr>
          <w:p>
            <w:r>
              <w:rPr>
                <w:b/>
                <w:color w:val="FFFFFF"/>
                <w:sz w:val="17"/>
              </w:rPr>
              <w:t>Implementation</w:t>
            </w:r>
          </w:p>
        </w:tc>
      </w:tr>
      <w:tr>
        <w:tc>
          <w:tcPr>
            <w:tcW w:type="dxa" w:w="5040"/>
            <w:vAlign w:val="top"/>
          </w:tcPr>
          <w:p>
            <w:r>
              <w:rPr>
                <w:sz w:val="16"/>
              </w:rPr>
              <w:t>Reference loader</w:t>
            </w:r>
          </w:p>
        </w:tc>
        <w:tc>
          <w:tcPr>
            <w:tcW w:type="dxa" w:w="5040"/>
            <w:vAlign w:val="top"/>
          </w:tcPr>
          <w:p>
            <w:r>
              <w:rPr>
                <w:sz w:val="16"/>
              </w:rPr>
              <w:t>Loads frozen runtime directly from reference path without importing production core</w:t>
            </w:r>
          </w:p>
        </w:tc>
      </w:tr>
      <w:tr>
        <w:tc>
          <w:tcPr>
            <w:tcW w:type="dxa" w:w="5040"/>
            <w:vAlign w:val="top"/>
          </w:tcPr>
          <w:p>
            <w:r>
              <w:rPr>
                <w:sz w:val="16"/>
              </w:rPr>
              <w:t>Candidate loader</w:t>
            </w:r>
          </w:p>
        </w:tc>
        <w:tc>
          <w:tcPr>
            <w:tcW w:type="dxa" w:w="5040"/>
            <w:vAlign w:val="top"/>
          </w:tcPr>
          <w:p>
            <w:r>
              <w:rPr>
                <w:sz w:val="16"/>
              </w:rPr>
              <w:t>Calls RecommendationCoreService / migrated kernel</w:t>
            </w:r>
          </w:p>
        </w:tc>
      </w:tr>
      <w:tr>
        <w:tc>
          <w:tcPr>
            <w:tcW w:type="dxa" w:w="5040"/>
            <w:vAlign w:val="top"/>
          </w:tcPr>
          <w:p>
            <w:r>
              <w:rPr>
                <w:sz w:val="16"/>
              </w:rPr>
              <w:t>Input loader</w:t>
            </w:r>
          </w:p>
        </w:tc>
        <w:tc>
          <w:tcPr>
            <w:tcW w:type="dxa" w:w="5040"/>
            <w:vAlign w:val="top"/>
          </w:tcPr>
          <w:p>
            <w:r>
              <w:rPr>
                <w:sz w:val="16"/>
              </w:rPr>
              <w:t>CSV cases; identical dictionary payload passed to both engines</w:t>
            </w:r>
          </w:p>
        </w:tc>
      </w:tr>
      <w:tr>
        <w:tc>
          <w:tcPr>
            <w:tcW w:type="dxa" w:w="5040"/>
            <w:vAlign w:val="top"/>
          </w:tcPr>
          <w:p>
            <w:r>
              <w:rPr>
                <w:sz w:val="16"/>
              </w:rPr>
              <w:t>Exact fields</w:t>
            </w:r>
          </w:p>
        </w:tc>
        <w:tc>
          <w:tcPr>
            <w:tcW w:type="dxa" w:w="5040"/>
            <w:vAlign w:val="top"/>
          </w:tcPr>
          <w:p>
            <w:r>
              <w:rPr>
                <w:sz w:val="16"/>
              </w:rPr>
              <w:t>Resolution, selected KCRs/evidence, scope, primary/promoted SCRs, status, vetoed SCR IDs</w:t>
            </w:r>
          </w:p>
        </w:tc>
      </w:tr>
      <w:tr>
        <w:tc>
          <w:tcPr>
            <w:tcW w:type="dxa" w:w="5040"/>
            <w:vAlign w:val="top"/>
          </w:tcPr>
          <w:p>
            <w:r>
              <w:rPr>
                <w:sz w:val="16"/>
              </w:rPr>
              <w:t>Structured trace</w:t>
            </w:r>
          </w:p>
        </w:tc>
        <w:tc>
          <w:tcPr>
            <w:tcW w:type="dxa" w:w="5040"/>
            <w:vAlign w:val="top"/>
          </w:tcPr>
          <w:p>
            <w:r>
              <w:rPr>
                <w:sz w:val="16"/>
              </w:rPr>
              <w:t>Mechanism/promotion/negative facets and candidate trace payload</w:t>
            </w:r>
          </w:p>
        </w:tc>
      </w:tr>
      <w:tr>
        <w:tc>
          <w:tcPr>
            <w:tcW w:type="dxa" w:w="5040"/>
            <w:vAlign w:val="top"/>
          </w:tcPr>
          <w:p>
            <w:r>
              <w:rPr>
                <w:sz w:val="16"/>
              </w:rPr>
              <w:t>Numeric comparison</w:t>
            </w:r>
          </w:p>
        </w:tc>
        <w:tc>
          <w:tcPr>
            <w:tcW w:type="dxa" w:w="5040"/>
            <w:vAlign w:val="top"/>
          </w:tcPr>
          <w:p>
            <w:r>
              <w:rPr>
                <w:sz w:val="16"/>
              </w:rPr>
              <w:t>Explicit absolute tolerance for selected numeric fields</w:t>
            </w:r>
          </w:p>
        </w:tc>
      </w:tr>
      <w:tr>
        <w:tc>
          <w:tcPr>
            <w:tcW w:type="dxa" w:w="5040"/>
            <w:vAlign w:val="top"/>
          </w:tcPr>
          <w:p>
            <w:r>
              <w:rPr>
                <w:sz w:val="16"/>
              </w:rPr>
              <w:t>Output</w:t>
            </w:r>
          </w:p>
        </w:tc>
        <w:tc>
          <w:tcPr>
            <w:tcW w:type="dxa" w:w="5040"/>
            <w:vAlign w:val="top"/>
          </w:tcPr>
          <w:p>
            <w:r>
              <w:rPr>
                <w:sz w:val="16"/>
              </w:rPr>
              <w:t>JSON report with per-case PASS and mismatch detail</w:t>
            </w:r>
          </w:p>
        </w:tc>
      </w:tr>
    </w:tbl>
    <w:p>
      <w:pPr>
        <w:pStyle w:val="Heading1"/>
      </w:pPr>
      <w:r>
        <w:t>3. Current smoke parity set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F5D8C"/>
            <w:vAlign w:val="center"/>
          </w:tcPr>
          <w:p>
            <w:r>
              <w:rPr>
                <w:b/>
                <w:color w:val="FFFFFF"/>
                <w:sz w:val="17"/>
              </w:rPr>
              <w:t>Case</w:t>
            </w:r>
          </w:p>
        </w:tc>
        <w:tc>
          <w:tcPr>
            <w:tcW w:type="dxa" w:w="3360"/>
            <w:shd w:fill="2F5D8C"/>
            <w:vAlign w:val="center"/>
          </w:tcPr>
          <w:p>
            <w:r>
              <w:rPr>
                <w:b/>
                <w:color w:val="FFFFFF"/>
                <w:sz w:val="17"/>
              </w:rPr>
              <w:t>Purpose</w:t>
            </w:r>
          </w:p>
        </w:tc>
        <w:tc>
          <w:tcPr>
            <w:tcW w:type="dxa" w:w="3360"/>
            <w:shd w:fill="2F5D8C"/>
            <w:vAlign w:val="center"/>
          </w:tcPr>
          <w:p>
            <w:r>
              <w:rPr>
                <w:b/>
                <w:color w:val="FFFFFF"/>
                <w:sz w:val="17"/>
              </w:rPr>
              <w:t>Result</w:t>
            </w:r>
          </w:p>
        </w:tc>
      </w:tr>
      <w:tr>
        <w:tc>
          <w:tcPr>
            <w:tcW w:type="dxa" w:w="3360"/>
            <w:vAlign w:val="top"/>
          </w:tcPr>
          <w:p>
            <w:r>
              <w:rPr>
                <w:sz w:val="16"/>
              </w:rPr>
              <w:t>SMOKE_RECOMMEND</w:t>
            </w:r>
          </w:p>
        </w:tc>
        <w:tc>
          <w:tcPr>
            <w:tcW w:type="dxa" w:w="3360"/>
            <w:vAlign w:val="top"/>
          </w:tcPr>
          <w:p>
            <w:r>
              <w:rPr>
                <w:sz w:val="16"/>
              </w:rPr>
              <w:t>Normal mechanism-present recommendation path</w:t>
            </w:r>
          </w:p>
        </w:tc>
        <w:tc>
          <w:tcPr>
            <w:tcW w:type="dxa" w:w="3360"/>
            <w:vAlign w:val="top"/>
          </w:tcPr>
          <w:p>
            <w:r>
              <w:rPr>
                <w:sz w:val="16"/>
              </w:rPr>
              <w:t>PASS</w:t>
            </w:r>
          </w:p>
        </w:tc>
      </w:tr>
      <w:tr>
        <w:tc>
          <w:tcPr>
            <w:tcW w:type="dxa" w:w="3360"/>
            <w:vAlign w:val="top"/>
          </w:tcPr>
          <w:p>
            <w:r>
              <w:rPr>
                <w:sz w:val="16"/>
              </w:rPr>
              <w:t>SMOKE_ABSTAIN</w:t>
            </w:r>
          </w:p>
        </w:tc>
        <w:tc>
          <w:tcPr>
            <w:tcW w:type="dxa" w:w="3360"/>
            <w:vAlign w:val="top"/>
          </w:tcPr>
          <w:p>
            <w:r>
              <w:rPr>
                <w:sz w:val="16"/>
              </w:rPr>
              <w:t>No sustainability mechanism → abstention path</w:t>
            </w:r>
          </w:p>
        </w:tc>
        <w:tc>
          <w:tcPr>
            <w:tcW w:type="dxa" w:w="3360"/>
            <w:vAlign w:val="top"/>
          </w:tcPr>
          <w:p>
            <w:r>
              <w:rPr>
                <w:sz w:val="16"/>
              </w:rPr>
              <w:t>PASS</w:t>
            </w:r>
          </w:p>
        </w:tc>
      </w:tr>
      <w:tr>
        <w:tc>
          <w:tcPr>
            <w:tcW w:type="dxa" w:w="3360"/>
            <w:vAlign w:val="top"/>
          </w:tcPr>
          <w:p>
            <w:r>
              <w:rPr>
                <w:sz w:val="16"/>
              </w:rPr>
              <w:t>SMOKE_NEGATION</w:t>
            </w:r>
          </w:p>
        </w:tc>
        <w:tc>
          <w:tcPr>
            <w:tcW w:type="dxa" w:w="3360"/>
            <w:vAlign w:val="top"/>
          </w:tcPr>
          <w:p>
            <w:r>
              <w:rPr>
                <w:sz w:val="16"/>
              </w:rPr>
              <w:t>Explicit negation preserved as veto/exclusion evidence</w:t>
            </w:r>
          </w:p>
        </w:tc>
        <w:tc>
          <w:tcPr>
            <w:tcW w:type="dxa" w:w="3360"/>
            <w:vAlign w:val="top"/>
          </w:tcPr>
          <w:p>
            <w:r>
              <w:rPr>
                <w:sz w:val="16"/>
              </w:rPr>
              <w:t>PASS</w:t>
            </w:r>
          </w:p>
        </w:tc>
      </w:tr>
    </w:tbl>
    <w:p>
      <w:r>
        <w:t>The smoke suite runs on the deterministic LSA fallback backend so it can execute without downloading an external model. It establishes harness correctness and same-code migration parity. It is not a substitute for the accepted MiniLM benchmark suites.</w:t>
      </w:r>
    </w:p>
    <w:p>
      <w:pPr>
        <w:pStyle w:val="Heading1"/>
      </w:pPr>
      <w:r>
        <w:t>4. Formal MiniLM parity gate</w:t>
      </w:r>
    </w:p>
    <w:p>
      <w:r>
        <w:t>When the frozen benchmark case files/reference outputs are placed in `data/benchmark`, the same harness is run with `--backend sentence-transformer` and the accepted `sentence-transformers/all-MiniLM-L6-v2` model. The release comparison must preserve Design-8a gates defined in SEQ-11.</w:t>
      </w:r>
    </w:p>
    <w:p>
      <w:pPr>
        <w:pStyle w:val="CodeBlock"/>
      </w:pPr>
      <w:r>
        <w:t>python scripts/run_parity.py \</w:t>
      </w:r>
    </w:p>
    <w:p>
      <w:pPr>
        <w:pStyle w:val="CodeBlock"/>
      </w:pPr>
      <w:r>
        <w:t xml:space="preserve">  --reference reference/hybrid_runtime_v5.py \</w:t>
      </w:r>
    </w:p>
    <w:p>
      <w:pPr>
        <w:pStyle w:val="CodeBlock"/>
      </w:pPr>
      <w:r>
        <w:t xml:space="preserve">  --repo data/repository \</w:t>
      </w:r>
    </w:p>
    <w:p>
      <w:pPr>
        <w:pStyle w:val="CodeBlock"/>
      </w:pPr>
      <w:r>
        <w:t xml:space="preserve">  --cases data/benchmark/&lt;frozen_cases&gt;.csv \</w:t>
      </w:r>
    </w:p>
    <w:p>
      <w:pPr>
        <w:pStyle w:val="CodeBlock"/>
      </w:pPr>
      <w:r>
        <w:t xml:space="preserve">  --output artifacts/parity_reports/design8a_minilm.json \</w:t>
      </w:r>
    </w:p>
    <w:p>
      <w:pPr>
        <w:pStyle w:val="CodeBlock"/>
      </w:pPr>
      <w:r>
        <w:t xml:space="preserve">  --backend sentence-transformer</w:t>
      </w:r>
    </w:p>
    <w:p>
      <w:pPr>
        <w:pStyle w:val="Heading1"/>
      </w:pPr>
      <w:r>
        <w:t>5. Failure handling</w:t>
      </w:r>
    </w:p>
    <w:p>
      <w:r>
        <w:t>A parity mismatch blocks refactoring acceptance. Investigation classifies differences as implementation defect, numeric/backend drift, test-asset/version mismatch, or an intentionally opened design change. Thresholds must not be tuned ad hoc to make one benchmark row pass.</w:t>
      </w:r>
    </w:p>
    <w:p>
      <w:pPr>
        <w:pStyle w:val="Heading1"/>
      </w:pPr>
      <w:r>
        <w:t>6. Current status</w:t>
      </w:r>
    </w:p>
    <w:p>
      <w:r>
        <w:t>Harness established and executable. Local three-case LSA smoke parity: 3/3 PASS. Full frozen MiniLM 15/24/59 suites were not rerun in this session because the underlying frozen case artifact was not available as a local executable input file; the benchmark register was available as authoritative historical evidence only. Full MiniLM parity therefore remains the pre-release gate rather than being falsely reported as completed.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 baseline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8090"/>
        <w:sz w:val="16"/>
      </w:rPr>
      <w:t>SEQ-13 — Design-8a Reference Parity Harness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F5D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D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D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5D8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