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F5D8C"/>
          <w:sz w:val="20"/>
        </w:rPr>
        <w:t>PROJECT HANDOFF</w:t>
      </w:r>
    </w:p>
    <w:p>
      <w:pPr>
        <w:pStyle w:val="Title"/>
      </w:pPr>
      <w:r>
        <w:t>Recommendation System</w:t>
        <w:br/>
        <w:t>New-Chat Handoff</w:t>
      </w:r>
    </w:p>
    <w:p>
      <w:r>
        <w:rPr>
          <w:b/>
          <w:color w:val="1F2937"/>
          <w:sz w:val="28"/>
        </w:rPr>
        <w:t>Ontology and Knowledge Graph-Driven Sustainability Principles Recommendation System</w:t>
      </w:r>
    </w:p>
    <w:p>
      <w:r>
        <w:rPr>
          <w:color w:val="344054"/>
          <w:sz w:val="22"/>
        </w:rPr>
        <w:t>Purpose: To integrate sustainability principles into existing curricula.</w:t>
      </w:r>
    </w:p>
    <w:tbl>
      <w:tblPr>
        <w:tblW w:type="auto" w:w="0"/>
        <w:jc w:val="center"/>
        <w:tblLook w:firstColumn="1" w:firstRow="1" w:lastColumn="0" w:lastRow="0" w:noHBand="0" w:noVBand="1" w:val="04A0"/>
      </w:tblPr>
      <w:tblGrid>
        <w:gridCol w:w="10454"/>
      </w:tblGrid>
      <w:tr>
        <w:tc>
          <w:tcPr>
            <w:tcW w:type="dxa" w:w="10454"/>
            <w:shd w:fill="F2F4F7"/>
            <w:tcBorders>
              <w:top w:val="single" w:sz="6" w:color="D0D5DD"/>
              <w:left w:val="single" w:sz="6" w:color="D0D5DD"/>
              <w:bottom w:val="single" w:sz="6" w:color="D0D5DD"/>
              <w:right w:val="single" w:sz="6" w:color="D0D5DD"/>
            </w:tcBorders>
          </w:tcPr>
          <w:p>
            <w:pPr>
              <w:spacing w:after="40"/>
            </w:pPr>
            <w:r>
              <w:rPr>
                <w:b/>
                <w:color w:val="244A70"/>
                <w:sz w:val="19"/>
              </w:rPr>
              <w:t>Use this document at the start of the next Project chat</w:t>
            </w:r>
          </w:p>
          <w:p>
            <w:pPr>
              <w:spacing w:after="0"/>
            </w:pPr>
            <w:r>
              <w:rPr>
                <w:color w:val="344054"/>
                <w:sz w:val="18"/>
              </w:rPr>
              <w:t>Attach this handoff plus the latest four SEQ-03 living artifacts. Treat the decisions below as continuation state, not as material to redesign from scratch. The immediate unfinished work is SEQ-03 Group D, with the Knowledge Graph Explorer requiring a complete visual redesign.</w:t>
            </w:r>
          </w:p>
        </w:tc>
        <w:trPr>
          <w:tblHeader/>
        </w:trPr>
      </w:tr>
    </w:tbl>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Item</w:t>
            </w:r>
          </w:p>
        </w:tc>
        <w:tc>
          <w:tcPr>
            <w:tcW w:type="dxa" w:w="5227"/>
            <w:shd w:fill="2F5D8C"/>
            <w:vAlign w:val="center"/>
          </w:tcPr>
          <w:p>
            <w:pPr>
              <w:spacing w:after="0"/>
            </w:pPr>
            <w:r/>
            <w:r>
              <w:rPr>
                <w:rFonts w:ascii="Aptos" w:hAnsi="Aptos"/>
                <w:b/>
                <w:color w:val="FFFFFF"/>
                <w:sz w:val="17"/>
              </w:rPr>
              <w:t>Current state</w:t>
            </w:r>
          </w:p>
        </w:tc>
        <w:trPr>
          <w:tblHeader/>
        </w:trPr>
      </w:tr>
      <w:tr>
        <w:tc>
          <w:tcPr>
            <w:tcW w:type="dxa" w:w="5227"/>
            <w:vAlign w:val="center"/>
            <w:shd w:fill="F2F4F7"/>
          </w:tcPr>
          <w:p>
            <w:pPr>
              <w:spacing w:after="0"/>
            </w:pPr>
            <w:r/>
            <w:r>
              <w:rPr>
                <w:rFonts w:ascii="Aptos" w:hAnsi="Aptos"/>
                <w:b w:val="0"/>
                <w:sz w:val="16"/>
              </w:rPr>
              <w:t>Operational recommender</w:t>
            </w:r>
          </w:p>
        </w:tc>
        <w:tc>
          <w:tcPr>
            <w:tcW w:type="dxa" w:w="5227"/>
            <w:vAlign w:val="center"/>
          </w:tcPr>
          <w:p>
            <w:pPr>
              <w:spacing w:after="0"/>
            </w:pPr>
            <w:r/>
            <w:r>
              <w:rPr>
                <w:rFonts w:ascii="Aptos" w:hAnsi="Aptos"/>
                <w:b w:val="0"/>
                <w:sz w:val="16"/>
              </w:rPr>
              <w:t>Frozen Design-8a + Repository v1.1</w:t>
            </w:r>
          </w:p>
        </w:tc>
      </w:tr>
      <w:tr>
        <w:tc>
          <w:tcPr>
            <w:tcW w:type="dxa" w:w="5227"/>
            <w:vAlign w:val="center"/>
            <w:shd w:fill="F2F4F7"/>
          </w:tcPr>
          <w:p>
            <w:pPr>
              <w:spacing w:after="0"/>
            </w:pPr>
            <w:r/>
            <w:r>
              <w:rPr>
                <w:rFonts w:ascii="Aptos" w:hAnsi="Aptos"/>
                <w:b w:val="0"/>
                <w:sz w:val="16"/>
              </w:rPr>
              <w:t>Current UI design sequence</w:t>
            </w:r>
          </w:p>
        </w:tc>
        <w:tc>
          <w:tcPr>
            <w:tcW w:type="dxa" w:w="5227"/>
            <w:vAlign w:val="center"/>
          </w:tcPr>
          <w:p>
            <w:pPr>
              <w:spacing w:after="0"/>
            </w:pPr>
            <w:r/>
            <w:r>
              <w:rPr>
                <w:rFonts w:ascii="Aptos" w:hAnsi="Aptos"/>
                <w:b w:val="0"/>
                <w:sz w:val="16"/>
              </w:rPr>
              <w:t>SEQ-03</w:t>
            </w:r>
          </w:p>
        </w:tc>
      </w:tr>
      <w:tr>
        <w:tc>
          <w:tcPr>
            <w:tcW w:type="dxa" w:w="5227"/>
            <w:vAlign w:val="center"/>
            <w:shd w:fill="F2F4F7"/>
          </w:tcPr>
          <w:p>
            <w:pPr>
              <w:spacing w:after="0"/>
            </w:pPr>
            <w:r/>
            <w:r>
              <w:rPr>
                <w:rFonts w:ascii="Aptos" w:hAnsi="Aptos"/>
                <w:b w:val="0"/>
                <w:sz w:val="16"/>
              </w:rPr>
              <w:t>Completed UI groups</w:t>
            </w:r>
          </w:p>
        </w:tc>
        <w:tc>
          <w:tcPr>
            <w:tcW w:type="dxa" w:w="5227"/>
            <w:vAlign w:val="center"/>
          </w:tcPr>
          <w:p>
            <w:pPr>
              <w:spacing w:after="0"/>
            </w:pPr>
            <w:r/>
            <w:r>
              <w:rPr>
                <w:rFonts w:ascii="Aptos" w:hAnsi="Aptos"/>
                <w:b w:val="0"/>
                <w:sz w:val="16"/>
              </w:rPr>
              <w:t>A. Foundation; B. Educator recommendation workflow; C. Educator Kit and explainability</w:t>
            </w:r>
          </w:p>
        </w:tc>
      </w:tr>
      <w:tr>
        <w:tc>
          <w:tcPr>
            <w:tcW w:type="dxa" w:w="5227"/>
            <w:vAlign w:val="center"/>
            <w:shd w:fill="F2F4F7"/>
          </w:tcPr>
          <w:p>
            <w:pPr>
              <w:spacing w:after="0"/>
            </w:pPr>
            <w:r/>
            <w:r>
              <w:rPr>
                <w:rFonts w:ascii="Aptos" w:hAnsi="Aptos"/>
                <w:b w:val="0"/>
                <w:sz w:val="16"/>
              </w:rPr>
              <w:t>Active UI group</w:t>
            </w:r>
          </w:p>
        </w:tc>
        <w:tc>
          <w:tcPr>
            <w:tcW w:type="dxa" w:w="5227"/>
            <w:vAlign w:val="center"/>
          </w:tcPr>
          <w:p>
            <w:pPr>
              <w:spacing w:after="0"/>
            </w:pPr>
            <w:r/>
            <w:r>
              <w:rPr>
                <w:rFonts w:ascii="Aptos" w:hAnsi="Aptos"/>
                <w:b w:val="0"/>
                <w:sz w:val="16"/>
              </w:rPr>
              <w:t>D. Knowledge Graph and Administration</w:t>
            </w:r>
          </w:p>
        </w:tc>
      </w:tr>
      <w:tr>
        <w:tc>
          <w:tcPr>
            <w:tcW w:type="dxa" w:w="5227"/>
            <w:vAlign w:val="center"/>
            <w:shd w:fill="F2F4F7"/>
          </w:tcPr>
          <w:p>
            <w:pPr>
              <w:spacing w:after="0"/>
            </w:pPr>
            <w:r/>
            <w:r>
              <w:rPr>
                <w:rFonts w:ascii="Aptos" w:hAnsi="Aptos"/>
                <w:b w:val="0"/>
                <w:sz w:val="16"/>
              </w:rPr>
              <w:t>Remaining after D</w:t>
            </w:r>
          </w:p>
        </w:tc>
        <w:tc>
          <w:tcPr>
            <w:tcW w:type="dxa" w:w="5227"/>
            <w:vAlign w:val="center"/>
          </w:tcPr>
          <w:p>
            <w:pPr>
              <w:spacing w:after="0"/>
            </w:pPr>
            <w:r/>
            <w:r>
              <w:rPr>
                <w:rFonts w:ascii="Aptos" w:hAnsi="Aptos"/>
                <w:b w:val="0"/>
                <w:sz w:val="16"/>
              </w:rPr>
              <w:t>E. Cross-cutting UI rules and final wireframes</w:t>
            </w:r>
          </w:p>
        </w:tc>
      </w:tr>
      <w:tr>
        <w:tc>
          <w:tcPr>
            <w:tcW w:type="dxa" w:w="5227"/>
            <w:vAlign w:val="center"/>
            <w:shd w:fill="F2F4F7"/>
          </w:tcPr>
          <w:p>
            <w:pPr>
              <w:spacing w:after="0"/>
            </w:pPr>
            <w:r/>
            <w:r>
              <w:rPr>
                <w:rFonts w:ascii="Aptos" w:hAnsi="Aptos"/>
                <w:b w:val="0"/>
                <w:sz w:val="16"/>
              </w:rPr>
              <w:t>V1 product posture</w:t>
            </w:r>
          </w:p>
        </w:tc>
        <w:tc>
          <w:tcPr>
            <w:tcW w:type="dxa" w:w="5227"/>
            <w:vAlign w:val="center"/>
          </w:tcPr>
          <w:p>
            <w:pPr>
              <w:spacing w:after="0"/>
            </w:pPr>
            <w:r/>
            <w:r>
              <w:rPr>
                <w:rFonts w:ascii="Aptos" w:hAnsi="Aptos"/>
                <w:b w:val="0"/>
                <w:sz w:val="16"/>
              </w:rPr>
              <w:t>Academic research demonstrator/prototype; educator judgement remains authoritative</w:t>
            </w:r>
          </w:p>
        </w:tc>
      </w:tr>
    </w:tbl>
    <w:p/>
    <w:p>
      <w:r>
        <w:rPr>
          <w:b/>
          <w:color w:val="B42318"/>
        </w:rPr>
        <w:t>Critical continuation instruction</w:t>
      </w:r>
    </w:p>
    <w:p>
      <w:pPr>
        <w:pStyle w:val="HandoffNote"/>
      </w:pPr>
      <w:r>
        <w:t>Do not reuse the earlier Group D wireframes as the visual direction. The user rejected them. Redesign Group D, especially the Knowledge Graph Explorer, using the user's arcmodel.io graph mockup and the OWID compute-graph design as explicit visual/interaction references.</w:t>
      </w:r>
    </w:p>
    <w:p>
      <w:r>
        <w:br w:type="page"/>
      </w:r>
    </w:p>
    <w:p>
      <w:pPr>
        <w:pStyle w:val="Heading1"/>
      </w:pPr>
      <w:r>
        <w:t>1. What the new chat must know first</w:t>
      </w:r>
    </w:p>
    <w:p>
      <w:pPr>
        <w:pStyle w:val="ListBullet"/>
        <w:spacing w:after="24"/>
        <w:ind w:left="288" w:hanging="173"/>
      </w:pPr>
      <w:r>
        <w:rPr>
          <w:rFonts w:ascii="Aptos" w:hAnsi="Aptos"/>
          <w:sz w:val="18"/>
        </w:rPr>
        <w:t>This is a continuation of a long-running Master's research/prototype project, not a new design exercise.</w:t>
      </w:r>
    </w:p>
    <w:p>
      <w:pPr>
        <w:pStyle w:val="ListBullet"/>
        <w:spacing w:after="24"/>
        <w:ind w:left="288" w:hanging="173"/>
      </w:pPr>
      <w:r>
        <w:rPr>
          <w:rFonts w:ascii="Aptos" w:hAnsi="Aptos"/>
          <w:sz w:val="18"/>
        </w:rPr>
        <w:t>Preserve all frozen recommendation semantics. UI work must not alter Design-8a recommendation selection, traversal, eligibility, guardrails, ranking, promotion or negation rules.</w:t>
      </w:r>
    </w:p>
    <w:p>
      <w:pPr>
        <w:pStyle w:val="ListBullet"/>
        <w:spacing w:after="24"/>
        <w:ind w:left="288" w:hanging="173"/>
      </w:pPr>
      <w:r>
        <w:rPr>
          <w:rFonts w:ascii="Aptos" w:hAnsi="Aptos"/>
          <w:sz w:val="18"/>
        </w:rPr>
        <w:t>Normal educator UI must show readable labels, not internal canonical IDs. IDs are retained internally and may appear only in admin/audit when technically useful.</w:t>
      </w:r>
    </w:p>
    <w:p>
      <w:pPr>
        <w:pStyle w:val="ListBullet"/>
        <w:spacing w:after="24"/>
        <w:ind w:left="288" w:hanging="173"/>
      </w:pPr>
      <w:r>
        <w:rPr>
          <w:rFonts w:ascii="Aptos" w:hAnsi="Aptos"/>
          <w:sz w:val="18"/>
        </w:rPr>
        <w:t>Static/context help is externalized in UI_Help_Content_Repository_v0.1.xlsx and resolved through stable Help_Key values; do not hard-code long help text in Streamlit page logic.</w:t>
      </w:r>
    </w:p>
    <w:p>
      <w:pPr>
        <w:pStyle w:val="ListBullet"/>
        <w:spacing w:after="24"/>
        <w:ind w:left="288" w:hanging="173"/>
      </w:pPr>
      <w:r>
        <w:rPr>
          <w:rFonts w:ascii="Aptos" w:hAnsi="Aptos"/>
          <w:sz w:val="18"/>
        </w:rPr>
        <w:t>Every functional UI element must map to a governed repository field/runtime object in UI_Data_Binding_Matrix_v0.1.xlsx or be explicitly deferred to its owning later design sequence.</w:t>
      </w:r>
    </w:p>
    <w:p>
      <w:pPr>
        <w:pStyle w:val="ListBullet"/>
        <w:spacing w:after="24"/>
        <w:ind w:left="288" w:hanging="173"/>
      </w:pPr>
      <w:r>
        <w:rPr>
          <w:rFonts w:ascii="Aptos" w:hAnsi="Aptos"/>
          <w:sz w:val="18"/>
        </w:rPr>
        <w:t>Do not introduce arbitrary new canonical artifact names, IDs or repository structures without updating the System Component &amp; Artifact Register.</w:t>
      </w:r>
    </w:p>
    <w:p>
      <w:pPr>
        <w:pStyle w:val="ListBullet"/>
        <w:spacing w:after="24"/>
        <w:ind w:left="288" w:hanging="173"/>
      </w:pPr>
      <w:r>
        <w:rPr>
          <w:rFonts w:ascii="Aptos" w:hAnsi="Aptos"/>
          <w:sz w:val="18"/>
        </w:rPr>
        <w:t>The user prefers technical, controlled, implementation-oriented design and dislikes superficial dashboard mockups.</w:t>
      </w:r>
    </w:p>
    <w:p>
      <w:pPr>
        <w:pStyle w:val="Heading1"/>
      </w:pPr>
      <w:r>
        <w:t>2. Project and operational baseline</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Area</w:t>
            </w:r>
          </w:p>
        </w:tc>
        <w:tc>
          <w:tcPr>
            <w:tcW w:type="dxa" w:w="5227"/>
            <w:shd w:fill="2F5D8C"/>
            <w:vAlign w:val="center"/>
          </w:tcPr>
          <w:p>
            <w:pPr>
              <w:spacing w:after="0"/>
            </w:pPr>
            <w:r/>
            <w:r>
              <w:rPr>
                <w:rFonts w:ascii="Aptos" w:hAnsi="Aptos"/>
                <w:b/>
                <w:color w:val="FFFFFF"/>
                <w:sz w:val="17"/>
              </w:rPr>
              <w:t>Frozen / current baseline</w:t>
            </w:r>
          </w:p>
        </w:tc>
        <w:trPr>
          <w:tblHeader/>
        </w:trPr>
      </w:tr>
      <w:tr>
        <w:tc>
          <w:tcPr>
            <w:tcW w:type="dxa" w:w="5227"/>
            <w:vAlign w:val="center"/>
            <w:shd w:fill="F2F4F7"/>
          </w:tcPr>
          <w:p>
            <w:pPr>
              <w:spacing w:after="0"/>
            </w:pPr>
            <w:r/>
            <w:r>
              <w:rPr>
                <w:rFonts w:ascii="Aptos" w:hAnsi="Aptos"/>
                <w:b w:val="0"/>
                <w:sz w:val="16"/>
              </w:rPr>
              <w:t>Recommendation Core</w:t>
            </w:r>
          </w:p>
        </w:tc>
        <w:tc>
          <w:tcPr>
            <w:tcW w:type="dxa" w:w="5227"/>
            <w:vAlign w:val="center"/>
          </w:tcPr>
          <w:p>
            <w:pPr>
              <w:spacing w:after="0"/>
            </w:pPr>
            <w:r/>
            <w:r>
              <w:rPr>
                <w:rFonts w:ascii="Aptos" w:hAnsi="Aptos"/>
                <w:b w:val="0"/>
                <w:sz w:val="16"/>
              </w:rPr>
              <w:t>Design-8a + Repository v1.1</w:t>
            </w:r>
          </w:p>
        </w:tc>
      </w:tr>
      <w:tr>
        <w:tc>
          <w:tcPr>
            <w:tcW w:type="dxa" w:w="5227"/>
            <w:vAlign w:val="center"/>
            <w:shd w:fill="F2F4F7"/>
          </w:tcPr>
          <w:p>
            <w:pPr>
              <w:spacing w:after="0"/>
            </w:pPr>
            <w:r/>
            <w:r>
              <w:rPr>
                <w:rFonts w:ascii="Aptos" w:hAnsi="Aptos"/>
                <w:b w:val="0"/>
                <w:sz w:val="16"/>
              </w:rPr>
              <w:t>Graph approach</w:t>
            </w:r>
          </w:p>
        </w:tc>
        <w:tc>
          <w:tcPr>
            <w:tcW w:type="dxa" w:w="5227"/>
            <w:vAlign w:val="center"/>
          </w:tcPr>
          <w:p>
            <w:pPr>
              <w:spacing w:after="0"/>
            </w:pPr>
            <w:r/>
            <w:r>
              <w:rPr>
                <w:rFonts w:ascii="Aptos" w:hAnsi="Aptos"/>
                <w:b w:val="0"/>
                <w:sz w:val="16"/>
              </w:rPr>
              <w:t>Controlled hierarchical expansion; no unrestricted graph wandering for recommendation reasoning</w:t>
            </w:r>
          </w:p>
        </w:tc>
      </w:tr>
      <w:tr>
        <w:tc>
          <w:tcPr>
            <w:tcW w:type="dxa" w:w="5227"/>
            <w:vAlign w:val="center"/>
            <w:shd w:fill="F2F4F7"/>
          </w:tcPr>
          <w:p>
            <w:pPr>
              <w:spacing w:after="0"/>
            </w:pPr>
            <w:r/>
            <w:r>
              <w:rPr>
                <w:rFonts w:ascii="Aptos" w:hAnsi="Aptos"/>
                <w:b w:val="0"/>
                <w:sz w:val="16"/>
              </w:rPr>
              <w:t>Primary technical anchor</w:t>
            </w:r>
          </w:p>
        </w:tc>
        <w:tc>
          <w:tcPr>
            <w:tcW w:type="dxa" w:w="5227"/>
            <w:vAlign w:val="center"/>
          </w:tcPr>
          <w:p>
            <w:pPr>
              <w:spacing w:after="0"/>
            </w:pPr>
            <w:r/>
            <w:r>
              <w:rPr>
                <w:rFonts w:ascii="Aptos" w:hAnsi="Aptos"/>
                <w:b w:val="0"/>
                <w:sz w:val="16"/>
              </w:rPr>
              <w:t>Selected Subtopic; Module/Course only controlled fallbacks when narrower evidence is insufficient</w:t>
            </w:r>
          </w:p>
        </w:tc>
      </w:tr>
      <w:tr>
        <w:tc>
          <w:tcPr>
            <w:tcW w:type="dxa" w:w="5227"/>
            <w:vAlign w:val="center"/>
            <w:shd w:fill="F2F4F7"/>
          </w:tcPr>
          <w:p>
            <w:pPr>
              <w:spacing w:after="0"/>
            </w:pPr>
            <w:r/>
            <w:r>
              <w:rPr>
                <w:rFonts w:ascii="Aptos" w:hAnsi="Aptos"/>
                <w:b w:val="0"/>
                <w:sz w:val="16"/>
              </w:rPr>
              <w:t>Related vs prerequisite</w:t>
            </w:r>
          </w:p>
        </w:tc>
        <w:tc>
          <w:tcPr>
            <w:tcW w:type="dxa" w:w="5227"/>
            <w:vAlign w:val="center"/>
          </w:tcPr>
          <w:p>
            <w:pPr>
              <w:spacing w:after="0"/>
            </w:pPr>
            <w:r/>
            <w:r>
              <w:rPr>
                <w:rFonts w:ascii="Aptos" w:hAnsi="Aptos"/>
                <w:b w:val="0"/>
                <w:sz w:val="16"/>
              </w:rPr>
              <w:t>Related concepts support discovery; prerequisites indicate readiness/preparation</w:t>
            </w:r>
          </w:p>
        </w:tc>
      </w:tr>
      <w:tr>
        <w:tc>
          <w:tcPr>
            <w:tcW w:type="dxa" w:w="5227"/>
            <w:vAlign w:val="center"/>
            <w:shd w:fill="F2F4F7"/>
          </w:tcPr>
          <w:p>
            <w:pPr>
              <w:spacing w:after="0"/>
            </w:pPr>
            <w:r/>
            <w:r>
              <w:rPr>
                <w:rFonts w:ascii="Aptos" w:hAnsi="Aptos"/>
                <w:b w:val="0"/>
                <w:sz w:val="16"/>
              </w:rPr>
              <w:t>Similarity</w:t>
            </w:r>
          </w:p>
        </w:tc>
        <w:tc>
          <w:tcPr>
            <w:tcW w:type="dxa" w:w="5227"/>
            <w:vAlign w:val="center"/>
          </w:tcPr>
          <w:p>
            <w:pPr>
              <w:spacing w:after="0"/>
            </w:pPr>
            <w:r/>
            <w:r>
              <w:rPr>
                <w:rFonts w:ascii="Aptos" w:hAnsi="Aptos"/>
                <w:b w:val="0"/>
                <w:sz w:val="16"/>
              </w:rPr>
              <w:t>Ranks already eligible candidates; never creates ontology truth or eligibility</w:t>
            </w:r>
          </w:p>
        </w:tc>
      </w:tr>
      <w:tr>
        <w:tc>
          <w:tcPr>
            <w:tcW w:type="dxa" w:w="5227"/>
            <w:vAlign w:val="center"/>
            <w:shd w:fill="F2F4F7"/>
          </w:tcPr>
          <w:p>
            <w:pPr>
              <w:spacing w:after="0"/>
            </w:pPr>
            <w:r/>
            <w:r>
              <w:rPr>
                <w:rFonts w:ascii="Aptos" w:hAnsi="Aptos"/>
                <w:b w:val="0"/>
                <w:sz w:val="16"/>
              </w:rPr>
              <w:t>Negation</w:t>
            </w:r>
          </w:p>
        </w:tc>
        <w:tc>
          <w:tcPr>
            <w:tcW w:type="dxa" w:w="5227"/>
            <w:vAlign w:val="center"/>
          </w:tcPr>
          <w:p>
            <w:pPr>
              <w:spacing w:after="0"/>
            </w:pPr>
            <w:r/>
            <w:r>
              <w:rPr>
                <w:rFonts w:ascii="Aptos" w:hAnsi="Aptos"/>
                <w:b w:val="0"/>
                <w:sz w:val="16"/>
              </w:rPr>
              <w:t>Explicit negation/exclusion is veto/weakening evidence only; never positive promotion evidence</w:t>
            </w:r>
          </w:p>
        </w:tc>
      </w:tr>
      <w:tr>
        <w:tc>
          <w:tcPr>
            <w:tcW w:type="dxa" w:w="5227"/>
            <w:vAlign w:val="center"/>
            <w:shd w:fill="F2F4F7"/>
          </w:tcPr>
          <w:p>
            <w:pPr>
              <w:spacing w:after="0"/>
            </w:pPr>
            <w:r/>
            <w:r>
              <w:rPr>
                <w:rFonts w:ascii="Aptos" w:hAnsi="Aptos"/>
                <w:b w:val="0"/>
                <w:sz w:val="16"/>
              </w:rPr>
              <w:t>Multiple SCRs</w:t>
            </w:r>
          </w:p>
        </w:tc>
        <w:tc>
          <w:tcPr>
            <w:tcW w:type="dxa" w:w="5227"/>
            <w:vAlign w:val="center"/>
          </w:tcPr>
          <w:p>
            <w:pPr>
              <w:spacing w:after="0"/>
            </w:pPr>
            <w:r/>
            <w:r>
              <w:rPr>
                <w:rFonts w:ascii="Aptos" w:hAnsi="Aptos"/>
                <w:b w:val="0"/>
                <w:sz w:val="16"/>
              </w:rPr>
              <w:t>Secondary SCR requires independent evidence-bearing mechanism facet</w:t>
            </w:r>
          </w:p>
        </w:tc>
      </w:tr>
      <w:tr>
        <w:tc>
          <w:tcPr>
            <w:tcW w:type="dxa" w:w="5227"/>
            <w:vAlign w:val="center"/>
            <w:shd w:fill="F2F4F7"/>
          </w:tcPr>
          <w:p>
            <w:pPr>
              <w:spacing w:after="0"/>
            </w:pPr>
            <w:r/>
            <w:r>
              <w:rPr>
                <w:rFonts w:ascii="Aptos" w:hAnsi="Aptos"/>
                <w:b w:val="0"/>
                <w:sz w:val="16"/>
              </w:rPr>
              <w:t>Educator Application Context</w:t>
            </w:r>
          </w:p>
        </w:tc>
        <w:tc>
          <w:tcPr>
            <w:tcW w:type="dxa" w:w="5227"/>
            <w:vAlign w:val="center"/>
          </w:tcPr>
          <w:p>
            <w:pPr>
              <w:spacing w:after="0"/>
            </w:pPr>
            <w:r/>
            <w:r>
              <w:rPr>
                <w:rFonts w:ascii="Aptos" w:hAnsi="Aptos"/>
                <w:b w:val="0"/>
                <w:sz w:val="16"/>
              </w:rPr>
              <w:t>Educator-entered context supersedes system-generated/curated alternative on the main path</w:t>
            </w:r>
          </w:p>
        </w:tc>
      </w:tr>
      <w:tr>
        <w:tc>
          <w:tcPr>
            <w:tcW w:type="dxa" w:w="5227"/>
            <w:vAlign w:val="center"/>
            <w:shd w:fill="F2F4F7"/>
          </w:tcPr>
          <w:p>
            <w:pPr>
              <w:spacing w:after="0"/>
            </w:pPr>
            <w:r/>
            <w:r>
              <w:rPr>
                <w:rFonts w:ascii="Aptos" w:hAnsi="Aptos"/>
                <w:b w:val="0"/>
                <w:sz w:val="16"/>
              </w:rPr>
              <w:t>Embedding</w:t>
            </w:r>
          </w:p>
        </w:tc>
        <w:tc>
          <w:tcPr>
            <w:tcW w:type="dxa" w:w="5227"/>
            <w:vAlign w:val="center"/>
          </w:tcPr>
          <w:p>
            <w:pPr>
              <w:spacing w:after="0"/>
            </w:pPr>
            <w:r/>
            <w:r>
              <w:rPr>
                <w:rFonts w:ascii="Aptos" w:hAnsi="Aptos"/>
                <w:b w:val="0"/>
                <w:sz w:val="16"/>
              </w:rPr>
              <w:t>sentence-transformers/all-MiniLM-L6-v2, 384d; published prototype must not silently fall back to LSA</w:t>
            </w:r>
          </w:p>
        </w:tc>
      </w:tr>
      <w:tr>
        <w:tc>
          <w:tcPr>
            <w:tcW w:type="dxa" w:w="5227"/>
            <w:vAlign w:val="center"/>
            <w:shd w:fill="F2F4F7"/>
          </w:tcPr>
          <w:p>
            <w:pPr>
              <w:spacing w:after="0"/>
            </w:pPr>
            <w:r/>
            <w:r>
              <w:rPr>
                <w:rFonts w:ascii="Aptos" w:hAnsi="Aptos"/>
                <w:b w:val="0"/>
                <w:sz w:val="16"/>
              </w:rPr>
              <w:t>Runtime KG</w:t>
            </w:r>
          </w:p>
        </w:tc>
        <w:tc>
          <w:tcPr>
            <w:tcW w:type="dxa" w:w="5227"/>
            <w:vAlign w:val="center"/>
          </w:tcPr>
          <w:p>
            <w:pPr>
              <w:spacing w:after="0"/>
            </w:pPr>
            <w:r/>
            <w:r>
              <w:rPr>
                <w:rFonts w:ascii="Aptos" w:hAnsi="Aptos"/>
                <w:b w:val="0"/>
                <w:sz w:val="16"/>
              </w:rPr>
              <w:t>NetworkX MultiDiGraph in server RAM; repository authored in Excel, compiled via Pandas/Pydantic</w:t>
            </w:r>
          </w:p>
        </w:tc>
      </w:tr>
      <w:tr>
        <w:tc>
          <w:tcPr>
            <w:tcW w:type="dxa" w:w="5227"/>
            <w:vAlign w:val="center"/>
            <w:shd w:fill="F2F4F7"/>
          </w:tcPr>
          <w:p>
            <w:pPr>
              <w:spacing w:after="0"/>
            </w:pPr>
            <w:r/>
            <w:r>
              <w:rPr>
                <w:rFonts w:ascii="Aptos" w:hAnsi="Aptos"/>
                <w:b w:val="0"/>
                <w:sz w:val="16"/>
              </w:rPr>
              <w:t>Persistence</w:t>
            </w:r>
          </w:p>
        </w:tc>
        <w:tc>
          <w:tcPr>
            <w:tcW w:type="dxa" w:w="5227"/>
            <w:vAlign w:val="center"/>
          </w:tcPr>
          <w:p>
            <w:pPr>
              <w:spacing w:after="0"/>
            </w:pPr>
            <w:r/>
            <w:r>
              <w:rPr>
                <w:rFonts w:ascii="Aptos" w:hAnsi="Aptos"/>
                <w:b w:val="0"/>
                <w:sz w:val="16"/>
              </w:rPr>
              <w:t>SQLite local; Supabase PostgreSQL hosted for events/snapshots/feedback/audit/publication metadata</w:t>
            </w:r>
          </w:p>
        </w:tc>
      </w:tr>
      <w:tr>
        <w:tc>
          <w:tcPr>
            <w:tcW w:type="dxa" w:w="5227"/>
            <w:vAlign w:val="center"/>
            <w:shd w:fill="F2F4F7"/>
          </w:tcPr>
          <w:p>
            <w:pPr>
              <w:spacing w:after="0"/>
            </w:pPr>
            <w:r/>
            <w:r>
              <w:rPr>
                <w:rFonts w:ascii="Aptos" w:hAnsi="Aptos"/>
                <w:b w:val="0"/>
                <w:sz w:val="16"/>
              </w:rPr>
              <w:t>UI</w:t>
            </w:r>
          </w:p>
        </w:tc>
        <w:tc>
          <w:tcPr>
            <w:tcW w:type="dxa" w:w="5227"/>
            <w:vAlign w:val="center"/>
          </w:tcPr>
          <w:p>
            <w:pPr>
              <w:spacing w:after="0"/>
            </w:pPr>
            <w:r/>
            <w:r>
              <w:rPr>
                <w:rFonts w:ascii="Aptos" w:hAnsi="Aptos"/>
                <w:b w:val="0"/>
                <w:sz w:val="16"/>
              </w:rPr>
              <w:t>Streamlit/Python; Cytoscape.js for serious full-KG visualization</w:t>
            </w:r>
          </w:p>
        </w:tc>
      </w:tr>
      <w:tr>
        <w:tc>
          <w:tcPr>
            <w:tcW w:type="dxa" w:w="5227"/>
            <w:vAlign w:val="center"/>
            <w:shd w:fill="F2F4F7"/>
          </w:tcPr>
          <w:p>
            <w:pPr>
              <w:spacing w:after="0"/>
            </w:pPr>
            <w:r/>
            <w:r>
              <w:rPr>
                <w:rFonts w:ascii="Aptos" w:hAnsi="Aptos"/>
                <w:b w:val="0"/>
                <w:sz w:val="16"/>
              </w:rPr>
              <w:t>Generation</w:t>
            </w:r>
          </w:p>
        </w:tc>
        <w:tc>
          <w:tcPr>
            <w:tcW w:type="dxa" w:w="5227"/>
            <w:vAlign w:val="center"/>
          </w:tcPr>
          <w:p>
            <w:pPr>
              <w:spacing w:after="0"/>
            </w:pPr>
            <w:r/>
            <w:r>
              <w:rPr>
                <w:rFonts w:ascii="Aptos" w:hAnsi="Aptos"/>
                <w:b w:val="0"/>
                <w:sz w:val="16"/>
              </w:rPr>
              <w:t>OpenAI API downstream only; cannot choose anchor, eligibility, guardrails, rank, final SCR or template</w:t>
            </w:r>
          </w:p>
        </w:tc>
      </w:tr>
    </w:tbl>
    <w:p/>
    <w:p>
      <w:pPr>
        <w:pStyle w:val="Heading1"/>
      </w:pPr>
      <w:r>
        <w:t>3. Validation state that should not be retuned casually</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Validation set</w:t>
            </w:r>
          </w:p>
        </w:tc>
        <w:tc>
          <w:tcPr>
            <w:tcW w:type="dxa" w:w="5227"/>
            <w:shd w:fill="2F5D8C"/>
            <w:vAlign w:val="center"/>
          </w:tcPr>
          <w:p>
            <w:pPr>
              <w:spacing w:after="0"/>
            </w:pPr>
            <w:r/>
            <w:r>
              <w:rPr>
                <w:rFonts w:ascii="Aptos" w:hAnsi="Aptos"/>
                <w:b/>
                <w:color w:val="FFFFFF"/>
                <w:sz w:val="17"/>
              </w:rPr>
              <w:t>Current state</w:t>
            </w:r>
          </w:p>
        </w:tc>
        <w:trPr>
          <w:tblHeader/>
        </w:trPr>
      </w:tr>
      <w:tr>
        <w:tc>
          <w:tcPr>
            <w:tcW w:type="dxa" w:w="5227"/>
            <w:vAlign w:val="center"/>
            <w:shd w:fill="F2F4F7"/>
          </w:tcPr>
          <w:p>
            <w:pPr>
              <w:spacing w:after="0"/>
            </w:pPr>
            <w:r/>
            <w:r>
              <w:rPr>
                <w:rFonts w:ascii="Aptos" w:hAnsi="Aptos"/>
                <w:b w:val="0"/>
                <w:sz w:val="16"/>
              </w:rPr>
              <w:t>Legacy 15</w:t>
            </w:r>
          </w:p>
        </w:tc>
        <w:tc>
          <w:tcPr>
            <w:tcW w:type="dxa" w:w="5227"/>
            <w:vAlign w:val="center"/>
          </w:tcPr>
          <w:p>
            <w:pPr>
              <w:spacing w:after="0"/>
            </w:pPr>
            <w:r/>
            <w:r>
              <w:rPr>
                <w:rFonts w:ascii="Aptos" w:hAnsi="Aptos"/>
                <w:b w:val="0"/>
                <w:sz w:val="16"/>
              </w:rPr>
              <w:t>15/15 executable; Top-1 13/15; Top-3 15/15; strict E2E 14/15</w:t>
            </w:r>
          </w:p>
        </w:tc>
      </w:tr>
      <w:tr>
        <w:tc>
          <w:tcPr>
            <w:tcW w:type="dxa" w:w="5227"/>
            <w:vAlign w:val="center"/>
            <w:shd w:fill="F2F4F7"/>
          </w:tcPr>
          <w:p>
            <w:pPr>
              <w:spacing w:after="0"/>
            </w:pPr>
            <w:r/>
            <w:r>
              <w:rPr>
                <w:rFonts w:ascii="Aptos" w:hAnsi="Aptos"/>
                <w:b w:val="0"/>
                <w:sz w:val="16"/>
              </w:rPr>
              <w:t>CORE35</w:t>
            </w:r>
          </w:p>
        </w:tc>
        <w:tc>
          <w:tcPr>
            <w:tcW w:type="dxa" w:w="5227"/>
            <w:vAlign w:val="center"/>
          </w:tcPr>
          <w:p>
            <w:pPr>
              <w:spacing w:after="0"/>
            </w:pPr>
            <w:r/>
            <w:r>
              <w:rPr>
                <w:rFonts w:ascii="Aptos" w:hAnsi="Aptos"/>
                <w:b w:val="0"/>
                <w:sz w:val="16"/>
              </w:rPr>
              <w:t>22/35 anchor-ready; Top-1 20/22; Top-3 19/22; no-SCR FP=0; unsupported=0</w:t>
            </w:r>
          </w:p>
        </w:tc>
      </w:tr>
      <w:tr>
        <w:tc>
          <w:tcPr>
            <w:tcW w:type="dxa" w:w="5227"/>
            <w:vAlign w:val="center"/>
            <w:shd w:fill="F2F4F7"/>
          </w:tcPr>
          <w:p>
            <w:pPr>
              <w:spacing w:after="0"/>
            </w:pPr>
            <w:r/>
            <w:r>
              <w:rPr>
                <w:rFonts w:ascii="Aptos" w:hAnsi="Aptos"/>
                <w:b w:val="0"/>
                <w:sz w:val="16"/>
              </w:rPr>
              <w:t>ALL59 Design-8a</w:t>
            </w:r>
          </w:p>
        </w:tc>
        <w:tc>
          <w:tcPr>
            <w:tcW w:type="dxa" w:w="5227"/>
            <w:vAlign w:val="center"/>
          </w:tcPr>
          <w:p>
            <w:pPr>
              <w:spacing w:after="0"/>
            </w:pPr>
            <w:r/>
            <w:r>
              <w:rPr>
                <w:rFonts w:ascii="Aptos" w:hAnsi="Aptos"/>
                <w:b w:val="0"/>
                <w:sz w:val="16"/>
              </w:rPr>
              <w:t>46 ready / 13 gaps; Top-1 38/46 = 82.6%; strict 30/46 = 65.2%; forbidden=0; unsupported=0</w:t>
            </w:r>
          </w:p>
        </w:tc>
      </w:tr>
      <w:tr>
        <w:tc>
          <w:tcPr>
            <w:tcW w:type="dxa" w:w="5227"/>
            <w:vAlign w:val="center"/>
            <w:shd w:fill="F2F4F7"/>
          </w:tcPr>
          <w:p>
            <w:pPr>
              <w:spacing w:after="0"/>
            </w:pPr>
            <w:r/>
            <w:r>
              <w:rPr>
                <w:rFonts w:ascii="Aptos" w:hAnsi="Aptos"/>
                <w:b w:val="0"/>
                <w:sz w:val="16"/>
              </w:rPr>
              <w:t>Educator routing D7.5b</w:t>
            </w:r>
          </w:p>
        </w:tc>
        <w:tc>
          <w:tcPr>
            <w:tcW w:type="dxa" w:w="5227"/>
            <w:vAlign w:val="center"/>
          </w:tcPr>
          <w:p>
            <w:pPr>
              <w:spacing w:after="0"/>
            </w:pPr>
            <w:r/>
            <w:r>
              <w:rPr>
                <w:rFonts w:ascii="Aptos" w:hAnsi="Aptos"/>
                <w:b w:val="0"/>
                <w:sz w:val="16"/>
              </w:rPr>
              <w:t>24/24 routing/E2E; recommendation 15/15; negatives 9/9; generated context 4/4</w:t>
            </w:r>
          </w:p>
        </w:tc>
      </w:tr>
      <w:tr>
        <w:tc>
          <w:tcPr>
            <w:tcW w:type="dxa" w:w="5227"/>
            <w:vAlign w:val="center"/>
            <w:shd w:fill="F2F4F7"/>
          </w:tcPr>
          <w:p>
            <w:pPr>
              <w:spacing w:after="0"/>
            </w:pPr>
            <w:r/>
            <w:r>
              <w:rPr>
                <w:rFonts w:ascii="Aptos" w:hAnsi="Aptos"/>
                <w:b w:val="0"/>
                <w:sz w:val="16"/>
              </w:rPr>
              <w:t>Benchmark caution</w:t>
            </w:r>
          </w:p>
        </w:tc>
        <w:tc>
          <w:tcPr>
            <w:tcW w:type="dxa" w:w="5227"/>
            <w:vAlign w:val="center"/>
          </w:tcPr>
          <w:p>
            <w:pPr>
              <w:spacing w:after="0"/>
            </w:pPr>
            <w:r/>
            <w:r>
              <w:rPr>
                <w:rFonts w:ascii="Aptos" w:hAnsi="Aptos"/>
                <w:b w:val="0"/>
                <w:sz w:val="16"/>
              </w:rPr>
              <w:t>TC001 and TC005 are semantically plausible outputs; do not tune merely to match gold without expert review</w:t>
            </w:r>
          </w:p>
        </w:tc>
      </w:tr>
    </w:tbl>
    <w:p/>
    <w:tbl>
      <w:tblPr>
        <w:tblW w:type="auto" w:w="0"/>
        <w:jc w:val="center"/>
        <w:tblLook w:firstColumn="1" w:firstRow="1" w:lastColumn="0" w:lastRow="0" w:noHBand="0" w:noVBand="1" w:val="04A0"/>
      </w:tblPr>
      <w:tblGrid>
        <w:gridCol w:w="10454"/>
      </w:tblGrid>
      <w:tr>
        <w:tc>
          <w:tcPr>
            <w:tcW w:type="dxa" w:w="10454"/>
            <w:shd w:fill="F2F4F7"/>
            <w:tcBorders>
              <w:top w:val="single" w:sz="6" w:color="D0D5DD"/>
              <w:left w:val="single" w:sz="6" w:color="D0D5DD"/>
              <w:bottom w:val="single" w:sz="6" w:color="D0D5DD"/>
              <w:right w:val="single" w:sz="6" w:color="D0D5DD"/>
            </w:tcBorders>
          </w:tcPr>
          <w:p>
            <w:pPr>
              <w:spacing w:after="40"/>
            </w:pPr>
            <w:r>
              <w:rPr>
                <w:b/>
                <w:color w:val="244A70"/>
                <w:sz w:val="19"/>
              </w:rPr>
              <w:t>Failure-analysis rule</w:t>
            </w:r>
          </w:p>
          <w:p>
            <w:pPr>
              <w:spacing w:after="0"/>
            </w:pPr>
            <w:r>
              <w:rPr>
                <w:color w:val="344054"/>
                <w:sz w:val="18"/>
              </w:rPr>
              <w:t>When reviewing benchmark failures, classify them as anchor-resolution defect, repository coverage gap, traversal defect, eligibility defect, ranking defect, guardrail defect, repository semantic gap, benchmark ambiguity or robustness defect. Repository coverage gaps must not be 'fixed' by ranking changes.</w:t>
            </w:r>
          </w:p>
        </w:tc>
        <w:trPr>
          <w:tblHeader/>
        </w:trPr>
      </w:tr>
    </w:tbl>
    <w:p/>
    <w:p>
      <w:pPr>
        <w:pStyle w:val="Heading1"/>
      </w:pPr>
      <w:r>
        <w:t>4. Canonical repository / Educator Kit baseline</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Artifact / layer</w:t>
            </w:r>
          </w:p>
        </w:tc>
        <w:tc>
          <w:tcPr>
            <w:tcW w:type="dxa" w:w="5227"/>
            <w:shd w:fill="2F5D8C"/>
            <w:vAlign w:val="center"/>
          </w:tcPr>
          <w:p>
            <w:pPr>
              <w:spacing w:after="0"/>
            </w:pPr>
            <w:r/>
            <w:r>
              <w:rPr>
                <w:rFonts w:ascii="Aptos" w:hAnsi="Aptos"/>
                <w:b/>
                <w:color w:val="FFFFFF"/>
                <w:sz w:val="17"/>
              </w:rPr>
              <w:t>Current state</w:t>
            </w:r>
          </w:p>
        </w:tc>
        <w:trPr>
          <w:tblHeader/>
        </w:trPr>
      </w:tr>
      <w:tr>
        <w:tc>
          <w:tcPr>
            <w:tcW w:type="dxa" w:w="5227"/>
            <w:vAlign w:val="center"/>
            <w:shd w:fill="F2F4F7"/>
          </w:tcPr>
          <w:p>
            <w:pPr>
              <w:spacing w:after="0"/>
            </w:pPr>
            <w:r>
              <w:rPr>
                <w:sz w:val="16"/>
              </w:rPr>
            </w:r>
            <w:r>
              <w:rPr>
                <w:rFonts w:ascii="Aptos" w:hAnsi="Aptos"/>
                <w:b w:val="0"/>
                <w:sz w:val="16"/>
              </w:rPr>
              <w:t>Semantic Repository</w:t>
            </w:r>
          </w:p>
        </w:tc>
        <w:tc>
          <w:tcPr>
            <w:tcW w:type="dxa" w:w="5227"/>
            <w:vAlign w:val="center"/>
          </w:tcPr>
          <w:p>
            <w:pPr>
              <w:spacing w:after="0"/>
            </w:pPr>
            <w:r>
              <w:rPr>
                <w:sz w:val="16"/>
              </w:rPr>
            </w:r>
            <w:r>
              <w:rPr>
                <w:rFonts w:ascii="Aptos" w:hAnsi="Aptos"/>
                <w:b w:val="0"/>
                <w:sz w:val="16"/>
              </w:rPr>
              <w:t>Workbook1_Lean_Semantic_Enhanced_v1.1(1).xlsx is the canonical V1 semantic source</w:t>
            </w:r>
          </w:p>
        </w:tc>
      </w:tr>
      <w:tr>
        <w:tc>
          <w:tcPr>
            <w:tcW w:type="dxa" w:w="5227"/>
            <w:vAlign w:val="center"/>
            <w:shd w:fill="F2F4F7"/>
          </w:tcPr>
          <w:p>
            <w:pPr>
              <w:spacing w:after="0"/>
            </w:pPr>
            <w:r>
              <w:rPr>
                <w:sz w:val="16"/>
              </w:rPr>
            </w:r>
            <w:r>
              <w:rPr>
                <w:rFonts w:ascii="Aptos" w:hAnsi="Aptos"/>
                <w:b w:val="0"/>
                <w:sz w:val="16"/>
              </w:rPr>
              <w:t>Framework mapping</w:t>
            </w:r>
          </w:p>
        </w:tc>
        <w:tc>
          <w:tcPr>
            <w:tcW w:type="dxa" w:w="5227"/>
            <w:vAlign w:val="center"/>
          </w:tcPr>
          <w:p>
            <w:pPr>
              <w:spacing w:after="0"/>
            </w:pPr>
            <w:r>
              <w:rPr>
                <w:sz w:val="16"/>
              </w:rPr>
            </w:r>
            <w:r>
              <w:rPr>
                <w:rFonts w:ascii="Aptos" w:hAnsi="Aptos"/>
                <w:b w:val="0"/>
                <w:sz w:val="16"/>
              </w:rPr>
              <w:t>SCR_Framework_Mapping_Lean_v0.6_Complete_FullCF(1).xlsx — frozen</w:t>
            </w:r>
          </w:p>
        </w:tc>
      </w:tr>
      <w:tr>
        <w:tc>
          <w:tcPr>
            <w:tcW w:type="dxa" w:w="5227"/>
            <w:vAlign w:val="center"/>
            <w:shd w:fill="F2F4F7"/>
          </w:tcPr>
          <w:p>
            <w:pPr>
              <w:spacing w:after="0"/>
            </w:pPr>
            <w:r>
              <w:rPr>
                <w:sz w:val="16"/>
              </w:rPr>
            </w:r>
            <w:r>
              <w:rPr>
                <w:rFonts w:ascii="Aptos" w:hAnsi="Aptos"/>
                <w:b w:val="0"/>
                <w:sz w:val="16"/>
              </w:rPr>
              <w:t>Pedagogy</w:t>
            </w:r>
          </w:p>
        </w:tc>
        <w:tc>
          <w:tcPr>
            <w:tcW w:type="dxa" w:w="5227"/>
            <w:vAlign w:val="center"/>
          </w:tcPr>
          <w:p>
            <w:pPr>
              <w:spacing w:after="0"/>
            </w:pPr>
            <w:r>
              <w:rPr>
                <w:sz w:val="16"/>
              </w:rPr>
            </w:r>
            <w:r>
              <w:rPr>
                <w:rFonts w:ascii="Aptos" w:hAnsi="Aptos"/>
                <w:b w:val="0"/>
                <w:sz w:val="16"/>
              </w:rPr>
              <w:t>SCR_Pedagogical_Repository_Lean_v1.0_FROZEN(1).xlsx — 295 templates, 16 types</w:t>
            </w:r>
          </w:p>
        </w:tc>
      </w:tr>
      <w:tr>
        <w:tc>
          <w:tcPr>
            <w:tcW w:type="dxa" w:w="5227"/>
            <w:vAlign w:val="center"/>
            <w:shd w:fill="F2F4F7"/>
          </w:tcPr>
          <w:p>
            <w:pPr>
              <w:spacing w:after="0"/>
            </w:pPr>
            <w:r>
              <w:rPr>
                <w:sz w:val="16"/>
              </w:rPr>
            </w:r>
            <w:r>
              <w:rPr>
                <w:rFonts w:ascii="Aptos" w:hAnsi="Aptos"/>
                <w:b w:val="0"/>
                <w:sz w:val="16"/>
              </w:rPr>
              <w:t>Output contract</w:t>
            </w:r>
          </w:p>
        </w:tc>
        <w:tc>
          <w:tcPr>
            <w:tcW w:type="dxa" w:w="5227"/>
            <w:vAlign w:val="center"/>
          </w:tcPr>
          <w:p>
            <w:pPr>
              <w:spacing w:after="0"/>
            </w:pPr>
            <w:r>
              <w:rPr>
                <w:sz w:val="16"/>
              </w:rPr>
            </w:r>
            <w:r>
              <w:rPr>
                <w:rFonts w:ascii="Aptos" w:hAnsi="Aptos"/>
                <w:b w:val="0"/>
                <w:sz w:val="16"/>
              </w:rPr>
              <w:t>Template_Output_Element_Contract_Repository_Lean_v0.2_FROZEN.xlsx — 295 templates, 75 controlled elements, 5,013 rows</w:t>
            </w:r>
          </w:p>
        </w:tc>
      </w:tr>
      <w:tr>
        <w:tc>
          <w:tcPr>
            <w:tcW w:type="dxa" w:w="5227"/>
            <w:vAlign w:val="center"/>
            <w:shd w:fill="F2F4F7"/>
          </w:tcPr>
          <w:p>
            <w:pPr>
              <w:spacing w:after="0"/>
            </w:pPr>
            <w:r>
              <w:rPr>
                <w:sz w:val="16"/>
              </w:rPr>
            </w:r>
            <w:r>
              <w:rPr>
                <w:rFonts w:ascii="Aptos" w:hAnsi="Aptos"/>
                <w:b w:val="0"/>
                <w:sz w:val="16"/>
              </w:rPr>
              <w:t>Framework Context Resolver</w:t>
            </w:r>
          </w:p>
        </w:tc>
        <w:tc>
          <w:tcPr>
            <w:tcW w:type="dxa" w:w="5227"/>
            <w:vAlign w:val="center"/>
          </w:tcPr>
          <w:p>
            <w:pPr>
              <w:spacing w:after="0"/>
            </w:pPr>
            <w:r>
              <w:rPr>
                <w:sz w:val="16"/>
              </w:rPr>
            </w:r>
            <w:r>
              <w:rPr>
                <w:rFonts w:ascii="Aptos" w:hAnsi="Aptos"/>
                <w:b w:val="0"/>
                <w:sz w:val="16"/>
              </w:rPr>
              <w:t>Framework_Context_Resolver_Repository_All295_v0.2_FROZEN.xlsx — 5,695 rows</w:t>
            </w:r>
          </w:p>
        </w:tc>
      </w:tr>
      <w:tr>
        <w:tc>
          <w:tcPr>
            <w:tcW w:type="dxa" w:w="5227"/>
            <w:vAlign w:val="center"/>
            <w:shd w:fill="F2F4F7"/>
          </w:tcPr>
          <w:p>
            <w:pPr>
              <w:spacing w:after="0"/>
            </w:pPr>
            <w:r>
              <w:rPr>
                <w:sz w:val="16"/>
              </w:rPr>
            </w:r>
            <w:r>
              <w:rPr>
                <w:rFonts w:ascii="Aptos" w:hAnsi="Aptos"/>
                <w:b w:val="0"/>
                <w:sz w:val="16"/>
              </w:rPr>
              <w:t>Teaching Case &amp; Evidence</w:t>
            </w:r>
          </w:p>
        </w:tc>
        <w:tc>
          <w:tcPr>
            <w:tcW w:type="dxa" w:w="5227"/>
            <w:vAlign w:val="center"/>
          </w:tcPr>
          <w:p>
            <w:pPr>
              <w:spacing w:after="0"/>
            </w:pPr>
            <w:r>
              <w:rPr>
                <w:sz w:val="16"/>
              </w:rPr>
            </w:r>
            <w:r>
              <w:rPr>
                <w:rFonts w:ascii="Aptos" w:hAnsi="Aptos"/>
                <w:b w:val="0"/>
                <w:sz w:val="16"/>
              </w:rPr>
              <w:t>Teaching_Case_Evidence_Repository_Lean_v0.2_OutputContract_Aligned.xlsx</w:t>
            </w:r>
          </w:p>
        </w:tc>
      </w:tr>
      <w:tr>
        <w:tc>
          <w:tcPr>
            <w:tcW w:type="dxa" w:w="5227"/>
            <w:vAlign w:val="center"/>
            <w:shd w:fill="F2F4F7"/>
          </w:tcPr>
          <w:p>
            <w:pPr>
              <w:spacing w:after="0"/>
            </w:pPr>
            <w:r>
              <w:rPr>
                <w:sz w:val="16"/>
              </w:rPr>
            </w:r>
            <w:r>
              <w:rPr>
                <w:rFonts w:ascii="Aptos" w:hAnsi="Aptos"/>
                <w:b w:val="0"/>
                <w:sz w:val="16"/>
              </w:rPr>
              <w:t>Stage-F design</w:t>
            </w:r>
          </w:p>
        </w:tc>
        <w:tc>
          <w:tcPr>
            <w:tcW w:type="dxa" w:w="5227"/>
            <w:vAlign w:val="center"/>
          </w:tcPr>
          <w:p>
            <w:pPr>
              <w:spacing w:after="0"/>
            </w:pPr>
            <w:r>
              <w:rPr>
                <w:sz w:val="16"/>
              </w:rPr>
            </w:r>
            <w:r>
              <w:rPr>
                <w:rFonts w:ascii="Aptos" w:hAnsi="Aptos"/>
                <w:b w:val="0"/>
                <w:sz w:val="16"/>
              </w:rPr>
              <w:t>StageF_F0_Educator_Kit_Design_v1.0_FROZEN.xlsx</w:t>
            </w:r>
          </w:p>
        </w:tc>
      </w:tr>
    </w:tbl>
    <w:p/>
    <w:p>
      <w:pPr>
        <w:pStyle w:val="Heading1"/>
      </w:pPr>
      <w:r>
        <w:t>5. Downstream Educator Kit invariants</w:t>
      </w:r>
    </w:p>
    <w:p>
      <w:pPr>
        <w:pStyle w:val="ListBullet"/>
        <w:spacing w:after="24"/>
        <w:ind w:left="288" w:hanging="173"/>
      </w:pPr>
      <w:r>
        <w:rPr>
          <w:rFonts w:ascii="Aptos" w:hAnsi="Aptos"/>
          <w:sz w:val="18"/>
        </w:rPr>
        <w:t>Framework enrichment occurs only after SCR eligibility; it cannot create or rescue SCR relevance.</w:t>
      </w:r>
    </w:p>
    <w:p>
      <w:pPr>
        <w:pStyle w:val="ListBullet"/>
        <w:spacing w:after="24"/>
        <w:ind w:left="288" w:hanging="173"/>
      </w:pPr>
      <w:r>
        <w:rPr>
          <w:rFonts w:ascii="Aptos" w:hAnsi="Aptos"/>
          <w:sz w:val="18"/>
        </w:rPr>
        <w:t>Default pedagogy display: one Primary Teaching Approach plus up to two materially distinct alternatives.</w:t>
      </w:r>
    </w:p>
    <w:p>
      <w:pPr>
        <w:pStyle w:val="ListBullet"/>
        <w:spacing w:after="24"/>
        <w:ind w:left="288" w:hanging="173"/>
      </w:pPr>
      <w:r>
        <w:rPr>
          <w:rFonts w:ascii="Aptos" w:hAnsi="Aptos"/>
          <w:sz w:val="18"/>
        </w:rPr>
        <w:t>Applicability states: RECOMMENDED, RECOMMENDED_WITH_CONDITIONS, ADAPTATION_SUGGESTED, BOUNDARY_WARNING, HARD_BLOCK.</w:t>
      </w:r>
    </w:p>
    <w:p>
      <w:pPr>
        <w:pStyle w:val="ListBullet"/>
        <w:spacing w:after="24"/>
        <w:ind w:left="288" w:hanging="173"/>
      </w:pPr>
      <w:r>
        <w:rPr>
          <w:rFonts w:ascii="Aptos" w:hAnsi="Aptos"/>
          <w:sz w:val="18"/>
        </w:rPr>
        <w:t>HARD_BLOCK is reserved for genuine safety/legal/impossible-evidence/canonical-boundary conditions.</w:t>
      </w:r>
    </w:p>
    <w:p>
      <w:pPr>
        <w:pStyle w:val="ListBullet"/>
        <w:spacing w:after="24"/>
        <w:ind w:left="288" w:hanging="173"/>
      </w:pPr>
      <w:r>
        <w:rPr>
          <w:rFonts w:ascii="Aptos" w:hAnsi="Aptos"/>
          <w:sz w:val="18"/>
        </w:rPr>
        <w:t>Student-facing material and educator-only expected reasoning must remain visibly distinct.</w:t>
      </w:r>
    </w:p>
    <w:p>
      <w:pPr>
        <w:pStyle w:val="ListBullet"/>
        <w:spacing w:after="24"/>
        <w:ind w:left="288" w:hanging="173"/>
      </w:pPr>
      <w:r>
        <w:rPr>
          <w:rFonts w:ascii="Aptos" w:hAnsi="Aptos"/>
          <w:sz w:val="18"/>
        </w:rPr>
        <w:t>Every REQUIRED and triggered CONDITIONAL output-contract element must contain concrete ready-to-use content; no placeholders.</w:t>
      </w:r>
    </w:p>
    <w:p>
      <w:pPr>
        <w:pStyle w:val="ListBullet"/>
        <w:spacing w:after="24"/>
        <w:ind w:left="288" w:hanging="173"/>
      </w:pPr>
      <w:r>
        <w:rPr>
          <w:rFonts w:ascii="Aptos" w:hAnsi="Aptos"/>
          <w:sz w:val="18"/>
        </w:rPr>
        <w:t>External-source material must preserve source identity, date/version where material, URL/DOI/locator and learner use.</w:t>
      </w:r>
    </w:p>
    <w:p>
      <w:pPr>
        <w:pStyle w:val="ListBullet"/>
        <w:spacing w:after="24"/>
        <w:ind w:left="288" w:hanging="173"/>
      </w:pPr>
      <w:r>
        <w:rPr>
          <w:rFonts w:ascii="Aptos" w:hAnsi="Aptos"/>
          <w:sz w:val="18"/>
        </w:rPr>
        <w:t>No automatic V1 repair/regeneration loop after Kit validation failure; persist failure and reason.</w:t>
      </w:r>
    </w:p>
    <w:p>
      <w:pPr>
        <w:pStyle w:val="ListBullet"/>
        <w:spacing w:after="24"/>
        <w:ind w:left="288" w:hanging="173"/>
      </w:pPr>
      <w:r>
        <w:rPr>
          <w:rFonts w:ascii="Aptos" w:hAnsi="Aptos"/>
          <w:sz w:val="18"/>
        </w:rPr>
        <w:t>Educator actions: Use as suggested, Adapt, Choose alternative, Not use, Save for later.</w:t>
      </w:r>
    </w:p>
    <w:p>
      <w:pPr>
        <w:pStyle w:val="ListBullet"/>
        <w:spacing w:after="24"/>
        <w:ind w:left="288" w:hanging="173"/>
      </w:pPr>
      <w:r>
        <w:rPr>
          <w:rFonts w:ascii="Aptos" w:hAnsi="Aptos"/>
          <w:sz w:val="18"/>
        </w:rPr>
        <w:t>PDF, self-contained HTML and structured Excel exports are rendered from the same persisted immutable EducatorKitSnapshot.</w:t>
      </w:r>
    </w:p>
    <w:p>
      <w:pPr>
        <w:pStyle w:val="Heading1"/>
      </w:pPr>
      <w:r>
        <w:t>6. SEQ-03 group structure — fixed</w:t>
      </w:r>
    </w:p>
    <w:tbl>
      <w:tblPr>
        <w:tblStyle w:val="TableGrid"/>
        <w:tblW w:type="auto" w:w="0"/>
        <w:jc w:val="center"/>
        <w:tblLayout w:type="autofit"/>
        <w:tblLook w:firstColumn="1" w:firstRow="1" w:lastColumn="0" w:lastRow="0" w:noHBand="0" w:noVBand="1" w:val="04A0"/>
      </w:tblPr>
      <w:tblGrid>
        <w:gridCol w:w="3485"/>
        <w:gridCol w:w="3485"/>
        <w:gridCol w:w="3485"/>
      </w:tblGrid>
      <w:tr>
        <w:tc>
          <w:tcPr>
            <w:tcW w:type="dxa" w:w="3485"/>
            <w:shd w:fill="2F5D8C"/>
            <w:vAlign w:val="center"/>
          </w:tcPr>
          <w:p>
            <w:pPr>
              <w:spacing w:after="0"/>
            </w:pPr>
            <w:r/>
            <w:r>
              <w:rPr>
                <w:rFonts w:ascii="Aptos" w:hAnsi="Aptos"/>
                <w:b/>
                <w:color w:val="FFFFFF"/>
                <w:sz w:val="17"/>
              </w:rPr>
              <w:t>Group</w:t>
            </w:r>
          </w:p>
        </w:tc>
        <w:tc>
          <w:tcPr>
            <w:tcW w:type="dxa" w:w="3485"/>
            <w:shd w:fill="2F5D8C"/>
            <w:vAlign w:val="center"/>
          </w:tcPr>
          <w:p>
            <w:pPr>
              <w:spacing w:after="0"/>
            </w:pPr>
            <w:r/>
            <w:r>
              <w:rPr>
                <w:rFonts w:ascii="Aptos" w:hAnsi="Aptos"/>
                <w:b/>
                <w:color w:val="FFFFFF"/>
                <w:sz w:val="17"/>
              </w:rPr>
              <w:t>Scope</w:t>
            </w:r>
          </w:p>
        </w:tc>
        <w:tc>
          <w:tcPr>
            <w:tcW w:type="dxa" w:w="3485"/>
            <w:shd w:fill="2F5D8C"/>
            <w:vAlign w:val="center"/>
          </w:tcPr>
          <w:p>
            <w:pPr>
              <w:spacing w:after="0"/>
            </w:pPr>
            <w:r/>
            <w:r>
              <w:rPr>
                <w:rFonts w:ascii="Aptos" w:hAnsi="Aptos"/>
                <w:b/>
                <w:color w:val="FFFFFF"/>
                <w:sz w:val="17"/>
              </w:rPr>
              <w:t>Status</w:t>
            </w:r>
          </w:p>
        </w:tc>
        <w:trPr>
          <w:tblHeader/>
        </w:trPr>
      </w:tr>
      <w:tr>
        <w:tc>
          <w:tcPr>
            <w:tcW w:type="dxa" w:w="3485"/>
            <w:vAlign w:val="center"/>
            <w:shd w:fill="F2F4F7"/>
          </w:tcPr>
          <w:p>
            <w:pPr>
              <w:spacing w:after="0"/>
            </w:pPr>
            <w:r/>
            <w:r>
              <w:rPr>
                <w:rFonts w:ascii="Aptos" w:hAnsi="Aptos"/>
                <w:b w:val="0"/>
                <w:sz w:val="16"/>
              </w:rPr>
              <w:t>A. Foundation</w:t>
            </w:r>
          </w:p>
        </w:tc>
        <w:tc>
          <w:tcPr>
            <w:tcW w:type="dxa" w:w="3485"/>
            <w:vAlign w:val="center"/>
          </w:tcPr>
          <w:p>
            <w:pPr>
              <w:spacing w:after="0"/>
            </w:pPr>
            <w:r/>
            <w:r>
              <w:rPr>
                <w:rFonts w:ascii="Aptos" w:hAnsi="Aptos"/>
                <w:b w:val="0"/>
                <w:sz w:val="16"/>
              </w:rPr>
              <w:t>Product identity, visual system, shell, Home, foundation KG/Admin shells, help, accessibility, data-binding principles</w:t>
            </w:r>
          </w:p>
        </w:tc>
        <w:tc>
          <w:tcPr>
            <w:tcW w:type="dxa" w:w="3485"/>
            <w:vAlign w:val="center"/>
          </w:tcPr>
          <w:p>
            <w:pPr>
              <w:spacing w:after="0"/>
            </w:pPr>
            <w:r/>
            <w:r>
              <w:rPr>
                <w:rFonts w:ascii="Aptos" w:hAnsi="Aptos"/>
                <w:b w:val="0"/>
                <w:sz w:val="16"/>
              </w:rPr>
              <w:t>Retained</w:t>
            </w:r>
          </w:p>
        </w:tc>
      </w:tr>
      <w:tr>
        <w:tc>
          <w:tcPr>
            <w:tcW w:type="dxa" w:w="3485"/>
            <w:vAlign w:val="center"/>
            <w:shd w:fill="F2F4F7"/>
          </w:tcPr>
          <w:p>
            <w:pPr>
              <w:spacing w:after="0"/>
            </w:pPr>
            <w:r/>
            <w:r>
              <w:rPr>
                <w:rFonts w:ascii="Aptos" w:hAnsi="Aptos"/>
                <w:b w:val="0"/>
                <w:sz w:val="16"/>
              </w:rPr>
              <w:t>B. Educator recommendation workflow</w:t>
            </w:r>
          </w:p>
        </w:tc>
        <w:tc>
          <w:tcPr>
            <w:tcW w:type="dxa" w:w="3485"/>
            <w:vAlign w:val="center"/>
          </w:tcPr>
          <w:p>
            <w:pPr>
              <w:spacing w:after="0"/>
            </w:pPr>
            <w:r/>
            <w:r>
              <w:rPr>
                <w:rFonts w:ascii="Aptos" w:hAnsi="Aptos"/>
                <w:b w:val="0"/>
                <w:sz w:val="16"/>
              </w:rPr>
              <w:t>Course → Module → Subtopic → Application Context → Teaching Context → Review → Generate</w:t>
            </w:r>
          </w:p>
        </w:tc>
        <w:tc>
          <w:tcPr>
            <w:tcW w:type="dxa" w:w="3485"/>
            <w:vAlign w:val="center"/>
          </w:tcPr>
          <w:p>
            <w:pPr>
              <w:spacing w:after="0"/>
            </w:pPr>
            <w:r/>
            <w:r>
              <w:rPr>
                <w:rFonts w:ascii="Aptos" w:hAnsi="Aptos"/>
                <w:b w:val="0"/>
                <w:sz w:val="16"/>
              </w:rPr>
              <w:t>Designed / reviewed</w:t>
            </w:r>
          </w:p>
        </w:tc>
      </w:tr>
      <w:tr>
        <w:tc>
          <w:tcPr>
            <w:tcW w:type="dxa" w:w="3485"/>
            <w:vAlign w:val="center"/>
            <w:shd w:fill="F2F4F7"/>
          </w:tcPr>
          <w:p>
            <w:pPr>
              <w:spacing w:after="0"/>
            </w:pPr>
            <w:r/>
            <w:r>
              <w:rPr>
                <w:rFonts w:ascii="Aptos" w:hAnsi="Aptos"/>
                <w:b w:val="0"/>
                <w:sz w:val="16"/>
              </w:rPr>
              <w:t>C. Educator Kit and explainability</w:t>
            </w:r>
          </w:p>
        </w:tc>
        <w:tc>
          <w:tcPr>
            <w:tcW w:type="dxa" w:w="3485"/>
            <w:vAlign w:val="center"/>
          </w:tcPr>
          <w:p>
            <w:pPr>
              <w:spacing w:after="0"/>
            </w:pPr>
            <w:r/>
            <w:r>
              <w:rPr>
                <w:rFonts w:ascii="Aptos" w:hAnsi="Aptos"/>
                <w:b w:val="0"/>
                <w:sz w:val="16"/>
              </w:rPr>
              <w:t>Recommendation Result, Why this recommendation?, Educator Kit, frameworks, evidence, validation, educator decisions, export</w:t>
            </w:r>
          </w:p>
        </w:tc>
        <w:tc>
          <w:tcPr>
            <w:tcW w:type="dxa" w:w="3485"/>
            <w:vAlign w:val="center"/>
          </w:tcPr>
          <w:p>
            <w:pPr>
              <w:spacing w:after="0"/>
            </w:pPr>
            <w:r/>
            <w:r>
              <w:rPr>
                <w:rFonts w:ascii="Aptos" w:hAnsi="Aptos"/>
                <w:b w:val="0"/>
                <w:sz w:val="16"/>
              </w:rPr>
              <w:t>Designed / reviewed</w:t>
            </w:r>
          </w:p>
        </w:tc>
      </w:tr>
      <w:tr>
        <w:tc>
          <w:tcPr>
            <w:tcW w:type="dxa" w:w="3485"/>
            <w:vAlign w:val="center"/>
            <w:shd w:fill="F2F4F7"/>
          </w:tcPr>
          <w:p>
            <w:pPr>
              <w:spacing w:after="0"/>
            </w:pPr>
            <w:r/>
            <w:r>
              <w:rPr>
                <w:rFonts w:ascii="Aptos" w:hAnsi="Aptos"/>
                <w:b w:val="0"/>
                <w:sz w:val="16"/>
              </w:rPr>
              <w:t>D. Knowledge Graph and Administration</w:t>
            </w:r>
          </w:p>
        </w:tc>
        <w:tc>
          <w:tcPr>
            <w:tcW w:type="dxa" w:w="3485"/>
            <w:vAlign w:val="center"/>
          </w:tcPr>
          <w:p>
            <w:pPr>
              <w:spacing w:after="0"/>
            </w:pPr>
            <w:r/>
            <w:r>
              <w:rPr>
                <w:rFonts w:ascii="Aptos" w:hAnsi="Aptos"/>
                <w:b w:val="0"/>
                <w:sz w:val="16"/>
              </w:rPr>
              <w:t>Full KG Explorer + Admin Overview + Repository Preparation/Publication + Validation &amp; Benchmark</w:t>
            </w:r>
          </w:p>
        </w:tc>
        <w:tc>
          <w:tcPr>
            <w:tcW w:type="dxa" w:w="3485"/>
            <w:vAlign w:val="center"/>
          </w:tcPr>
          <w:p>
            <w:pPr>
              <w:spacing w:after="0"/>
            </w:pPr>
            <w:r/>
            <w:r>
              <w:rPr>
                <w:rFonts w:ascii="Aptos" w:hAnsi="Aptos"/>
                <w:b w:val="0"/>
                <w:sz w:val="16"/>
              </w:rPr>
              <w:t>ACTIVE — redesign required</w:t>
            </w:r>
          </w:p>
        </w:tc>
      </w:tr>
      <w:tr>
        <w:tc>
          <w:tcPr>
            <w:tcW w:type="dxa" w:w="3485"/>
            <w:vAlign w:val="center"/>
            <w:shd w:fill="F2F4F7"/>
          </w:tcPr>
          <w:p>
            <w:pPr>
              <w:spacing w:after="0"/>
            </w:pPr>
            <w:r/>
            <w:r>
              <w:rPr>
                <w:rFonts w:ascii="Aptos" w:hAnsi="Aptos"/>
                <w:b w:val="0"/>
                <w:sz w:val="16"/>
              </w:rPr>
              <w:t>E. Cross-cutting UI rules and final wireframes</w:t>
            </w:r>
          </w:p>
        </w:tc>
        <w:tc>
          <w:tcPr>
            <w:tcW w:type="dxa" w:w="3485"/>
            <w:vAlign w:val="center"/>
          </w:tcPr>
          <w:p>
            <w:pPr>
              <w:spacing w:after="0"/>
            </w:pPr>
            <w:r/>
            <w:r>
              <w:rPr>
                <w:rFonts w:ascii="Aptos" w:hAnsi="Aptos"/>
                <w:b w:val="0"/>
                <w:sz w:val="16"/>
              </w:rPr>
              <w:t>Final shared rules, states, responsive/accessibility consolidation, end-to-end wireframes</w:t>
            </w:r>
          </w:p>
        </w:tc>
        <w:tc>
          <w:tcPr>
            <w:tcW w:type="dxa" w:w="3485"/>
            <w:vAlign w:val="center"/>
          </w:tcPr>
          <w:p>
            <w:pPr>
              <w:spacing w:after="0"/>
            </w:pPr>
            <w:r/>
            <w:r>
              <w:rPr>
                <w:rFonts w:ascii="Aptos" w:hAnsi="Aptos"/>
                <w:b w:val="0"/>
                <w:sz w:val="16"/>
              </w:rPr>
              <w:t>Not started</w:t>
            </w:r>
          </w:p>
        </w:tc>
      </w:tr>
    </w:tbl>
    <w:p/>
    <w:p>
      <w:pPr>
        <w:pStyle w:val="Heading1"/>
      </w:pPr>
      <w:r>
        <w:t>7. The four living SEQ-03 artifacts</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Filename</w:t>
            </w:r>
          </w:p>
        </w:tc>
        <w:tc>
          <w:tcPr>
            <w:tcW w:type="dxa" w:w="5227"/>
            <w:shd w:fill="2F5D8C"/>
            <w:vAlign w:val="center"/>
          </w:tcPr>
          <w:p>
            <w:pPr>
              <w:spacing w:after="0"/>
            </w:pPr>
            <w:r/>
            <w:r>
              <w:rPr>
                <w:rFonts w:ascii="Aptos" w:hAnsi="Aptos"/>
                <w:b/>
                <w:color w:val="FFFFFF"/>
                <w:sz w:val="17"/>
              </w:rPr>
              <w:t>Role</w:t>
            </w:r>
          </w:p>
        </w:tc>
        <w:trPr>
          <w:tblHeader/>
        </w:trPr>
      </w:tr>
      <w:tr>
        <w:tc>
          <w:tcPr>
            <w:tcW w:type="dxa" w:w="5227"/>
            <w:vAlign w:val="center"/>
            <w:shd w:fill="F2F4F7"/>
          </w:tcPr>
          <w:p>
            <w:pPr>
              <w:spacing w:after="0"/>
            </w:pPr>
            <w:r/>
            <w:r>
              <w:rPr>
                <w:rFonts w:ascii="Aptos" w:hAnsi="Aptos"/>
                <w:b w:val="0"/>
                <w:sz w:val="16"/>
              </w:rPr>
              <w:t>UI_Design_v0.1.docx</w:t>
            </w:r>
          </w:p>
        </w:tc>
        <w:tc>
          <w:tcPr>
            <w:tcW w:type="dxa" w:w="5227"/>
            <w:vAlign w:val="center"/>
          </w:tcPr>
          <w:p>
            <w:pPr>
              <w:spacing w:after="0"/>
            </w:pPr>
            <w:r/>
            <w:r>
              <w:rPr>
                <w:rFonts w:ascii="Aptos" w:hAnsi="Aptos"/>
                <w:b w:val="0"/>
                <w:sz w:val="16"/>
              </w:rPr>
              <w:t>Primary UI specification: layout, behavior, states, accessibility, acceptance criteria and wireframes</w:t>
            </w:r>
          </w:p>
        </w:tc>
      </w:tr>
      <w:tr>
        <w:tc>
          <w:tcPr>
            <w:tcW w:type="dxa" w:w="5227"/>
            <w:vAlign w:val="center"/>
            <w:shd w:fill="F2F4F7"/>
          </w:tcPr>
          <w:p>
            <w:pPr>
              <w:spacing w:after="0"/>
            </w:pPr>
            <w:r/>
            <w:r>
              <w:rPr>
                <w:rFonts w:ascii="Aptos" w:hAnsi="Aptos"/>
                <w:b w:val="0"/>
                <w:sz w:val="16"/>
              </w:rPr>
              <w:t>UI_Foundation_Decisions_v0.1.xlsx</w:t>
            </w:r>
          </w:p>
        </w:tc>
        <w:tc>
          <w:tcPr>
            <w:tcW w:type="dxa" w:w="5227"/>
            <w:vAlign w:val="center"/>
          </w:tcPr>
          <w:p>
            <w:pPr>
              <w:spacing w:after="0"/>
            </w:pPr>
            <w:r/>
            <w:r>
              <w:rPr>
                <w:rFonts w:ascii="Aptos" w:hAnsi="Aptos"/>
                <w:b w:val="0"/>
                <w:sz w:val="16"/>
              </w:rPr>
              <w:t>Stable A/B/C decisions and visual tokens; Group D/E append here</w:t>
            </w:r>
          </w:p>
        </w:tc>
      </w:tr>
      <w:tr>
        <w:tc>
          <w:tcPr>
            <w:tcW w:type="dxa" w:w="5227"/>
            <w:vAlign w:val="center"/>
            <w:shd w:fill="F2F4F7"/>
          </w:tcPr>
          <w:p>
            <w:pPr>
              <w:spacing w:after="0"/>
            </w:pPr>
            <w:r/>
            <w:r>
              <w:rPr>
                <w:rFonts w:ascii="Aptos" w:hAnsi="Aptos"/>
                <w:b w:val="0"/>
                <w:sz w:val="16"/>
              </w:rPr>
              <w:t>UI_Data_Binding_Matrix_v0.1.xlsx</w:t>
            </w:r>
          </w:p>
        </w:tc>
        <w:tc>
          <w:tcPr>
            <w:tcW w:type="dxa" w:w="5227"/>
            <w:vAlign w:val="center"/>
          </w:tcPr>
          <w:p>
            <w:pPr>
              <w:spacing w:after="0"/>
            </w:pPr>
            <w:r/>
            <w:r>
              <w:rPr>
                <w:rFonts w:ascii="Aptos" w:hAnsi="Aptos"/>
                <w:b w:val="0"/>
                <w:sz w:val="16"/>
              </w:rPr>
              <w:t>Exact UI element → repository/runtime source → key/display/state/help/interface mapping</w:t>
            </w:r>
          </w:p>
        </w:tc>
      </w:tr>
      <w:tr>
        <w:tc>
          <w:tcPr>
            <w:tcW w:type="dxa" w:w="5227"/>
            <w:vAlign w:val="center"/>
            <w:shd w:fill="F2F4F7"/>
          </w:tcPr>
          <w:p>
            <w:pPr>
              <w:spacing w:after="0"/>
            </w:pPr>
            <w:r/>
            <w:r>
              <w:rPr>
                <w:rFonts w:ascii="Aptos" w:hAnsi="Aptos"/>
                <w:b w:val="0"/>
                <w:sz w:val="16"/>
              </w:rPr>
              <w:t>UI_Help_Content_Repository_v0.1.xlsx</w:t>
            </w:r>
          </w:p>
        </w:tc>
        <w:tc>
          <w:tcPr>
            <w:tcW w:type="dxa" w:w="5227"/>
            <w:vAlign w:val="center"/>
          </w:tcPr>
          <w:p>
            <w:pPr>
              <w:spacing w:after="0"/>
            </w:pPr>
            <w:r/>
            <w:r>
              <w:rPr>
                <w:rFonts w:ascii="Aptos" w:hAnsi="Aptos"/>
                <w:b w:val="0"/>
                <w:sz w:val="16"/>
              </w:rPr>
              <w:t>Governed runtime context-sensitive help keyed by Help_Key</w:t>
            </w:r>
          </w:p>
        </w:tc>
      </w:tr>
    </w:tbl>
    <w:p/>
    <w:p>
      <w:pPr>
        <w:pStyle w:val="HandoffNote"/>
      </w:pPr>
      <w:r>
        <w:t>Latest combined A+B+C copies are in the SEQ03_GroupA_GroupB_GroupC package. Continue extending these same files; do not create parallel Group-D-only canonical documents.</w:t>
      </w:r>
    </w:p>
    <w:p>
      <w:pPr>
        <w:pStyle w:val="Heading1"/>
      </w:pPr>
      <w:r>
        <w:t>8. Group A/B/C decisions that must carry forward</w:t>
      </w:r>
    </w:p>
    <w:p>
      <w:pPr>
        <w:pStyle w:val="Heading2"/>
      </w:pPr>
      <w:r>
        <w:t>8.1 Foundation / visual system</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Token / rule</w:t>
            </w:r>
          </w:p>
        </w:tc>
        <w:tc>
          <w:tcPr>
            <w:tcW w:type="dxa" w:w="5227"/>
            <w:shd w:fill="2F5D8C"/>
            <w:vAlign w:val="center"/>
          </w:tcPr>
          <w:p>
            <w:pPr>
              <w:spacing w:after="0"/>
            </w:pPr>
            <w:r/>
            <w:r>
              <w:rPr>
                <w:rFonts w:ascii="Aptos" w:hAnsi="Aptos"/>
                <w:b/>
                <w:color w:val="FFFFFF"/>
                <w:sz w:val="17"/>
              </w:rPr>
              <w:t>Value</w:t>
            </w:r>
          </w:p>
        </w:tc>
        <w:trPr>
          <w:tblHeader/>
        </w:trPr>
      </w:tr>
      <w:tr>
        <w:tc>
          <w:tcPr>
            <w:tcW w:type="dxa" w:w="5227"/>
            <w:vAlign w:val="center"/>
            <w:shd w:fill="F2F4F7"/>
          </w:tcPr>
          <w:p>
            <w:pPr>
              <w:spacing w:after="0"/>
            </w:pPr>
            <w:r/>
            <w:r>
              <w:rPr>
                <w:rFonts w:ascii="Aptos" w:hAnsi="Aptos"/>
                <w:b w:val="0"/>
                <w:sz w:val="16"/>
              </w:rPr>
              <w:t>Background</w:t>
            </w:r>
          </w:p>
        </w:tc>
        <w:tc>
          <w:tcPr>
            <w:tcW w:type="dxa" w:w="5227"/>
            <w:vAlign w:val="center"/>
          </w:tcPr>
          <w:p>
            <w:pPr>
              <w:spacing w:after="0"/>
            </w:pPr>
            <w:r/>
            <w:r>
              <w:rPr>
                <w:rFonts w:ascii="Aptos" w:hAnsi="Aptos"/>
                <w:b w:val="0"/>
                <w:sz w:val="16"/>
              </w:rPr>
              <w:t>#F7F8FA</w:t>
            </w:r>
          </w:p>
        </w:tc>
      </w:tr>
      <w:tr>
        <w:tc>
          <w:tcPr>
            <w:tcW w:type="dxa" w:w="5227"/>
            <w:vAlign w:val="center"/>
            <w:shd w:fill="F2F4F7"/>
          </w:tcPr>
          <w:p>
            <w:pPr>
              <w:spacing w:after="0"/>
            </w:pPr>
            <w:r/>
            <w:r>
              <w:rPr>
                <w:rFonts w:ascii="Aptos" w:hAnsi="Aptos"/>
                <w:b w:val="0"/>
                <w:sz w:val="16"/>
              </w:rPr>
              <w:t>Surface</w:t>
            </w:r>
          </w:p>
        </w:tc>
        <w:tc>
          <w:tcPr>
            <w:tcW w:type="dxa" w:w="5227"/>
            <w:vAlign w:val="center"/>
          </w:tcPr>
          <w:p>
            <w:pPr>
              <w:spacing w:after="0"/>
            </w:pPr>
            <w:r/>
            <w:r>
              <w:rPr>
                <w:rFonts w:ascii="Aptos" w:hAnsi="Aptos"/>
                <w:b w:val="0"/>
                <w:sz w:val="16"/>
              </w:rPr>
              <w:t>#FFFFFF</w:t>
            </w:r>
          </w:p>
        </w:tc>
      </w:tr>
      <w:tr>
        <w:tc>
          <w:tcPr>
            <w:tcW w:type="dxa" w:w="5227"/>
            <w:vAlign w:val="center"/>
            <w:shd w:fill="F2F4F7"/>
          </w:tcPr>
          <w:p>
            <w:pPr>
              <w:spacing w:after="0"/>
            </w:pPr>
            <w:r/>
            <w:r>
              <w:rPr>
                <w:rFonts w:ascii="Aptos" w:hAnsi="Aptos"/>
                <w:b w:val="0"/>
                <w:sz w:val="16"/>
              </w:rPr>
              <w:t>Primary accent</w:t>
            </w:r>
          </w:p>
        </w:tc>
        <w:tc>
          <w:tcPr>
            <w:tcW w:type="dxa" w:w="5227"/>
            <w:vAlign w:val="center"/>
          </w:tcPr>
          <w:p>
            <w:pPr>
              <w:spacing w:after="0"/>
            </w:pPr>
            <w:r/>
            <w:r>
              <w:rPr>
                <w:rFonts w:ascii="Aptos" w:hAnsi="Aptos"/>
                <w:b w:val="0"/>
                <w:sz w:val="16"/>
              </w:rPr>
              <w:t>#2F5D8C</w:t>
            </w:r>
          </w:p>
        </w:tc>
      </w:tr>
      <w:tr>
        <w:tc>
          <w:tcPr>
            <w:tcW w:type="dxa" w:w="5227"/>
            <w:vAlign w:val="center"/>
            <w:shd w:fill="F2F4F7"/>
          </w:tcPr>
          <w:p>
            <w:pPr>
              <w:spacing w:after="0"/>
            </w:pPr>
            <w:r/>
            <w:r>
              <w:rPr>
                <w:rFonts w:ascii="Aptos" w:hAnsi="Aptos"/>
                <w:b w:val="0"/>
                <w:sz w:val="16"/>
              </w:rPr>
              <w:t>Primary hover</w:t>
            </w:r>
          </w:p>
        </w:tc>
        <w:tc>
          <w:tcPr>
            <w:tcW w:type="dxa" w:w="5227"/>
            <w:vAlign w:val="center"/>
          </w:tcPr>
          <w:p>
            <w:pPr>
              <w:spacing w:after="0"/>
            </w:pPr>
            <w:r/>
            <w:r>
              <w:rPr>
                <w:rFonts w:ascii="Aptos" w:hAnsi="Aptos"/>
                <w:b w:val="0"/>
                <w:sz w:val="16"/>
              </w:rPr>
              <w:t>#254A70</w:t>
            </w:r>
          </w:p>
        </w:tc>
      </w:tr>
      <w:tr>
        <w:tc>
          <w:tcPr>
            <w:tcW w:type="dxa" w:w="5227"/>
            <w:vAlign w:val="center"/>
            <w:shd w:fill="F2F4F7"/>
          </w:tcPr>
          <w:p>
            <w:pPr>
              <w:spacing w:after="0"/>
            </w:pPr>
            <w:r/>
            <w:r>
              <w:rPr>
                <w:rFonts w:ascii="Aptos" w:hAnsi="Aptos"/>
                <w:b w:val="0"/>
                <w:sz w:val="16"/>
              </w:rPr>
              <w:t>Primary text</w:t>
            </w:r>
          </w:p>
        </w:tc>
        <w:tc>
          <w:tcPr>
            <w:tcW w:type="dxa" w:w="5227"/>
            <w:vAlign w:val="center"/>
          </w:tcPr>
          <w:p>
            <w:pPr>
              <w:spacing w:after="0"/>
            </w:pPr>
            <w:r/>
            <w:r>
              <w:rPr>
                <w:rFonts w:ascii="Aptos" w:hAnsi="Aptos"/>
                <w:b w:val="0"/>
                <w:sz w:val="16"/>
              </w:rPr>
              <w:t>#1F2937</w:t>
            </w:r>
          </w:p>
        </w:tc>
      </w:tr>
      <w:tr>
        <w:tc>
          <w:tcPr>
            <w:tcW w:type="dxa" w:w="5227"/>
            <w:vAlign w:val="center"/>
            <w:shd w:fill="F2F4F7"/>
          </w:tcPr>
          <w:p>
            <w:pPr>
              <w:spacing w:after="0"/>
            </w:pPr>
            <w:r/>
            <w:r>
              <w:rPr>
                <w:rFonts w:ascii="Aptos" w:hAnsi="Aptos"/>
                <w:b w:val="0"/>
                <w:sz w:val="16"/>
              </w:rPr>
              <w:t>Secondary text</w:t>
            </w:r>
          </w:p>
        </w:tc>
        <w:tc>
          <w:tcPr>
            <w:tcW w:type="dxa" w:w="5227"/>
            <w:vAlign w:val="center"/>
          </w:tcPr>
          <w:p>
            <w:pPr>
              <w:spacing w:after="0"/>
            </w:pPr>
            <w:r/>
            <w:r>
              <w:rPr>
                <w:rFonts w:ascii="Aptos" w:hAnsi="Aptos"/>
                <w:b w:val="0"/>
                <w:sz w:val="16"/>
              </w:rPr>
              <w:t>#667085</w:t>
            </w:r>
          </w:p>
        </w:tc>
      </w:tr>
      <w:tr>
        <w:tc>
          <w:tcPr>
            <w:tcW w:type="dxa" w:w="5227"/>
            <w:vAlign w:val="center"/>
            <w:shd w:fill="F2F4F7"/>
          </w:tcPr>
          <w:p>
            <w:pPr>
              <w:spacing w:after="0"/>
            </w:pPr>
            <w:r/>
            <w:r>
              <w:rPr>
                <w:rFonts w:ascii="Aptos" w:hAnsi="Aptos"/>
                <w:b w:val="0"/>
                <w:sz w:val="16"/>
              </w:rPr>
              <w:t>Border</w:t>
            </w:r>
          </w:p>
        </w:tc>
        <w:tc>
          <w:tcPr>
            <w:tcW w:type="dxa" w:w="5227"/>
            <w:vAlign w:val="center"/>
          </w:tcPr>
          <w:p>
            <w:pPr>
              <w:spacing w:after="0"/>
            </w:pPr>
            <w:r/>
            <w:r>
              <w:rPr>
                <w:rFonts w:ascii="Aptos" w:hAnsi="Aptos"/>
                <w:b w:val="0"/>
                <w:sz w:val="16"/>
              </w:rPr>
              <w:t>#D0D5DD</w:t>
            </w:r>
          </w:p>
        </w:tc>
      </w:tr>
      <w:tr>
        <w:tc>
          <w:tcPr>
            <w:tcW w:type="dxa" w:w="5227"/>
            <w:vAlign w:val="center"/>
            <w:shd w:fill="F2F4F7"/>
          </w:tcPr>
          <w:p>
            <w:pPr>
              <w:spacing w:after="0"/>
            </w:pPr>
            <w:r/>
            <w:r>
              <w:rPr>
                <w:rFonts w:ascii="Aptos" w:hAnsi="Aptos"/>
                <w:b w:val="0"/>
                <w:sz w:val="16"/>
              </w:rPr>
              <w:t>Success / warning / error / info</w:t>
            </w:r>
          </w:p>
        </w:tc>
        <w:tc>
          <w:tcPr>
            <w:tcW w:type="dxa" w:w="5227"/>
            <w:vAlign w:val="center"/>
          </w:tcPr>
          <w:p>
            <w:pPr>
              <w:spacing w:after="0"/>
            </w:pPr>
            <w:r/>
            <w:r>
              <w:rPr>
                <w:rFonts w:ascii="Aptos" w:hAnsi="Aptos"/>
                <w:b w:val="0"/>
                <w:sz w:val="16"/>
              </w:rPr>
              <w:t>#2E7D32 / #8A5A00 / #B42318 / #315E9A</w:t>
            </w:r>
          </w:p>
        </w:tc>
      </w:tr>
      <w:tr>
        <w:tc>
          <w:tcPr>
            <w:tcW w:type="dxa" w:w="5227"/>
            <w:vAlign w:val="center"/>
            <w:shd w:fill="F2F4F7"/>
          </w:tcPr>
          <w:p>
            <w:pPr>
              <w:spacing w:after="0"/>
            </w:pPr>
            <w:r/>
            <w:r>
              <w:rPr>
                <w:rFonts w:ascii="Aptos" w:hAnsi="Aptos"/>
                <w:b w:val="0"/>
                <w:sz w:val="16"/>
              </w:rPr>
              <w:t>Focus</w:t>
            </w:r>
          </w:p>
        </w:tc>
        <w:tc>
          <w:tcPr>
            <w:tcW w:type="dxa" w:w="5227"/>
            <w:vAlign w:val="center"/>
          </w:tcPr>
          <w:p>
            <w:pPr>
              <w:spacing w:after="0"/>
            </w:pPr>
            <w:r/>
            <w:r>
              <w:rPr>
                <w:rFonts w:ascii="Aptos" w:hAnsi="Aptos"/>
                <w:b w:val="0"/>
                <w:sz w:val="16"/>
              </w:rPr>
              <w:t>#2563EB</w:t>
            </w:r>
          </w:p>
        </w:tc>
      </w:tr>
      <w:tr>
        <w:tc>
          <w:tcPr>
            <w:tcW w:type="dxa" w:w="5227"/>
            <w:vAlign w:val="center"/>
            <w:shd w:fill="F2F4F7"/>
          </w:tcPr>
          <w:p>
            <w:pPr>
              <w:spacing w:after="0"/>
            </w:pPr>
            <w:r/>
            <w:r>
              <w:rPr>
                <w:rFonts w:ascii="Aptos" w:hAnsi="Aptos"/>
                <w:b w:val="0"/>
                <w:sz w:val="16"/>
              </w:rPr>
              <w:t>Radius</w:t>
            </w:r>
          </w:p>
        </w:tc>
        <w:tc>
          <w:tcPr>
            <w:tcW w:type="dxa" w:w="5227"/>
            <w:vAlign w:val="center"/>
          </w:tcPr>
          <w:p>
            <w:pPr>
              <w:spacing w:after="0"/>
            </w:pPr>
            <w:r/>
            <w:r>
              <w:rPr>
                <w:rFonts w:ascii="Aptos" w:hAnsi="Aptos"/>
                <w:b w:val="0"/>
                <w:sz w:val="16"/>
              </w:rPr>
              <w:t>8 px</w:t>
            </w:r>
          </w:p>
        </w:tc>
      </w:tr>
      <w:tr>
        <w:tc>
          <w:tcPr>
            <w:tcW w:type="dxa" w:w="5227"/>
            <w:vAlign w:val="center"/>
            <w:shd w:fill="F2F4F7"/>
          </w:tcPr>
          <w:p>
            <w:pPr>
              <w:spacing w:after="0"/>
            </w:pPr>
            <w:r/>
            <w:r>
              <w:rPr>
                <w:rFonts w:ascii="Aptos" w:hAnsi="Aptos"/>
                <w:b w:val="0"/>
                <w:sz w:val="16"/>
              </w:rPr>
              <w:t>Minimum control height</w:t>
            </w:r>
          </w:p>
        </w:tc>
        <w:tc>
          <w:tcPr>
            <w:tcW w:type="dxa" w:w="5227"/>
            <w:vAlign w:val="center"/>
          </w:tcPr>
          <w:p>
            <w:pPr>
              <w:spacing w:after="0"/>
            </w:pPr>
            <w:r/>
            <w:r>
              <w:rPr>
                <w:rFonts w:ascii="Aptos" w:hAnsi="Aptos"/>
                <w:b w:val="0"/>
                <w:sz w:val="16"/>
              </w:rPr>
              <w:t>44 px</w:t>
            </w:r>
          </w:p>
        </w:tc>
      </w:tr>
      <w:tr>
        <w:tc>
          <w:tcPr>
            <w:tcW w:type="dxa" w:w="5227"/>
            <w:vAlign w:val="center"/>
            <w:shd w:fill="F2F4F7"/>
          </w:tcPr>
          <w:p>
            <w:pPr>
              <w:spacing w:after="0"/>
            </w:pPr>
            <w:r/>
            <w:r>
              <w:rPr>
                <w:rFonts w:ascii="Aptos" w:hAnsi="Aptos"/>
                <w:b w:val="0"/>
                <w:sz w:val="16"/>
              </w:rPr>
              <w:t>Educator max width</w:t>
            </w:r>
          </w:p>
        </w:tc>
        <w:tc>
          <w:tcPr>
            <w:tcW w:type="dxa" w:w="5227"/>
            <w:vAlign w:val="center"/>
          </w:tcPr>
          <w:p>
            <w:pPr>
              <w:spacing w:after="0"/>
            </w:pPr>
            <w:r/>
            <w:r>
              <w:rPr>
                <w:rFonts w:ascii="Aptos" w:hAnsi="Aptos"/>
                <w:b w:val="0"/>
                <w:sz w:val="16"/>
              </w:rPr>
              <w:t>1160 px</w:t>
            </w:r>
          </w:p>
        </w:tc>
      </w:tr>
      <w:tr>
        <w:tc>
          <w:tcPr>
            <w:tcW w:type="dxa" w:w="5227"/>
            <w:vAlign w:val="center"/>
            <w:shd w:fill="F2F4F7"/>
          </w:tcPr>
          <w:p>
            <w:pPr>
              <w:spacing w:after="0"/>
            </w:pPr>
            <w:r/>
            <w:r>
              <w:rPr>
                <w:rFonts w:ascii="Aptos" w:hAnsi="Aptos"/>
                <w:b w:val="0"/>
                <w:sz w:val="16"/>
              </w:rPr>
              <w:t>Type</w:t>
            </w:r>
          </w:p>
        </w:tc>
        <w:tc>
          <w:tcPr>
            <w:tcW w:type="dxa" w:w="5227"/>
            <w:vAlign w:val="center"/>
          </w:tcPr>
          <w:p>
            <w:pPr>
              <w:spacing w:after="0"/>
            </w:pPr>
            <w:r/>
            <w:r>
              <w:rPr>
                <w:rFonts w:ascii="Aptos" w:hAnsi="Aptos"/>
                <w:b w:val="0"/>
                <w:sz w:val="16"/>
              </w:rPr>
              <w:t>32 / 24 / 20 / 16 / 14 px hierarchy</w:t>
            </w:r>
          </w:p>
        </w:tc>
      </w:tr>
      <w:tr>
        <w:tc>
          <w:tcPr>
            <w:tcW w:type="dxa" w:w="5227"/>
            <w:vAlign w:val="center"/>
            <w:shd w:fill="F2F4F7"/>
          </w:tcPr>
          <w:p>
            <w:pPr>
              <w:spacing w:after="0"/>
            </w:pPr>
            <w:r/>
            <w:r>
              <w:rPr>
                <w:rFonts w:ascii="Aptos" w:hAnsi="Aptos"/>
                <w:b w:val="0"/>
                <w:sz w:val="16"/>
              </w:rPr>
              <w:t>Spacing</w:t>
            </w:r>
          </w:p>
        </w:tc>
        <w:tc>
          <w:tcPr>
            <w:tcW w:type="dxa" w:w="5227"/>
            <w:vAlign w:val="center"/>
          </w:tcPr>
          <w:p>
            <w:pPr>
              <w:spacing w:after="0"/>
            </w:pPr>
            <w:r/>
            <w:r>
              <w:rPr>
                <w:rFonts w:ascii="Aptos" w:hAnsi="Aptos"/>
                <w:b w:val="0"/>
                <w:sz w:val="16"/>
              </w:rPr>
              <w:t>8 / 16 / 24 / 32 / 48 px</w:t>
            </w:r>
          </w:p>
        </w:tc>
      </w:tr>
      <w:tr>
        <w:tc>
          <w:tcPr>
            <w:tcW w:type="dxa" w:w="5227"/>
            <w:vAlign w:val="center"/>
            <w:shd w:fill="F2F4F7"/>
          </w:tcPr>
          <w:p>
            <w:pPr>
              <w:spacing w:after="0"/>
            </w:pPr>
            <w:r/>
            <w:r>
              <w:rPr>
                <w:rFonts w:ascii="Aptos" w:hAnsi="Aptos"/>
                <w:b w:val="0"/>
                <w:sz w:val="16"/>
              </w:rPr>
              <w:t>Theme</w:t>
            </w:r>
          </w:p>
        </w:tc>
        <w:tc>
          <w:tcPr>
            <w:tcW w:type="dxa" w:w="5227"/>
            <w:vAlign w:val="center"/>
          </w:tcPr>
          <w:p>
            <w:pPr>
              <w:spacing w:after="0"/>
            </w:pPr>
            <w:r/>
            <w:r>
              <w:rPr>
                <w:rFonts w:ascii="Aptos" w:hAnsi="Aptos"/>
                <w:b w:val="0"/>
                <w:sz w:val="16"/>
              </w:rPr>
              <w:t>Light theme V1; minimal shadows; borders first</w:t>
            </w:r>
          </w:p>
        </w:tc>
      </w:tr>
    </w:tbl>
    <w:p/>
    <w:p>
      <w:pPr>
        <w:pStyle w:val="Heading2"/>
      </w:pPr>
      <w:r>
        <w:t>8.2 Group B — normal educator input</w:t>
      </w:r>
    </w:p>
    <w:p>
      <w:pPr>
        <w:pStyle w:val="ListBullet"/>
        <w:spacing w:after="24"/>
        <w:ind w:left="288" w:hanging="173"/>
      </w:pPr>
      <w:r>
        <w:rPr>
          <w:rFonts w:ascii="Aptos" w:hAnsi="Aptos"/>
          <w:sz w:val="18"/>
        </w:rPr>
        <w:t>Course, Module and Subtopic are all visibly mandatory in the normal hierarchy path.</w:t>
      </w:r>
    </w:p>
    <w:p>
      <w:pPr>
        <w:pStyle w:val="ListBullet"/>
        <w:spacing w:after="24"/>
        <w:ind w:left="288" w:hanging="173"/>
      </w:pPr>
      <w:r>
        <w:rPr>
          <w:rFonts w:ascii="Aptos" w:hAnsi="Aptos"/>
          <w:sz w:val="18"/>
        </w:rPr>
        <w:t>Course selection immediately shows governed Course details; Module then shows Module details; Subtopic confirms the preferred technical anchor.</w:t>
      </w:r>
    </w:p>
    <w:p>
      <w:pPr>
        <w:pStyle w:val="ListBullet"/>
        <w:spacing w:after="24"/>
        <w:ind w:left="288" w:hanging="173"/>
      </w:pPr>
      <w:r>
        <w:rPr>
          <w:rFonts w:ascii="Aptos" w:hAnsi="Aptos"/>
          <w:sz w:val="18"/>
        </w:rPr>
        <w:t>Final recommendation reasoning does not start from Course or Course+Module alone.</w:t>
      </w:r>
    </w:p>
    <w:p>
      <w:pPr>
        <w:pStyle w:val="ListBullet"/>
        <w:spacing w:after="24"/>
        <w:ind w:left="288" w:hanging="173"/>
      </w:pPr>
      <w:r>
        <w:rPr>
          <w:rFonts w:ascii="Aptos" w:hAnsi="Aptos"/>
          <w:sz w:val="18"/>
        </w:rPr>
        <w:t>Application Context screen has educator free text plus automatically shown top 1–2 compatible suggestions; no primary Browse/Suggest buttons.</w:t>
      </w:r>
    </w:p>
    <w:p>
      <w:pPr>
        <w:pStyle w:val="ListBullet"/>
        <w:spacing w:after="24"/>
        <w:ind w:left="288" w:hanging="173"/>
      </w:pPr>
      <w:r>
        <w:rPr>
          <w:rFonts w:ascii="Aptos" w:hAnsi="Aptos"/>
          <w:sz w:val="18"/>
        </w:rPr>
        <w:t>Show more compatible contexts is secondary progressive disclosure.</w:t>
      </w:r>
    </w:p>
    <w:p>
      <w:pPr>
        <w:pStyle w:val="ListBullet"/>
        <w:spacing w:after="24"/>
        <w:ind w:left="288" w:hanging="173"/>
      </w:pPr>
      <w:r>
        <w:rPr>
          <w:rFonts w:ascii="Aptos" w:hAnsi="Aptos"/>
          <w:sz w:val="18"/>
        </w:rPr>
        <w:t>Changing Course/Module/Subtopic invalidates downstream context suggestions and any accepted context tied to the old anchor.</w:t>
      </w:r>
    </w:p>
    <w:p>
      <w:pPr>
        <w:pStyle w:val="ListBullet"/>
        <w:spacing w:after="24"/>
        <w:ind w:left="288" w:hanging="173"/>
      </w:pPr>
      <w:r>
        <w:rPr>
          <w:rFonts w:ascii="Aptos" w:hAnsi="Aptos"/>
          <w:sz w:val="18"/>
        </w:rPr>
        <w:t>Teaching Context is optional field-by-field and affects pedagogy/Kit practicality, not sustainability eligibility.</w:t>
      </w:r>
    </w:p>
    <w:p>
      <w:pPr>
        <w:pStyle w:val="ListBullet"/>
        <w:spacing w:after="24"/>
        <w:ind w:left="288" w:hanging="173"/>
      </w:pPr>
      <w:r>
        <w:rPr>
          <w:rFonts w:ascii="Aptos" w:hAnsi="Aptos"/>
          <w:sz w:val="18"/>
        </w:rPr>
        <w:t>UI labels: Field/site visit possible?; Relevant data available for the activity?; Stakeholder interaction possible?; Lab/equipment available?.</w:t>
      </w:r>
    </w:p>
    <w:p>
      <w:pPr>
        <w:pStyle w:val="ListBullet"/>
        <w:spacing w:after="24"/>
        <w:ind w:left="288" w:hanging="173"/>
      </w:pPr>
      <w:r>
        <w:rPr>
          <w:rFonts w:ascii="Aptos" w:hAnsi="Aptos"/>
          <w:sz w:val="18"/>
        </w:rPr>
        <w:t>Resources and access is secondary/collapsed by default; detailed help explains what each field means and why it is asked.</w:t>
      </w:r>
    </w:p>
    <w:p>
      <w:pPr>
        <w:pStyle w:val="Heading2"/>
      </w:pPr>
      <w:r>
        <w:t>8.3 Group C — result, explainability and Kit</w:t>
      </w:r>
    </w:p>
    <w:p>
      <w:pPr>
        <w:pStyle w:val="ListBullet"/>
        <w:spacing w:after="24"/>
        <w:ind w:left="288" w:hanging="173"/>
      </w:pPr>
      <w:r>
        <w:rPr>
          <w:rFonts w:ascii="Aptos" w:hAnsi="Aptos"/>
          <w:sz w:val="18"/>
        </w:rPr>
        <w:t>Result hierarchy: Use → Understand → Inspect/Audit.</w:t>
      </w:r>
    </w:p>
    <w:p>
      <w:pPr>
        <w:pStyle w:val="ListBullet"/>
        <w:spacing w:after="24"/>
        <w:ind w:left="288" w:hanging="173"/>
      </w:pPr>
      <w:r>
        <w:rPr>
          <w:rFonts w:ascii="Aptos" w:hAnsi="Aptos"/>
          <w:sz w:val="18"/>
        </w:rPr>
        <w:t>Show accepted Sustainability Principle in human-readable form; scores are not dominant.</w:t>
      </w:r>
    </w:p>
    <w:p>
      <w:pPr>
        <w:pStyle w:val="ListBullet"/>
        <w:spacing w:after="24"/>
        <w:ind w:left="288" w:hanging="173"/>
      </w:pPr>
      <w:r>
        <w:rPr>
          <w:rFonts w:ascii="Aptos" w:hAnsi="Aptos"/>
          <w:sz w:val="18"/>
        </w:rPr>
        <w:t>Why this recommendation? comes from persisted trace/evidence, not a new free-form explanation.</w:t>
      </w:r>
    </w:p>
    <w:p>
      <w:pPr>
        <w:pStyle w:val="ListBullet"/>
        <w:spacing w:after="24"/>
        <w:ind w:left="288" w:hanging="173"/>
      </w:pPr>
      <w:r>
        <w:rPr>
          <w:rFonts w:ascii="Aptos" w:hAnsi="Aptos"/>
          <w:sz w:val="18"/>
        </w:rPr>
        <w:t>No defensible sustainability mechanism is a valid abstention state; never force an SCR.</w:t>
      </w:r>
    </w:p>
    <w:p>
      <w:pPr>
        <w:pStyle w:val="ListBullet"/>
        <w:spacing w:after="24"/>
        <w:ind w:left="288" w:hanging="173"/>
      </w:pPr>
      <w:r>
        <w:rPr>
          <w:rFonts w:ascii="Aptos" w:hAnsi="Aptos"/>
          <w:sz w:val="18"/>
        </w:rPr>
        <w:t>Primary Teaching Approach + up to two materially distinct alternatives.</w:t>
      </w:r>
    </w:p>
    <w:p>
      <w:pPr>
        <w:pStyle w:val="ListBullet"/>
        <w:spacing w:after="24"/>
        <w:ind w:left="288" w:hanging="173"/>
      </w:pPr>
      <w:r>
        <w:rPr>
          <w:rFonts w:ascii="Aptos" w:hAnsi="Aptos"/>
          <w:sz w:val="18"/>
        </w:rPr>
        <w:t>Kit sections are driven by the selected Output Element Contract; do not force identical headings on all templates.</w:t>
      </w:r>
    </w:p>
    <w:p>
      <w:pPr>
        <w:pStyle w:val="ListBullet"/>
        <w:spacing w:after="24"/>
        <w:ind w:left="288" w:hanging="173"/>
      </w:pPr>
      <w:r>
        <w:rPr>
          <w:rFonts w:ascii="Aptos" w:hAnsi="Aptos"/>
          <w:sz w:val="18"/>
        </w:rPr>
        <w:t>Sustainability &amp; Learning Framework Alignment is concise by default; raw resolver IDs remain in audit.</w:t>
      </w:r>
    </w:p>
    <w:p>
      <w:pPr>
        <w:pStyle w:val="ListBullet"/>
        <w:spacing w:after="24"/>
        <w:ind w:left="288" w:hanging="173"/>
      </w:pPr>
      <w:r>
        <w:rPr>
          <w:rFonts w:ascii="Aptos" w:hAnsi="Aptos"/>
          <w:sz w:val="18"/>
        </w:rPr>
        <w:t>Educator Kit validation is distinct from SCR validation.</w:t>
      </w:r>
    </w:p>
    <w:p>
      <w:pPr>
        <w:pStyle w:val="ListBullet"/>
        <w:spacing w:after="24"/>
        <w:ind w:left="288" w:hanging="173"/>
      </w:pPr>
      <w:r>
        <w:rPr>
          <w:rFonts w:ascii="Aptos" w:hAnsi="Aptos"/>
          <w:sz w:val="18"/>
        </w:rPr>
        <w:t>Exports preserve source links, provenance and student/educator-layer separation.</w:t>
      </w:r>
    </w:p>
    <w:p>
      <w:pPr>
        <w:pStyle w:val="Heading1"/>
      </w:pPr>
      <w:r>
        <w:t>9. Group D — Administration plan agreed in this chat</w:t>
      </w:r>
    </w:p>
    <w:tbl>
      <w:tblPr>
        <w:tblW w:type="auto" w:w="0"/>
        <w:jc w:val="center"/>
        <w:tblLook w:firstColumn="1" w:firstRow="1" w:lastColumn="0" w:lastRow="0" w:noHBand="0" w:noVBand="1" w:val="04A0"/>
      </w:tblPr>
      <w:tblGrid>
        <w:gridCol w:w="10454"/>
      </w:tblGrid>
      <w:tr>
        <w:tc>
          <w:tcPr>
            <w:tcW w:type="dxa" w:w="10454"/>
            <w:shd w:fill="F2F4F7"/>
            <w:tcBorders>
              <w:top w:val="single" w:sz="6" w:color="D0D5DD"/>
              <w:left w:val="single" w:sz="6" w:color="D0D5DD"/>
              <w:bottom w:val="single" w:sz="6" w:color="D0D5DD"/>
              <w:right w:val="single" w:sz="6" w:color="D0D5DD"/>
            </w:tcBorders>
          </w:tcPr>
          <w:p>
            <w:pPr>
              <w:spacing w:after="40"/>
            </w:pPr>
            <w:r>
              <w:rPr>
                <w:b/>
                <w:color w:val="244A70"/>
                <w:sz w:val="19"/>
              </w:rPr>
              <w:t>V1 scope boundary</w:t>
            </w:r>
          </w:p>
          <w:p>
            <w:pPr>
              <w:spacing w:after="0"/>
            </w:pPr>
            <w:r>
              <w:rPr>
                <w:color w:val="344054"/>
                <w:sz w:val="18"/>
              </w:rPr>
              <w:t>Repository Publication and Validation &amp; Benchmark are functional V1 capabilities. Repository Preparation / Add / Edit / Deprecate is designed now but may remain static / demonstrative in V1, with controlled Excel workbooks remaining the actual authoring channel.</w:t>
            </w:r>
          </w:p>
        </w:tc>
        <w:trPr>
          <w:tblHeader/>
        </w:trPr>
      </w:tr>
    </w:tbl>
    <w:p/>
    <w:p>
      <w:pPr>
        <w:pStyle w:val="Heading2"/>
      </w:pPr>
      <w:r>
        <w:t>9.1 Administration navigation</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Area</w:t>
            </w:r>
          </w:p>
        </w:tc>
        <w:tc>
          <w:tcPr>
            <w:tcW w:type="dxa" w:w="5227"/>
            <w:shd w:fill="2F5D8C"/>
            <w:vAlign w:val="center"/>
          </w:tcPr>
          <w:p>
            <w:pPr>
              <w:spacing w:after="0"/>
            </w:pPr>
            <w:r/>
            <w:r>
              <w:rPr>
                <w:rFonts w:ascii="Aptos" w:hAnsi="Aptos"/>
                <w:b/>
                <w:color w:val="FFFFFF"/>
                <w:sz w:val="17"/>
              </w:rPr>
              <w:t>V1 intent</w:t>
            </w:r>
          </w:p>
        </w:tc>
        <w:trPr>
          <w:tblHeader/>
        </w:trPr>
      </w:tr>
      <w:tr>
        <w:tc>
          <w:tcPr>
            <w:tcW w:type="dxa" w:w="5227"/>
            <w:vAlign w:val="center"/>
            <w:shd w:fill="F2F4F7"/>
          </w:tcPr>
          <w:p>
            <w:pPr>
              <w:spacing w:after="0"/>
            </w:pPr>
            <w:r/>
            <w:r>
              <w:rPr>
                <w:rFonts w:ascii="Aptos" w:hAnsi="Aptos"/>
                <w:b w:val="0"/>
                <w:sz w:val="16"/>
              </w:rPr>
              <w:t>Overview</w:t>
            </w:r>
          </w:p>
        </w:tc>
        <w:tc>
          <w:tcPr>
            <w:tcW w:type="dxa" w:w="5227"/>
            <w:vAlign w:val="center"/>
          </w:tcPr>
          <w:p>
            <w:pPr>
              <w:spacing w:after="0"/>
            </w:pPr>
            <w:r/>
            <w:r>
              <w:rPr>
                <w:rFonts w:ascii="Aptos" w:hAnsi="Aptos"/>
                <w:b w:val="0"/>
                <w:sz w:val="16"/>
              </w:rPr>
              <w:t>Functional: active release, runtime health, latest release gates, recent publication activity</w:t>
            </w:r>
          </w:p>
        </w:tc>
      </w:tr>
      <w:tr>
        <w:tc>
          <w:tcPr>
            <w:tcW w:type="dxa" w:w="5227"/>
            <w:vAlign w:val="center"/>
            <w:shd w:fill="F2F4F7"/>
          </w:tcPr>
          <w:p>
            <w:pPr>
              <w:spacing w:after="0"/>
            </w:pPr>
            <w:r/>
            <w:r>
              <w:rPr>
                <w:rFonts w:ascii="Aptos" w:hAnsi="Aptos"/>
                <w:b w:val="0"/>
                <w:sz w:val="16"/>
              </w:rPr>
              <w:t>Repository → Prepare / Edit</w:t>
            </w:r>
          </w:p>
        </w:tc>
        <w:tc>
          <w:tcPr>
            <w:tcW w:type="dxa" w:w="5227"/>
            <w:vAlign w:val="center"/>
          </w:tcPr>
          <w:p>
            <w:pPr>
              <w:spacing w:after="0"/>
            </w:pPr>
            <w:r/>
            <w:r>
              <w:rPr>
                <w:rFonts w:ascii="Aptos" w:hAnsi="Aptos"/>
                <w:b w:val="0"/>
                <w:sz w:val="16"/>
              </w:rPr>
              <w:t>Mostly static/read-only prototype in V1; demonstrates Add/Edit/Deprecate/Change Set workflow</w:t>
            </w:r>
          </w:p>
        </w:tc>
      </w:tr>
      <w:tr>
        <w:tc>
          <w:tcPr>
            <w:tcW w:type="dxa" w:w="5227"/>
            <w:vAlign w:val="center"/>
            <w:shd w:fill="F2F4F7"/>
          </w:tcPr>
          <w:p>
            <w:pPr>
              <w:spacing w:after="0"/>
            </w:pPr>
            <w:r/>
            <w:r>
              <w:rPr>
                <w:rFonts w:ascii="Aptos" w:hAnsi="Aptos"/>
                <w:b w:val="0"/>
                <w:sz w:val="16"/>
              </w:rPr>
              <w:t>Repository → Publication</w:t>
            </w:r>
          </w:p>
        </w:tc>
        <w:tc>
          <w:tcPr>
            <w:tcW w:type="dxa" w:w="5227"/>
            <w:vAlign w:val="center"/>
          </w:tcPr>
          <w:p>
            <w:pPr>
              <w:spacing w:after="0"/>
            </w:pPr>
            <w:r/>
            <w:r>
              <w:rPr>
                <w:rFonts w:ascii="Aptos" w:hAnsi="Aptos"/>
                <w:b w:val="0"/>
                <w:sz w:val="16"/>
              </w:rPr>
              <w:t>Functional: upload, stage, compare, validate, build, release-gate, publish</w:t>
            </w:r>
          </w:p>
        </w:tc>
      </w:tr>
      <w:tr>
        <w:tc>
          <w:tcPr>
            <w:tcW w:type="dxa" w:w="5227"/>
            <w:vAlign w:val="center"/>
            <w:shd w:fill="F2F4F7"/>
          </w:tcPr>
          <w:p>
            <w:pPr>
              <w:spacing w:after="0"/>
            </w:pPr>
            <w:r/>
            <w:r>
              <w:rPr>
                <w:rFonts w:ascii="Aptos" w:hAnsi="Aptos"/>
                <w:b w:val="0"/>
                <w:sz w:val="16"/>
              </w:rPr>
              <w:t>Validation &amp; Benchmark</w:t>
            </w:r>
          </w:p>
        </w:tc>
        <w:tc>
          <w:tcPr>
            <w:tcW w:type="dxa" w:w="5227"/>
            <w:vAlign w:val="center"/>
          </w:tcPr>
          <w:p>
            <w:pPr>
              <w:spacing w:after="0"/>
            </w:pPr>
            <w:r/>
            <w:r>
              <w:rPr>
                <w:rFonts w:ascii="Aptos" w:hAnsi="Aptos"/>
                <w:b w:val="0"/>
                <w:sz w:val="16"/>
              </w:rPr>
              <w:t>Functional: repository validation, recommendation regression, routing, Kit validation and release-gate evidence</w:t>
            </w:r>
          </w:p>
        </w:tc>
      </w:tr>
    </w:tbl>
    <w:p/>
    <w:p>
      <w:pPr>
        <w:pStyle w:val="Heading2"/>
      </w:pPr>
      <w:r>
        <w:t>9.2 Repository Preparation design</w:t>
      </w:r>
    </w:p>
    <w:p>
      <w:pPr>
        <w:pStyle w:val="ListBullet"/>
        <w:spacing w:after="24"/>
        <w:ind w:left="288" w:hanging="173"/>
      </w:pPr>
      <w:r>
        <w:rPr>
          <w:rFonts w:ascii="Aptos" w:hAnsi="Aptos"/>
          <w:sz w:val="18"/>
        </w:rPr>
        <w:t>UI authoring and Excel authoring are two preparation channels feeding the same governed release pipeline.</w:t>
      </w:r>
    </w:p>
    <w:p>
      <w:pPr>
        <w:pStyle w:val="ListBullet"/>
        <w:spacing w:after="24"/>
        <w:ind w:left="288" w:hanging="173"/>
      </w:pPr>
      <w:r>
        <w:rPr>
          <w:rFonts w:ascii="Aptos" w:hAnsi="Aptos"/>
          <w:sz w:val="18"/>
        </w:rPr>
        <w:t>Future functional preparation workflow: Add curriculum content; Edit existing content; Deprecate; Manage draft change sets.</w:t>
      </w:r>
    </w:p>
    <w:p>
      <w:pPr>
        <w:pStyle w:val="ListBullet"/>
        <w:spacing w:after="24"/>
        <w:ind w:left="288" w:hanging="173"/>
      </w:pPr>
      <w:r>
        <w:rPr>
          <w:rFonts w:ascii="Aptos" w:hAnsi="Aptos"/>
          <w:sz w:val="18"/>
        </w:rPr>
        <w:t>Adding a Course should guide Course → Modules → Subtopics → semantic preparation → relationship/constraint review → readiness review.</w:t>
      </w:r>
    </w:p>
    <w:p>
      <w:pPr>
        <w:pStyle w:val="ListBullet"/>
        <w:spacing w:after="24"/>
        <w:ind w:left="288" w:hanging="173"/>
      </w:pPr>
      <w:r>
        <w:rPr>
          <w:rFonts w:ascii="Aptos" w:hAnsi="Aptos"/>
          <w:sz w:val="18"/>
        </w:rPr>
        <w:t>Do not auto-create KCR/KPR/KFR for every new Subtopic. Search and reuse existing entities first; create a draft candidate only when no suitable entity exists.</w:t>
      </w:r>
    </w:p>
    <w:p>
      <w:pPr>
        <w:pStyle w:val="ListBullet"/>
        <w:spacing w:after="24"/>
        <w:ind w:left="288" w:hanging="173"/>
      </w:pPr>
      <w:r>
        <w:rPr>
          <w:rFonts w:ascii="Aptos" w:hAnsi="Aptos"/>
          <w:sz w:val="18"/>
        </w:rPr>
        <w:t>Recommendation readiness is separate from curriculum-record completeness. A Course can be structurally valid while some Subtopics remain semantically unready.</w:t>
      </w:r>
    </w:p>
    <w:p>
      <w:pPr>
        <w:pStyle w:val="ListBullet"/>
        <w:spacing w:after="24"/>
        <w:ind w:left="288" w:hanging="173"/>
      </w:pPr>
      <w:r>
        <w:rPr>
          <w:rFonts w:ascii="Aptos" w:hAnsi="Aptos"/>
          <w:sz w:val="18"/>
        </w:rPr>
        <w:t>Editing existing published content creates a draft copy/change; Save Draft never modifies active canonical data.</w:t>
      </w:r>
    </w:p>
    <w:p>
      <w:pPr>
        <w:pStyle w:val="ListBullet"/>
        <w:spacing w:after="24"/>
        <w:ind w:left="288" w:hanging="173"/>
      </w:pPr>
      <w:r>
        <w:rPr>
          <w:rFonts w:ascii="Aptos" w:hAnsi="Aptos"/>
          <w:sz w:val="18"/>
        </w:rPr>
        <w:t>Stable IDs survive ordinary edits. Material semantic replacement should be handled through deprecation/supersession rather than silently changing identity.</w:t>
      </w:r>
    </w:p>
    <w:p>
      <w:pPr>
        <w:pStyle w:val="ListBullet"/>
        <w:spacing w:after="24"/>
        <w:ind w:left="288" w:hanging="173"/>
      </w:pPr>
      <w:r>
        <w:rPr>
          <w:rFonts w:ascii="Aptos" w:hAnsi="Aptos"/>
          <w:sz w:val="18"/>
        </w:rPr>
        <w:t>Prefer deprecation over physical deletion for published canonical records.</w:t>
      </w:r>
    </w:p>
    <w:p>
      <w:pPr>
        <w:pStyle w:val="ListBullet"/>
        <w:spacing w:after="24"/>
        <w:ind w:left="288" w:hanging="173"/>
      </w:pPr>
      <w:r>
        <w:rPr>
          <w:rFonts w:ascii="Aptos" w:hAnsi="Aptos"/>
          <w:sz w:val="18"/>
        </w:rPr>
        <w:t>Relationship editing is governed by allowed relationship types; no arbitrary edge creation.</w:t>
      </w:r>
    </w:p>
    <w:p>
      <w:pPr>
        <w:pStyle w:val="ListBullet"/>
        <w:spacing w:after="24"/>
        <w:ind w:left="288" w:hanging="173"/>
      </w:pPr>
      <w:r>
        <w:rPr>
          <w:rFonts w:ascii="Aptos" w:hAnsi="Aptos"/>
          <w:sz w:val="18"/>
        </w:rPr>
        <w:t>High-impact edits must show dependency/impact review and determine which release gates become mandatory.</w:t>
      </w:r>
    </w:p>
    <w:p>
      <w:pPr>
        <w:pStyle w:val="Heading2"/>
      </w:pPr>
      <w:r>
        <w:t>9.3 Repository Publication model</w:t>
      </w:r>
    </w:p>
    <w:tbl>
      <w:tblPr>
        <w:tblW w:type="auto" w:w="0"/>
        <w:jc w:val="center"/>
        <w:tblLook w:firstColumn="1" w:firstRow="1" w:lastColumn="0" w:lastRow="0" w:noHBand="0" w:noVBand="1" w:val="04A0"/>
      </w:tblPr>
      <w:tblGrid>
        <w:gridCol w:w="10454"/>
      </w:tblGrid>
      <w:tr>
        <w:tc>
          <w:tcPr>
            <w:tcW w:type="dxa" w:w="10454"/>
            <w:shd w:fill="F2F4F7"/>
            <w:tcBorders>
              <w:top w:val="single" w:sz="6" w:color="D0D5DD"/>
              <w:left w:val="single" w:sz="6" w:color="D0D5DD"/>
              <w:bottom w:val="single" w:sz="6" w:color="D0D5DD"/>
              <w:right w:val="single" w:sz="6" w:color="D0D5DD"/>
            </w:tcBorders>
          </w:tcPr>
          <w:p>
            <w:pPr>
              <w:spacing w:after="40"/>
            </w:pPr>
            <w:r>
              <w:rPr>
                <w:b/>
                <w:color w:val="244A70"/>
                <w:sz w:val="19"/>
              </w:rPr>
              <w:t>Publication invariant</w:t>
            </w:r>
          </w:p>
          <w:p>
            <w:pPr>
              <w:spacing w:after="0"/>
            </w:pPr>
            <w:r>
              <w:rPr>
                <w:color w:val="344054"/>
                <w:sz w:val="18"/>
              </w:rPr>
              <w:t>Incremental input is allowed; publication is complete, versioned and atomic. Nothing edited through the UI or uploaded as Excel changes active runtime truth directly.</w:t>
            </w:r>
          </w:p>
        </w:tc>
        <w:trPr>
          <w:tblHeader/>
        </w:trPr>
      </w:tr>
    </w:tbl>
    <w:p/>
    <w:p>
      <w:pPr>
        <w:pStyle w:val="ListNumber"/>
        <w:spacing w:after="30"/>
        <w:ind w:left="360"/>
      </w:pPr>
      <w:r>
        <w:rPr>
          <w:rFonts w:ascii="Aptos" w:hAnsi="Aptos"/>
          <w:sz w:val="18"/>
        </w:rPr>
        <w:t>Select change mode: Update selected repositories (default) or Replace complete repository release.</w:t>
      </w:r>
    </w:p>
    <w:p>
      <w:pPr>
        <w:pStyle w:val="ListNumber"/>
        <w:spacing w:after="30"/>
        <w:ind w:left="360"/>
      </w:pPr>
      <w:r>
        <w:rPr>
          <w:rFonts w:ascii="Aptos" w:hAnsi="Aptos"/>
          <w:sz w:val="18"/>
        </w:rPr>
        <w:t>Upload/stage changed registered workbooks. Uploaded files remain STAGED — NOT ACTIVE.</w:t>
      </w:r>
    </w:p>
    <w:p>
      <w:pPr>
        <w:pStyle w:val="ListNumber"/>
        <w:spacing w:after="30"/>
        <w:ind w:left="360"/>
      </w:pPr>
      <w:r>
        <w:rPr>
          <w:rFonts w:ascii="Aptos" w:hAnsi="Aptos"/>
          <w:sz w:val="18"/>
        </w:rPr>
        <w:t>Identify and compare current vs candidate: added, modified, deprecated and removed records; show dependent relationships.</w:t>
      </w:r>
    </w:p>
    <w:p>
      <w:pPr>
        <w:pStyle w:val="ListNumber"/>
        <w:spacing w:after="30"/>
        <w:ind w:left="360"/>
      </w:pPr>
      <w:r>
        <w:rPr>
          <w:rFonts w:ascii="Aptos" w:hAnsi="Aptos"/>
          <w:sz w:val="18"/>
        </w:rPr>
        <w:t>Validate candidate release: schema, controlled values, duplicate IDs, referential integrity, semantic/governance rules.</w:t>
      </w:r>
    </w:p>
    <w:p>
      <w:pPr>
        <w:pStyle w:val="ListNumber"/>
        <w:spacing w:after="30"/>
        <w:ind w:left="360"/>
      </w:pPr>
      <w:r>
        <w:rPr>
          <w:rFonts w:ascii="Aptos" w:hAnsi="Aptos"/>
          <w:sz w:val="18"/>
        </w:rPr>
        <w:t>Compile candidate runtime artifacts: tabular objects, NetworkX graph and embedding package.</w:t>
      </w:r>
    </w:p>
    <w:p>
      <w:pPr>
        <w:pStyle w:val="ListNumber"/>
        <w:spacing w:after="30"/>
        <w:ind w:left="360"/>
      </w:pPr>
      <w:r>
        <w:rPr>
          <w:rFonts w:ascii="Aptos" w:hAnsi="Aptos"/>
          <w:sz w:val="18"/>
        </w:rPr>
        <w:t>Run impact-based release gates/benchmarks required by the changed repository type.</w:t>
      </w:r>
    </w:p>
    <w:p>
      <w:pPr>
        <w:pStyle w:val="ListNumber"/>
        <w:spacing w:after="30"/>
        <w:ind w:left="360"/>
      </w:pPr>
      <w:r>
        <w:rPr>
          <w:rFonts w:ascii="Aptos" w:hAnsi="Aptos"/>
          <w:sz w:val="18"/>
        </w:rPr>
        <w:t>Review complete candidate release and explicitly Publish Release.</w:t>
      </w:r>
    </w:p>
    <w:p>
      <w:pPr>
        <w:pStyle w:val="ListNumber"/>
        <w:spacing w:after="30"/>
        <w:ind w:left="360"/>
      </w:pPr>
      <w:r>
        <w:rPr>
          <w:rFonts w:ascii="Aptos" w:hAnsi="Aptos"/>
          <w:sz w:val="18"/>
        </w:rPr>
        <w:t>Activate candidate only after runtime load/health verification; otherwise retain prior active release.</w:t>
      </w:r>
    </w:p>
    <w:p>
      <w:pPr>
        <w:pStyle w:val="Heading2"/>
      </w:pPr>
      <w:r>
        <w:t>9.4 Publication / admin states to wireframe</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State group</w:t>
            </w:r>
          </w:p>
        </w:tc>
        <w:tc>
          <w:tcPr>
            <w:tcW w:type="dxa" w:w="5227"/>
            <w:shd w:fill="2F5D8C"/>
            <w:vAlign w:val="center"/>
          </w:tcPr>
          <w:p>
            <w:pPr>
              <w:spacing w:after="0"/>
            </w:pPr>
            <w:r/>
            <w:r>
              <w:rPr>
                <w:rFonts w:ascii="Aptos" w:hAnsi="Aptos"/>
                <w:b/>
                <w:color w:val="FFFFFF"/>
                <w:sz w:val="17"/>
              </w:rPr>
              <w:t>Required states</w:t>
            </w:r>
          </w:p>
        </w:tc>
        <w:trPr>
          <w:tblHeader/>
        </w:trPr>
      </w:tr>
      <w:tr>
        <w:tc>
          <w:tcPr>
            <w:tcW w:type="dxa" w:w="5227"/>
            <w:vAlign w:val="center"/>
            <w:shd w:fill="F2F4F7"/>
          </w:tcPr>
          <w:p>
            <w:pPr>
              <w:spacing w:after="0"/>
            </w:pPr>
            <w:r/>
            <w:r>
              <w:rPr>
                <w:rFonts w:ascii="Aptos" w:hAnsi="Aptos"/>
                <w:b w:val="0"/>
                <w:sz w:val="16"/>
              </w:rPr>
              <w:t>Access</w:t>
            </w:r>
          </w:p>
        </w:tc>
        <w:tc>
          <w:tcPr>
            <w:tcW w:type="dxa" w:w="5227"/>
            <w:vAlign w:val="center"/>
          </w:tcPr>
          <w:p>
            <w:pPr>
              <w:spacing w:after="0"/>
            </w:pPr>
            <w:r/>
            <w:r>
              <w:rPr>
                <w:rFonts w:ascii="Aptos" w:hAnsi="Aptos"/>
                <w:b w:val="0"/>
                <w:sz w:val="16"/>
              </w:rPr>
              <w:t>No admin access / authorized administration</w:t>
            </w:r>
          </w:p>
        </w:tc>
      </w:tr>
      <w:tr>
        <w:tc>
          <w:tcPr>
            <w:tcW w:type="dxa" w:w="5227"/>
            <w:vAlign w:val="center"/>
            <w:shd w:fill="F2F4F7"/>
          </w:tcPr>
          <w:p>
            <w:pPr>
              <w:spacing w:after="0"/>
            </w:pPr>
            <w:r/>
            <w:r>
              <w:rPr>
                <w:rFonts w:ascii="Aptos" w:hAnsi="Aptos"/>
                <w:b w:val="0"/>
                <w:sz w:val="16"/>
              </w:rPr>
              <w:t>Staging</w:t>
            </w:r>
          </w:p>
        </w:tc>
        <w:tc>
          <w:tcPr>
            <w:tcW w:type="dxa" w:w="5227"/>
            <w:vAlign w:val="center"/>
          </w:tcPr>
          <w:p>
            <w:pPr>
              <w:spacing w:after="0"/>
            </w:pPr>
            <w:r/>
            <w:r>
              <w:rPr>
                <w:rFonts w:ascii="Aptos" w:hAnsi="Aptos"/>
                <w:b w:val="0"/>
                <w:sz w:val="16"/>
              </w:rPr>
              <w:t>No candidate / upload in progress / file rejected / candidate staged</w:t>
            </w:r>
          </w:p>
        </w:tc>
      </w:tr>
      <w:tr>
        <w:tc>
          <w:tcPr>
            <w:tcW w:type="dxa" w:w="5227"/>
            <w:vAlign w:val="center"/>
            <w:shd w:fill="F2F4F7"/>
          </w:tcPr>
          <w:p>
            <w:pPr>
              <w:spacing w:after="0"/>
            </w:pPr>
            <w:r/>
            <w:r>
              <w:rPr>
                <w:rFonts w:ascii="Aptos" w:hAnsi="Aptos"/>
                <w:b w:val="0"/>
                <w:sz w:val="16"/>
              </w:rPr>
              <w:t>Change review</w:t>
            </w:r>
          </w:p>
        </w:tc>
        <w:tc>
          <w:tcPr>
            <w:tcW w:type="dxa" w:w="5227"/>
            <w:vAlign w:val="center"/>
          </w:tcPr>
          <w:p>
            <w:pPr>
              <w:spacing w:after="0"/>
            </w:pPr>
            <w:r/>
            <w:r>
              <w:rPr>
                <w:rFonts w:ascii="Aptos" w:hAnsi="Aptos"/>
                <w:b w:val="0"/>
                <w:sz w:val="16"/>
              </w:rPr>
              <w:t>Changes detected / impact summary / unresolved destructive change</w:t>
            </w:r>
          </w:p>
        </w:tc>
      </w:tr>
      <w:tr>
        <w:tc>
          <w:tcPr>
            <w:tcW w:type="dxa" w:w="5227"/>
            <w:vAlign w:val="center"/>
            <w:shd w:fill="F2F4F7"/>
          </w:tcPr>
          <w:p>
            <w:pPr>
              <w:spacing w:after="0"/>
            </w:pPr>
            <w:r/>
            <w:r>
              <w:rPr>
                <w:rFonts w:ascii="Aptos" w:hAnsi="Aptos"/>
                <w:b w:val="0"/>
                <w:sz w:val="16"/>
              </w:rPr>
              <w:t>Validation</w:t>
            </w:r>
          </w:p>
        </w:tc>
        <w:tc>
          <w:tcPr>
            <w:tcW w:type="dxa" w:w="5227"/>
            <w:vAlign w:val="center"/>
          </w:tcPr>
          <w:p>
            <w:pPr>
              <w:spacing w:after="0"/>
            </w:pPr>
            <w:r/>
            <w:r>
              <w:rPr>
                <w:rFonts w:ascii="Aptos" w:hAnsi="Aptos"/>
                <w:b w:val="0"/>
                <w:sz w:val="16"/>
              </w:rPr>
              <w:t>Running / passed / warnings / blocking errors</w:t>
            </w:r>
          </w:p>
        </w:tc>
      </w:tr>
      <w:tr>
        <w:tc>
          <w:tcPr>
            <w:tcW w:type="dxa" w:w="5227"/>
            <w:vAlign w:val="center"/>
            <w:shd w:fill="F2F4F7"/>
          </w:tcPr>
          <w:p>
            <w:pPr>
              <w:spacing w:after="0"/>
            </w:pPr>
            <w:r/>
            <w:r>
              <w:rPr>
                <w:rFonts w:ascii="Aptos" w:hAnsi="Aptos"/>
                <w:b w:val="0"/>
                <w:sz w:val="16"/>
              </w:rPr>
              <w:t>Build</w:t>
            </w:r>
          </w:p>
        </w:tc>
        <w:tc>
          <w:tcPr>
            <w:tcW w:type="dxa" w:w="5227"/>
            <w:vAlign w:val="center"/>
          </w:tcPr>
          <w:p>
            <w:pPr>
              <w:spacing w:after="0"/>
            </w:pPr>
            <w:r/>
            <w:r>
              <w:rPr>
                <w:rFonts w:ascii="Aptos" w:hAnsi="Aptos"/>
                <w:b w:val="0"/>
                <w:sz w:val="16"/>
              </w:rPr>
              <w:t>Compiling / compilation failed / compiled successfully</w:t>
            </w:r>
          </w:p>
        </w:tc>
      </w:tr>
      <w:tr>
        <w:tc>
          <w:tcPr>
            <w:tcW w:type="dxa" w:w="5227"/>
            <w:vAlign w:val="center"/>
            <w:shd w:fill="F2F4F7"/>
          </w:tcPr>
          <w:p>
            <w:pPr>
              <w:spacing w:after="0"/>
            </w:pPr>
            <w:r/>
            <w:r>
              <w:rPr>
                <w:rFonts w:ascii="Aptos" w:hAnsi="Aptos"/>
                <w:b w:val="0"/>
                <w:sz w:val="16"/>
              </w:rPr>
              <w:t>Benchmark</w:t>
            </w:r>
          </w:p>
        </w:tc>
        <w:tc>
          <w:tcPr>
            <w:tcW w:type="dxa" w:w="5227"/>
            <w:vAlign w:val="center"/>
          </w:tcPr>
          <w:p>
            <w:pPr>
              <w:spacing w:after="0"/>
            </w:pPr>
            <w:r/>
            <w:r>
              <w:rPr>
                <w:rFonts w:ascii="Aptos" w:hAnsi="Aptos"/>
                <w:b w:val="0"/>
                <w:sz w:val="16"/>
              </w:rPr>
              <w:t>Required / running / pass / regression detected</w:t>
            </w:r>
          </w:p>
        </w:tc>
      </w:tr>
      <w:tr>
        <w:tc>
          <w:tcPr>
            <w:tcW w:type="dxa" w:w="5227"/>
            <w:vAlign w:val="center"/>
            <w:shd w:fill="F2F4F7"/>
          </w:tcPr>
          <w:p>
            <w:pPr>
              <w:spacing w:after="0"/>
            </w:pPr>
            <w:r/>
            <w:r>
              <w:rPr>
                <w:rFonts w:ascii="Aptos" w:hAnsi="Aptos"/>
                <w:b w:val="0"/>
                <w:sz w:val="16"/>
              </w:rPr>
              <w:t>Publication</w:t>
            </w:r>
          </w:p>
        </w:tc>
        <w:tc>
          <w:tcPr>
            <w:tcW w:type="dxa" w:w="5227"/>
            <w:vAlign w:val="center"/>
          </w:tcPr>
          <w:p>
            <w:pPr>
              <w:spacing w:after="0"/>
            </w:pPr>
            <w:r/>
            <w:r>
              <w:rPr>
                <w:rFonts w:ascii="Aptos" w:hAnsi="Aptos"/>
                <w:b w:val="0"/>
                <w:sz w:val="16"/>
              </w:rPr>
              <w:t>Ready / confirmation / publishing / success</w:t>
            </w:r>
          </w:p>
        </w:tc>
      </w:tr>
      <w:tr>
        <w:tc>
          <w:tcPr>
            <w:tcW w:type="dxa" w:w="5227"/>
            <w:vAlign w:val="center"/>
            <w:shd w:fill="F2F4F7"/>
          </w:tcPr>
          <w:p>
            <w:pPr>
              <w:spacing w:after="0"/>
            </w:pPr>
            <w:r/>
            <w:r>
              <w:rPr>
                <w:rFonts w:ascii="Aptos" w:hAnsi="Aptos"/>
                <w:b w:val="0"/>
                <w:sz w:val="16"/>
              </w:rPr>
              <w:t>Activation</w:t>
            </w:r>
          </w:p>
        </w:tc>
        <w:tc>
          <w:tcPr>
            <w:tcW w:type="dxa" w:w="5227"/>
            <w:vAlign w:val="center"/>
          </w:tcPr>
          <w:p>
            <w:pPr>
              <w:spacing w:after="0"/>
            </w:pPr>
            <w:r/>
            <w:r>
              <w:rPr>
                <w:rFonts w:ascii="Aptos" w:hAnsi="Aptos"/>
                <w:b w:val="0"/>
                <w:sz w:val="16"/>
              </w:rPr>
              <w:t>Activation failed; previous active release retained</w:t>
            </w:r>
          </w:p>
        </w:tc>
      </w:tr>
      <w:tr>
        <w:tc>
          <w:tcPr>
            <w:tcW w:type="dxa" w:w="5227"/>
            <w:vAlign w:val="center"/>
            <w:shd w:fill="F2F4F7"/>
          </w:tcPr>
          <w:p>
            <w:pPr>
              <w:spacing w:after="0"/>
            </w:pPr>
            <w:r/>
            <w:r>
              <w:rPr>
                <w:rFonts w:ascii="Aptos" w:hAnsi="Aptos"/>
                <w:b w:val="0"/>
                <w:sz w:val="16"/>
              </w:rPr>
              <w:t>Recovery</w:t>
            </w:r>
          </w:p>
        </w:tc>
        <w:tc>
          <w:tcPr>
            <w:tcW w:type="dxa" w:w="5227"/>
            <w:vAlign w:val="center"/>
          </w:tcPr>
          <w:p>
            <w:pPr>
              <w:spacing w:after="0"/>
            </w:pPr>
            <w:r/>
            <w:r>
              <w:rPr>
                <w:rFonts w:ascii="Aptos" w:hAnsi="Aptos"/>
                <w:b w:val="0"/>
                <w:sz w:val="16"/>
              </w:rPr>
              <w:t>Restore/rollback confirmation; history available</w:t>
            </w:r>
          </w:p>
        </w:tc>
      </w:tr>
      <w:tr>
        <w:tc>
          <w:tcPr>
            <w:tcW w:type="dxa" w:w="5227"/>
            <w:vAlign w:val="center"/>
            <w:shd w:fill="F2F4F7"/>
          </w:tcPr>
          <w:p>
            <w:pPr>
              <w:spacing w:after="0"/>
            </w:pPr>
            <w:r/>
            <w:r>
              <w:rPr>
                <w:rFonts w:ascii="Aptos" w:hAnsi="Aptos"/>
                <w:b w:val="0"/>
                <w:sz w:val="16"/>
              </w:rPr>
              <w:t>Empty/history</w:t>
            </w:r>
          </w:p>
        </w:tc>
        <w:tc>
          <w:tcPr>
            <w:tcW w:type="dxa" w:w="5227"/>
            <w:vAlign w:val="center"/>
          </w:tcPr>
          <w:p>
            <w:pPr>
              <w:spacing w:after="0"/>
            </w:pPr>
            <w:r/>
            <w:r>
              <w:rPr>
                <w:rFonts w:ascii="Aptos" w:hAnsi="Aptos"/>
                <w:b w:val="0"/>
                <w:sz w:val="16"/>
              </w:rPr>
              <w:t>No validation history / no publication activity</w:t>
            </w:r>
          </w:p>
        </w:tc>
      </w:tr>
    </w:tbl>
    <w:p/>
    <w:p>
      <w:pPr>
        <w:pStyle w:val="Heading1"/>
      </w:pPr>
      <w:r>
        <w:t>10. Group D — Knowledge Graph Explorer redesign</w:t>
      </w:r>
    </w:p>
    <w:tbl>
      <w:tblPr>
        <w:tblW w:type="auto" w:w="0"/>
        <w:jc w:val="center"/>
        <w:tblLook w:firstColumn="1" w:firstRow="1" w:lastColumn="0" w:lastRow="0" w:noHBand="0" w:noVBand="1" w:val="04A0"/>
      </w:tblPr>
      <w:tblGrid>
        <w:gridCol w:w="10454"/>
      </w:tblGrid>
      <w:tr>
        <w:tc>
          <w:tcPr>
            <w:tcW w:type="dxa" w:w="10454"/>
            <w:shd w:fill="F2F4F7"/>
            <w:tcBorders>
              <w:top w:val="single" w:sz="6" w:color="D0D5DD"/>
              <w:left w:val="single" w:sz="6" w:color="D0D5DD"/>
              <w:bottom w:val="single" w:sz="6" w:color="D0D5DD"/>
              <w:right w:val="single" w:sz="6" w:color="D0D5DD"/>
            </w:tcBorders>
          </w:tcPr>
          <w:p>
            <w:pPr>
              <w:spacing w:after="40"/>
            </w:pPr>
            <w:r>
              <w:rPr>
                <w:b/>
                <w:color w:val="244A70"/>
                <w:sz w:val="19"/>
              </w:rPr>
              <w:t>Current status</w:t>
            </w:r>
          </w:p>
          <w:p>
            <w:pPr>
              <w:spacing w:after="0"/>
            </w:pPr>
            <w:r>
              <w:rPr>
                <w:color w:val="344054"/>
                <w:sz w:val="18"/>
              </w:rPr>
              <w:t>The earlier Group D KG wireframe direction was rejected by the user as too weak/generic. Do not polish that version. Redesign the KG Explorer from first principles while preserving the frozen functional requirements.</w:t>
            </w:r>
          </w:p>
        </w:tc>
        <w:trPr>
          <w:tblHeader/>
        </w:trPr>
      </w:tr>
    </w:tbl>
    <w:p/>
    <w:p>
      <w:pPr>
        <w:pStyle w:val="Heading2"/>
      </w:pPr>
      <w:r>
        <w:t>10.1 User's preferred visual/interaction reference</w:t>
      </w:r>
    </w:p>
    <w:p>
      <w:pPr>
        <w:pStyle w:val="HandoffNote"/>
      </w:pPr>
      <w:r>
        <w:t>Reference 1 — user's existing mockup/demo: https://github.com/raghuns-nit/arcmodel.io  (course_examples.html / Knowledge Graph Instances)</w:t>
      </w:r>
    </w:p>
    <w:p>
      <w:pPr>
        <w:pStyle w:val="HandoffNote"/>
      </w:pPr>
      <w:r>
        <w:t>Reference 2 — Our World in Data ETL compute graph design: https://docs.owid.io/projects/etl/architecture/design/compute-graph/</w:t>
      </w:r>
    </w:p>
    <w:p>
      <w:r>
        <w:drawing>
          <wp:inline xmlns:a="http://schemas.openxmlformats.org/drawingml/2006/main" xmlns:pic="http://schemas.openxmlformats.org/drawingml/2006/picture">
            <wp:extent cx="6400800" cy="3658145"/>
            <wp:docPr id="1" name="Picture 1" descr="Image: image1.png"/>
            <wp:cNvGraphicFramePr>
              <a:graphicFrameLocks noChangeAspect="1"/>
            </wp:cNvGraphicFramePr>
            <a:graphic>
              <a:graphicData uri="http://schemas.openxmlformats.org/drawingml/2006/picture">
                <pic:pic>
                  <pic:nvPicPr>
                    <pic:cNvPr id="0" name="b02ac702-f24e-4769-a8f6-9abcb904d6de.png"/>
                    <pic:cNvPicPr/>
                  </pic:nvPicPr>
                  <pic:blipFill>
                    <a:blip r:embed="rId11"/>
                    <a:stretch>
                      <a:fillRect/>
                    </a:stretch>
                  </pic:blipFill>
                  <pic:spPr>
                    <a:xfrm>
                      <a:off x="0" y="0"/>
                      <a:ext cx="6400800" cy="3658145"/>
                    </a:xfrm>
                    <a:prstGeom prst="rect"/>
                  </pic:spPr>
                </pic:pic>
              </a:graphicData>
            </a:graphic>
          </wp:inline>
        </w:drawing>
      </w:r>
    </w:p>
    <w:p>
      <w:pPr>
        <w:jc w:val="center"/>
      </w:pPr>
      <w:r>
        <w:rPr>
          <w:i/>
          <w:sz w:val="17"/>
        </w:rPr>
        <w:t>Figure H1. User-provided arcmodel.io Knowledge Graph Instances mockup — full graph canvas, top controls, view toggle and floating node-class legend.</w:t>
      </w:r>
    </w:p>
    <w:p>
      <w:r>
        <w:drawing>
          <wp:inline xmlns:a="http://schemas.openxmlformats.org/drawingml/2006/main" xmlns:pic="http://schemas.openxmlformats.org/drawingml/2006/picture">
            <wp:extent cx="5852160" cy="3851729"/>
            <wp:docPr id="2" name="Picture 2" descr="Image: image2.png"/>
            <wp:cNvGraphicFramePr>
              <a:graphicFrameLocks noChangeAspect="1"/>
            </wp:cNvGraphicFramePr>
            <a:graphic>
              <a:graphicData uri="http://schemas.openxmlformats.org/drawingml/2006/picture">
                <pic:pic>
                  <pic:nvPicPr>
                    <pic:cNvPr id="0" name="532031fe-2eca-4523-a363-2d23aa05cc23.png"/>
                    <pic:cNvPicPr/>
                  </pic:nvPicPr>
                  <pic:blipFill>
                    <a:blip r:embed="rId12"/>
                    <a:stretch>
                      <a:fillRect/>
                    </a:stretch>
                  </pic:blipFill>
                  <pic:spPr>
                    <a:xfrm>
                      <a:off x="0" y="0"/>
                      <a:ext cx="5852160" cy="3851729"/>
                    </a:xfrm>
                    <a:prstGeom prst="rect"/>
                  </pic:spPr>
                </pic:pic>
              </a:graphicData>
            </a:graphic>
          </wp:inline>
        </w:drawing>
      </w:r>
    </w:p>
    <w:p>
      <w:pPr>
        <w:jc w:val="center"/>
      </w:pPr>
      <w:r>
        <w:rPr>
          <w:i/>
          <w:sz w:val="17"/>
        </w:rPr>
        <w:t>Figure H2. User-provided close view — readable node labels, typed edge labels and directional arrows.</w:t>
      </w:r>
    </w:p>
    <w:p>
      <w:r>
        <w:br w:type="page"/>
      </w:r>
    </w:p>
    <w:p>
      <w:pPr>
        <w:pStyle w:val="Heading2"/>
      </w:pPr>
      <w:r>
        <w:t>10.2 What the redesigned KG Explorer must achieve</w:t>
      </w:r>
    </w:p>
    <w:p>
      <w:pPr>
        <w:pStyle w:val="ListBullet"/>
        <w:spacing w:after="24"/>
        <w:ind w:left="288" w:hanging="173"/>
      </w:pPr>
      <w:r>
        <w:rPr>
          <w:rFonts w:ascii="Aptos" w:hAnsi="Aptos"/>
          <w:sz w:val="18"/>
        </w:rPr>
        <w:t>It is a genuine graph-exploration surface, not a card dashboard with a small graph rectangle.</w:t>
      </w:r>
    </w:p>
    <w:p>
      <w:pPr>
        <w:pStyle w:val="ListBullet"/>
        <w:spacing w:after="24"/>
        <w:ind w:left="288" w:hanging="173"/>
      </w:pPr>
      <w:r>
        <w:rPr>
          <w:rFonts w:ascii="Aptos" w:hAnsi="Aptos"/>
          <w:sz w:val="18"/>
        </w:rPr>
        <w:t>Large, high-priority graph canvas dominates the page.</w:t>
      </w:r>
    </w:p>
    <w:p>
      <w:pPr>
        <w:pStyle w:val="ListBullet"/>
        <w:spacing w:after="24"/>
        <w:ind w:left="288" w:hanging="173"/>
      </w:pPr>
      <w:r>
        <w:rPr>
          <w:rFonts w:ascii="Aptos" w:hAnsi="Aptos"/>
          <w:sz w:val="18"/>
        </w:rPr>
        <w:t>Full governed KG remains explorable. Filtering/clustering/focus are display strategies, not architectural restrictions.</w:t>
      </w:r>
    </w:p>
    <w:p>
      <w:pPr>
        <w:pStyle w:val="ListBullet"/>
        <w:spacing w:after="24"/>
        <w:ind w:left="288" w:hanging="173"/>
      </w:pPr>
      <w:r>
        <w:rPr>
          <w:rFonts w:ascii="Aptos" w:hAnsi="Aptos"/>
          <w:sz w:val="18"/>
        </w:rPr>
        <w:t>Search any registered entity by readable text; entity types include Course, Module, Subtopic, KCR, KPR, KFR, Application Context, SCR, Guardrail and relevant framework/pedagogy entities where appropriate.</w:t>
      </w:r>
    </w:p>
    <w:p>
      <w:pPr>
        <w:pStyle w:val="ListBullet"/>
        <w:spacing w:after="24"/>
        <w:ind w:left="288" w:hanging="173"/>
      </w:pPr>
      <w:r>
        <w:rPr>
          <w:rFonts w:ascii="Aptos" w:hAnsi="Aptos"/>
          <w:sz w:val="18"/>
        </w:rPr>
        <w:t>Node-class legend must be immediately legible and visually connected to the graph. Use restrained class colors; color is not the sole identifier.</w:t>
      </w:r>
    </w:p>
    <w:p>
      <w:pPr>
        <w:pStyle w:val="ListBullet"/>
        <w:spacing w:after="24"/>
        <w:ind w:left="288" w:hanging="173"/>
      </w:pPr>
      <w:r>
        <w:rPr>
          <w:rFonts w:ascii="Aptos" w:hAnsi="Aptos"/>
          <w:sz w:val="18"/>
        </w:rPr>
        <w:t>Typed relationships are visible with direction and readable labels. Relationship inspection must explain semantics without implying recommendation eligibility.</w:t>
      </w:r>
    </w:p>
    <w:p>
      <w:pPr>
        <w:pStyle w:val="ListBullet"/>
        <w:spacing w:after="24"/>
        <w:ind w:left="288" w:hanging="173"/>
      </w:pPr>
      <w:r>
        <w:rPr>
          <w:rFonts w:ascii="Aptos" w:hAnsi="Aptos"/>
          <w:sz w:val="18"/>
        </w:rPr>
        <w:t>Selecting a node opens an inspector with authoritative label, type, definition/description, status and incoming/outgoing relationships.</w:t>
      </w:r>
    </w:p>
    <w:p>
      <w:pPr>
        <w:pStyle w:val="ListBullet"/>
        <w:spacing w:after="24"/>
        <w:ind w:left="288" w:hanging="173"/>
      </w:pPr>
      <w:r>
        <w:rPr>
          <w:rFonts w:ascii="Aptos" w:hAnsi="Aptos"/>
          <w:sz w:val="18"/>
        </w:rPr>
        <w:t>Support expand/collapse or neighbourhood focus, incoming/outgoing traversal, path exploration, fit-to-view, reset-to-complete-graph and back-to-previous-focus.</w:t>
      </w:r>
    </w:p>
    <w:p>
      <w:pPr>
        <w:pStyle w:val="ListBullet"/>
        <w:spacing w:after="24"/>
        <w:ind w:left="288" w:hanging="173"/>
      </w:pPr>
      <w:r>
        <w:rPr>
          <w:rFonts w:ascii="Aptos" w:hAnsi="Aptos"/>
          <w:sz w:val="18"/>
        </w:rPr>
        <w:t>Offer Visual Graph View and Tabular Data View; the tabular view is not a separate data model, just another representation of the same governed graph.</w:t>
      </w:r>
    </w:p>
    <w:p>
      <w:pPr>
        <w:pStyle w:val="ListBullet"/>
        <w:spacing w:after="24"/>
        <w:ind w:left="288" w:hanging="173"/>
      </w:pPr>
      <w:r>
        <w:rPr>
          <w:rFonts w:ascii="Aptos" w:hAnsi="Aptos"/>
          <w:sz w:val="18"/>
        </w:rPr>
        <w:t>Avoid an initial 9,000-node hairball. A complete graph is available, but the initial rendering can use meaningful clustering/level-of-detail and explicit 'complete graph / focused graph' state.</w:t>
      </w:r>
    </w:p>
    <w:p>
      <w:pPr>
        <w:pStyle w:val="ListBullet"/>
        <w:spacing w:after="24"/>
        <w:ind w:left="288" w:hanging="173"/>
      </w:pPr>
      <w:r>
        <w:rPr>
          <w:rFonts w:ascii="Aptos" w:hAnsi="Aptos"/>
          <w:sz w:val="18"/>
        </w:rPr>
        <w:t>Desktop/laptop is the reference layout. On smaller screens, preserve textual entity/relationship inspection even if advanced graph manipulation is reduced.</w:t>
      </w:r>
    </w:p>
    <w:p>
      <w:pPr>
        <w:pStyle w:val="ListBullet"/>
        <w:spacing w:after="24"/>
        <w:ind w:left="288" w:hanging="173"/>
      </w:pPr>
      <w:r>
        <w:rPr>
          <w:rFonts w:ascii="Aptos" w:hAnsi="Aptos"/>
          <w:sz w:val="18"/>
        </w:rPr>
        <w:t>Technology target remains Cytoscape.js inside Streamlit, behind the registered component boundary.</w:t>
      </w:r>
    </w:p>
    <w:p>
      <w:pPr>
        <w:pStyle w:val="Heading2"/>
      </w:pPr>
      <w:r>
        <w:t>10.3 Visual direction to adopt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Element</w:t>
            </w:r>
          </w:p>
        </w:tc>
        <w:tc>
          <w:tcPr>
            <w:tcW w:type="dxa" w:w="5227"/>
            <w:shd w:fill="2F5D8C"/>
            <w:vAlign w:val="center"/>
          </w:tcPr>
          <w:p>
            <w:pPr>
              <w:spacing w:after="0"/>
            </w:pPr>
            <w:r/>
            <w:r>
              <w:rPr>
                <w:rFonts w:ascii="Aptos" w:hAnsi="Aptos"/>
                <w:b/>
                <w:color w:val="FFFFFF"/>
                <w:sz w:val="17"/>
              </w:rPr>
              <w:t>Direction</w:t>
            </w:r>
          </w:p>
        </w:tc>
        <w:trPr>
          <w:tblHeader/>
        </w:trPr>
      </w:tr>
      <w:tr>
        <w:tc>
          <w:tcPr>
            <w:tcW w:type="dxa" w:w="5227"/>
            <w:vAlign w:val="center"/>
            <w:shd w:fill="F2F4F7"/>
          </w:tcPr>
          <w:p>
            <w:pPr>
              <w:spacing w:after="0"/>
            </w:pPr>
            <w:r/>
            <w:r>
              <w:rPr>
                <w:rFonts w:ascii="Aptos" w:hAnsi="Aptos"/>
                <w:b w:val="0"/>
                <w:sz w:val="16"/>
              </w:rPr>
              <w:t>Canvas</w:t>
            </w:r>
          </w:p>
        </w:tc>
        <w:tc>
          <w:tcPr>
            <w:tcW w:type="dxa" w:w="5227"/>
            <w:vAlign w:val="center"/>
          </w:tcPr>
          <w:p>
            <w:pPr>
              <w:spacing w:after="0"/>
            </w:pPr>
            <w:r/>
            <w:r>
              <w:rPr>
                <w:rFonts w:ascii="Aptos" w:hAnsi="Aptos"/>
                <w:b w:val="0"/>
                <w:sz w:val="16"/>
              </w:rPr>
              <w:t>Near-full-width / near-full-height analytical canvas; graph is the product focus</w:t>
            </w:r>
          </w:p>
        </w:tc>
      </w:tr>
      <w:tr>
        <w:tc>
          <w:tcPr>
            <w:tcW w:type="dxa" w:w="5227"/>
            <w:vAlign w:val="center"/>
            <w:shd w:fill="F2F4F7"/>
          </w:tcPr>
          <w:p>
            <w:pPr>
              <w:spacing w:after="0"/>
            </w:pPr>
            <w:r/>
            <w:r>
              <w:rPr>
                <w:rFonts w:ascii="Aptos" w:hAnsi="Aptos"/>
                <w:b w:val="0"/>
                <w:sz w:val="16"/>
              </w:rPr>
              <w:t>Top bar</w:t>
            </w:r>
          </w:p>
        </w:tc>
        <w:tc>
          <w:tcPr>
            <w:tcW w:type="dxa" w:w="5227"/>
            <w:vAlign w:val="center"/>
          </w:tcPr>
          <w:p>
            <w:pPr>
              <w:spacing w:after="0"/>
            </w:pPr>
            <w:r/>
            <w:r>
              <w:rPr>
                <w:rFonts w:ascii="Aptos" w:hAnsi="Aptos"/>
                <w:b w:val="0"/>
                <w:sz w:val="16"/>
              </w:rPr>
              <w:t>Compact global navigation, not a dashboard ribbon</w:t>
            </w:r>
          </w:p>
        </w:tc>
      </w:tr>
      <w:tr>
        <w:tc>
          <w:tcPr>
            <w:tcW w:type="dxa" w:w="5227"/>
            <w:vAlign w:val="center"/>
            <w:shd w:fill="F2F4F7"/>
          </w:tcPr>
          <w:p>
            <w:pPr>
              <w:spacing w:after="0"/>
            </w:pPr>
            <w:r/>
            <w:r>
              <w:rPr>
                <w:rFonts w:ascii="Aptos" w:hAnsi="Aptos"/>
                <w:b w:val="0"/>
                <w:sz w:val="16"/>
              </w:rPr>
              <w:t>Graph controls</w:t>
            </w:r>
          </w:p>
        </w:tc>
        <w:tc>
          <w:tcPr>
            <w:tcW w:type="dxa" w:w="5227"/>
            <w:vAlign w:val="center"/>
          </w:tcPr>
          <w:p>
            <w:pPr>
              <w:spacing w:after="0"/>
            </w:pPr>
            <w:r/>
            <w:r>
              <w:rPr>
                <w:rFonts w:ascii="Aptos" w:hAnsi="Aptos"/>
                <w:b w:val="0"/>
                <w:sz w:val="16"/>
              </w:rPr>
              <w:t>Search + entity/relationship filters + scope/focus controls in a slim control band</w:t>
            </w:r>
          </w:p>
        </w:tc>
      </w:tr>
      <w:tr>
        <w:tc>
          <w:tcPr>
            <w:tcW w:type="dxa" w:w="5227"/>
            <w:vAlign w:val="center"/>
            <w:shd w:fill="F2F4F7"/>
          </w:tcPr>
          <w:p>
            <w:pPr>
              <w:spacing w:after="0"/>
            </w:pPr>
            <w:r/>
            <w:r>
              <w:rPr>
                <w:rFonts w:ascii="Aptos" w:hAnsi="Aptos"/>
                <w:b w:val="0"/>
                <w:sz w:val="16"/>
              </w:rPr>
              <w:t>View toggle</w:t>
            </w:r>
          </w:p>
        </w:tc>
        <w:tc>
          <w:tcPr>
            <w:tcW w:type="dxa" w:w="5227"/>
            <w:vAlign w:val="center"/>
          </w:tcPr>
          <w:p>
            <w:pPr>
              <w:spacing w:after="0"/>
            </w:pPr>
            <w:r/>
            <w:r>
              <w:rPr>
                <w:rFonts w:ascii="Aptos" w:hAnsi="Aptos"/>
                <w:b w:val="0"/>
                <w:sz w:val="16"/>
              </w:rPr>
              <w:t>Visual Graph View / Tabular Data View, similar clarity to the user's mockup</w:t>
            </w:r>
          </w:p>
        </w:tc>
      </w:tr>
      <w:tr>
        <w:tc>
          <w:tcPr>
            <w:tcW w:type="dxa" w:w="5227"/>
            <w:vAlign w:val="center"/>
            <w:shd w:fill="F2F4F7"/>
          </w:tcPr>
          <w:p>
            <w:pPr>
              <w:spacing w:after="0"/>
            </w:pPr>
            <w:r/>
            <w:r>
              <w:rPr>
                <w:rFonts w:ascii="Aptos" w:hAnsi="Aptos"/>
                <w:b w:val="0"/>
                <w:sz w:val="16"/>
              </w:rPr>
              <w:t>Legend</w:t>
            </w:r>
          </w:p>
        </w:tc>
        <w:tc>
          <w:tcPr>
            <w:tcW w:type="dxa" w:w="5227"/>
            <w:vAlign w:val="center"/>
          </w:tcPr>
          <w:p>
            <w:pPr>
              <w:spacing w:after="0"/>
            </w:pPr>
            <w:r/>
            <w:r>
              <w:rPr>
                <w:rFonts w:ascii="Aptos" w:hAnsi="Aptos"/>
                <w:b w:val="0"/>
                <w:sz w:val="16"/>
              </w:rPr>
              <w:t>Floating/docked Node Classes panel; collapsible if needed</w:t>
            </w:r>
          </w:p>
        </w:tc>
      </w:tr>
      <w:tr>
        <w:tc>
          <w:tcPr>
            <w:tcW w:type="dxa" w:w="5227"/>
            <w:vAlign w:val="center"/>
            <w:shd w:fill="F2F4F7"/>
          </w:tcPr>
          <w:p>
            <w:pPr>
              <w:spacing w:after="0"/>
            </w:pPr>
            <w:r/>
            <w:r>
              <w:rPr>
                <w:rFonts w:ascii="Aptos" w:hAnsi="Aptos"/>
                <w:b w:val="0"/>
                <w:sz w:val="16"/>
              </w:rPr>
              <w:t>Inspector</w:t>
            </w:r>
          </w:p>
        </w:tc>
        <w:tc>
          <w:tcPr>
            <w:tcW w:type="dxa" w:w="5227"/>
            <w:vAlign w:val="center"/>
          </w:tcPr>
          <w:p>
            <w:pPr>
              <w:spacing w:after="0"/>
            </w:pPr>
            <w:r/>
            <w:r>
              <w:rPr>
                <w:rFonts w:ascii="Aptos" w:hAnsi="Aptos"/>
                <w:b w:val="0"/>
                <w:sz w:val="16"/>
              </w:rPr>
              <w:t>Right-side contextual drawer/panel when a node or relationship is selected</w:t>
            </w:r>
          </w:p>
        </w:tc>
      </w:tr>
      <w:tr>
        <w:tc>
          <w:tcPr>
            <w:tcW w:type="dxa" w:w="5227"/>
            <w:vAlign w:val="center"/>
            <w:shd w:fill="F2F4F7"/>
          </w:tcPr>
          <w:p>
            <w:pPr>
              <w:spacing w:after="0"/>
            </w:pPr>
            <w:r/>
            <w:r>
              <w:rPr>
                <w:rFonts w:ascii="Aptos" w:hAnsi="Aptos"/>
                <w:b w:val="0"/>
                <w:sz w:val="16"/>
              </w:rPr>
              <w:t>Edges</w:t>
            </w:r>
          </w:p>
        </w:tc>
        <w:tc>
          <w:tcPr>
            <w:tcW w:type="dxa" w:w="5227"/>
            <w:vAlign w:val="center"/>
          </w:tcPr>
          <w:p>
            <w:pPr>
              <w:spacing w:after="0"/>
            </w:pPr>
            <w:r/>
            <w:r>
              <w:rPr>
                <w:rFonts w:ascii="Aptos" w:hAnsi="Aptos"/>
                <w:b w:val="0"/>
                <w:sz w:val="16"/>
              </w:rPr>
              <w:t>Light neutral lines with arrowheads; labels readable at useful zoom</w:t>
            </w:r>
          </w:p>
        </w:tc>
      </w:tr>
      <w:tr>
        <w:tc>
          <w:tcPr>
            <w:tcW w:type="dxa" w:w="5227"/>
            <w:vAlign w:val="center"/>
            <w:shd w:fill="F2F4F7"/>
          </w:tcPr>
          <w:p>
            <w:pPr>
              <w:spacing w:after="0"/>
            </w:pPr>
            <w:r/>
            <w:r>
              <w:rPr>
                <w:rFonts w:ascii="Aptos" w:hAnsi="Aptos"/>
                <w:b w:val="0"/>
                <w:sz w:val="16"/>
              </w:rPr>
              <w:t>Nodes</w:t>
            </w:r>
          </w:p>
        </w:tc>
        <w:tc>
          <w:tcPr>
            <w:tcW w:type="dxa" w:w="5227"/>
            <w:vAlign w:val="center"/>
          </w:tcPr>
          <w:p>
            <w:pPr>
              <w:spacing w:after="0"/>
            </w:pPr>
            <w:r/>
            <w:r>
              <w:rPr>
                <w:rFonts w:ascii="Aptos" w:hAnsi="Aptos"/>
                <w:b w:val="0"/>
                <w:sz w:val="16"/>
              </w:rPr>
              <w:t>Class-aware restrained colors; label typography prioritized over decorative styling</w:t>
            </w:r>
          </w:p>
        </w:tc>
      </w:tr>
      <w:tr>
        <w:tc>
          <w:tcPr>
            <w:tcW w:type="dxa" w:w="5227"/>
            <w:vAlign w:val="center"/>
            <w:shd w:fill="F2F4F7"/>
          </w:tcPr>
          <w:p>
            <w:pPr>
              <w:spacing w:after="0"/>
            </w:pPr>
            <w:r/>
            <w:r>
              <w:rPr>
                <w:rFonts w:ascii="Aptos" w:hAnsi="Aptos"/>
                <w:b w:val="0"/>
                <w:sz w:val="16"/>
              </w:rPr>
              <w:t>Graph layout</w:t>
            </w:r>
          </w:p>
        </w:tc>
        <w:tc>
          <w:tcPr>
            <w:tcW w:type="dxa" w:w="5227"/>
            <w:vAlign w:val="center"/>
          </w:tcPr>
          <w:p>
            <w:pPr>
              <w:spacing w:after="0"/>
            </w:pPr>
            <w:r/>
            <w:r>
              <w:rPr>
                <w:rFonts w:ascii="Aptos" w:hAnsi="Aptos"/>
                <w:b w:val="0"/>
                <w:sz w:val="16"/>
              </w:rPr>
              <w:t>Stable layouts where possible; focus transitions should preserve user orientation</w:t>
            </w:r>
          </w:p>
        </w:tc>
      </w:tr>
      <w:tr>
        <w:tc>
          <w:tcPr>
            <w:tcW w:type="dxa" w:w="5227"/>
            <w:vAlign w:val="center"/>
            <w:shd w:fill="F2F4F7"/>
          </w:tcPr>
          <w:p>
            <w:pPr>
              <w:spacing w:after="0"/>
            </w:pPr>
            <w:r/>
            <w:r>
              <w:rPr>
                <w:rFonts w:ascii="Aptos" w:hAnsi="Aptos"/>
                <w:b w:val="0"/>
                <w:sz w:val="16"/>
              </w:rPr>
              <w:t>OWID influence</w:t>
            </w:r>
          </w:p>
        </w:tc>
        <w:tc>
          <w:tcPr>
            <w:tcW w:type="dxa" w:w="5227"/>
            <w:vAlign w:val="center"/>
          </w:tcPr>
          <w:p>
            <w:pPr>
              <w:spacing w:after="0"/>
            </w:pPr>
            <w:r/>
            <w:r>
              <w:rPr>
                <w:rFonts w:ascii="Aptos" w:hAnsi="Aptos"/>
                <w:b w:val="0"/>
                <w:sz w:val="16"/>
              </w:rPr>
              <w:t>Use graph structure and dependency readability, with clean whitespace and reduced UI chrome</w:t>
            </w:r>
          </w:p>
        </w:tc>
      </w:tr>
    </w:tbl>
    <w:p/>
    <w:p>
      <w:pPr>
        <w:pStyle w:val="Heading2"/>
      </w:pPr>
      <w:r>
        <w:t>10.4 What not to do</w:t>
      </w:r>
    </w:p>
    <w:p>
      <w:pPr>
        <w:pStyle w:val="ListBullet"/>
        <w:spacing w:after="24"/>
        <w:ind w:left="288" w:hanging="173"/>
      </w:pPr>
      <w:r>
        <w:rPr>
          <w:rFonts w:ascii="Aptos" w:hAnsi="Aptos"/>
          <w:sz w:val="18"/>
        </w:rPr>
        <w:t>Do not present KG Explorer as a small embedded diagram surrounded by large cards.</w:t>
      </w:r>
    </w:p>
    <w:p>
      <w:pPr>
        <w:pStyle w:val="ListBullet"/>
        <w:spacing w:after="24"/>
        <w:ind w:left="288" w:hanging="173"/>
      </w:pPr>
      <w:r>
        <w:rPr>
          <w:rFonts w:ascii="Aptos" w:hAnsi="Aptos"/>
          <w:sz w:val="18"/>
        </w:rPr>
        <w:t>Do not reduce the design to a local-neighbourhood-only explorer.</w:t>
      </w:r>
    </w:p>
    <w:p>
      <w:pPr>
        <w:pStyle w:val="ListBullet"/>
        <w:spacing w:after="24"/>
        <w:ind w:left="288" w:hanging="173"/>
      </w:pPr>
      <w:r>
        <w:rPr>
          <w:rFonts w:ascii="Aptos" w:hAnsi="Aptos"/>
          <w:sz w:val="18"/>
        </w:rPr>
        <w:t>Do not put Recommendation Core eligibility/ranking semantics into free exploration.</w:t>
      </w:r>
    </w:p>
    <w:p>
      <w:pPr>
        <w:pStyle w:val="ListBullet"/>
        <w:spacing w:after="24"/>
        <w:ind w:left="288" w:hanging="173"/>
      </w:pPr>
      <w:r>
        <w:rPr>
          <w:rFonts w:ascii="Aptos" w:hAnsi="Aptos"/>
          <w:sz w:val="18"/>
        </w:rPr>
        <w:t>Do not expose internal IDs as the primary node label.</w:t>
      </w:r>
    </w:p>
    <w:p>
      <w:pPr>
        <w:pStyle w:val="ListBullet"/>
        <w:spacing w:after="24"/>
        <w:ind w:left="288" w:hanging="173"/>
      </w:pPr>
      <w:r>
        <w:rPr>
          <w:rFonts w:ascii="Aptos" w:hAnsi="Aptos"/>
          <w:sz w:val="18"/>
        </w:rPr>
        <w:t>Do not make graph topology the only accessible representation.</w:t>
      </w:r>
    </w:p>
    <w:p>
      <w:pPr>
        <w:pStyle w:val="ListBullet"/>
        <w:spacing w:after="24"/>
        <w:ind w:left="288" w:hanging="173"/>
      </w:pPr>
      <w:r>
        <w:rPr>
          <w:rFonts w:ascii="Aptos" w:hAnsi="Aptos"/>
          <w:sz w:val="18"/>
        </w:rPr>
        <w:t>Do not use decorative gradients, excessive shadows or dashboard KPI tiles.</w:t>
      </w:r>
    </w:p>
    <w:p>
      <w:r>
        <w:br w:type="page"/>
      </w:r>
    </w:p>
    <w:p>
      <w:pPr>
        <w:pStyle w:val="Heading1"/>
      </w:pPr>
      <w:r>
        <w:t>11. Immediate next task for the new chat</w:t>
      </w:r>
    </w:p>
    <w:tbl>
      <w:tblPr>
        <w:tblW w:type="auto" w:w="0"/>
        <w:jc w:val="center"/>
        <w:tblLook w:firstColumn="1" w:firstRow="1" w:lastColumn="0" w:lastRow="0" w:noHBand="0" w:noVBand="1" w:val="04A0"/>
      </w:tblPr>
      <w:tblGrid>
        <w:gridCol w:w="10454"/>
      </w:tblGrid>
      <w:tr>
        <w:tc>
          <w:tcPr>
            <w:tcW w:type="dxa" w:w="10454"/>
            <w:shd w:fill="F2F4F7"/>
            <w:tcBorders>
              <w:top w:val="single" w:sz="6" w:color="D0D5DD"/>
              <w:left w:val="single" w:sz="6" w:color="D0D5DD"/>
              <w:bottom w:val="single" w:sz="6" w:color="D0D5DD"/>
              <w:right w:val="single" w:sz="6" w:color="D0D5DD"/>
            </w:tcBorders>
          </w:tcPr>
          <w:p>
            <w:pPr>
              <w:spacing w:after="40"/>
            </w:pPr>
            <w:r>
              <w:rPr>
                <w:b/>
                <w:color w:val="244A70"/>
                <w:sz w:val="19"/>
              </w:rPr>
              <w:t>Start here</w:t>
            </w:r>
          </w:p>
          <w:p>
            <w:pPr>
              <w:spacing w:after="0"/>
            </w:pPr>
            <w:r>
              <w:rPr>
                <w:color w:val="344054"/>
                <w:sz w:val="18"/>
              </w:rPr>
              <w:t>Do not regenerate all Group D artifacts immediately. First redesign and review the Knowledge Graph Explorer and Administration wireframe direction with the user. Once the visual/interaction direction is accepted, update the same four living SEQ-03 artifacts and create the final Group D wireframe package.</w:t>
            </w:r>
          </w:p>
        </w:tc>
        <w:trPr>
          <w:tblHeader/>
        </w:trPr>
      </w:tr>
    </w:tbl>
    <w:p/>
    <w:p>
      <w:pPr>
        <w:spacing w:after="40"/>
        <w:ind w:left="216" w:hanging="216"/>
      </w:pPr>
      <w:r>
        <w:rPr>
          <w:rFonts w:ascii="Aptos" w:hAnsi="Aptos"/>
          <w:sz w:val="18"/>
        </w:rPr>
        <w:t>1.  Review this handoff and the latest combined A+B+C artifacts.</w:t>
      </w:r>
    </w:p>
    <w:p>
      <w:pPr>
        <w:spacing w:after="40"/>
        <w:ind w:left="216" w:hanging="216"/>
      </w:pPr>
      <w:r>
        <w:rPr>
          <w:rFonts w:ascii="Aptos" w:hAnsi="Aptos"/>
          <w:sz w:val="18"/>
        </w:rPr>
        <w:t>2.  Inspect the user's arcmodel.io KG screenshots/demo and the OWID compute-graph reference.</w:t>
      </w:r>
    </w:p>
    <w:p>
      <w:pPr>
        <w:spacing w:after="40"/>
        <w:ind w:left="216" w:hanging="216"/>
      </w:pPr>
      <w:r>
        <w:rPr>
          <w:rFonts w:ascii="Aptos" w:hAnsi="Aptos"/>
          <w:sz w:val="18"/>
        </w:rPr>
        <w:t>3.  Propose a stronger Group D wireframe architecture: KG Explorer, Administration Overview, Repository Prepare/Edit (V1 static/read-only), Repository Publication, Validation &amp; Benchmark and admin exceptional states.</w:t>
      </w:r>
    </w:p>
    <w:p>
      <w:pPr>
        <w:spacing w:after="40"/>
        <w:ind w:left="216" w:hanging="216"/>
      </w:pPr>
      <w:r>
        <w:rPr>
          <w:rFonts w:ascii="Aptos" w:hAnsi="Aptos"/>
          <w:sz w:val="18"/>
        </w:rPr>
        <w:t>4.  Show the revised KG Explorer wireframe first or alongside a small coherent Group D set; prioritize graph-canvas quality over admin ornamentation.</w:t>
      </w:r>
    </w:p>
    <w:p>
      <w:pPr>
        <w:spacing w:after="40"/>
        <w:ind w:left="216" w:hanging="216"/>
      </w:pPr>
      <w:r>
        <w:rPr>
          <w:rFonts w:ascii="Aptos" w:hAnsi="Aptos"/>
          <w:sz w:val="18"/>
        </w:rPr>
        <w:t>5.  After user accepts the direction, update UI_Design_v0.1.docx, UI_Foundation_Decisions_v0.1.xlsx, UI_Data_Binding_Matrix_v0.1.xlsx and UI_Help_Content_Repository_v0.1.xlsx, preserving all A+B+C content.</w:t>
      </w:r>
    </w:p>
    <w:p>
      <w:pPr>
        <w:spacing w:after="40"/>
        <w:ind w:left="216" w:hanging="216"/>
      </w:pPr>
      <w:r>
        <w:rPr>
          <w:rFonts w:ascii="Aptos" w:hAnsi="Aptos"/>
          <w:sz w:val="18"/>
        </w:rPr>
        <w:t>6.  Post-execution review must compare Group D output against this handoff and earlier agreed requirements before declaring Group D complete.</w:t>
      </w:r>
    </w:p>
    <w:p>
      <w:pPr>
        <w:pStyle w:val="Heading1"/>
      </w:pPr>
      <w:r>
        <w:t>12. Design / implementation boundaries to preserve</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Boundary</w:t>
            </w:r>
          </w:p>
        </w:tc>
        <w:tc>
          <w:tcPr>
            <w:tcW w:type="dxa" w:w="5227"/>
            <w:shd w:fill="2F5D8C"/>
            <w:vAlign w:val="center"/>
          </w:tcPr>
          <w:p>
            <w:pPr>
              <w:spacing w:after="0"/>
            </w:pPr>
            <w:r/>
            <w:r>
              <w:rPr>
                <w:rFonts w:ascii="Aptos" w:hAnsi="Aptos"/>
                <w:b/>
                <w:color w:val="FFFFFF"/>
                <w:sz w:val="17"/>
              </w:rPr>
              <w:t>Rule</w:t>
            </w:r>
          </w:p>
        </w:tc>
        <w:trPr>
          <w:tblHeader/>
        </w:trPr>
      </w:tr>
      <w:tr>
        <w:tc>
          <w:tcPr>
            <w:tcW w:type="dxa" w:w="5227"/>
            <w:vAlign w:val="center"/>
            <w:shd w:fill="F2F4F7"/>
          </w:tcPr>
          <w:p>
            <w:pPr>
              <w:spacing w:after="0"/>
            </w:pPr>
            <w:r/>
            <w:r>
              <w:rPr>
                <w:rFonts w:ascii="Aptos" w:hAnsi="Aptos"/>
                <w:b w:val="0"/>
                <w:sz w:val="16"/>
              </w:rPr>
              <w:t>UI vs interfaces</w:t>
            </w:r>
          </w:p>
        </w:tc>
        <w:tc>
          <w:tcPr>
            <w:tcW w:type="dxa" w:w="5227"/>
            <w:vAlign w:val="center"/>
          </w:tcPr>
          <w:p>
            <w:pPr>
              <w:spacing w:after="0"/>
            </w:pPr>
            <w:r/>
            <w:r>
              <w:rPr>
                <w:rFonts w:ascii="Aptos" w:hAnsi="Aptos"/>
                <w:b w:val="0"/>
                <w:sz w:val="16"/>
              </w:rPr>
              <w:t>SEQ-03 defines fields/sources/states/behavior; exact typed request/response contracts belong to SEQ-04</w:t>
            </w:r>
          </w:p>
        </w:tc>
      </w:tr>
      <w:tr>
        <w:tc>
          <w:tcPr>
            <w:tcW w:type="dxa" w:w="5227"/>
            <w:vAlign w:val="center"/>
            <w:shd w:fill="F2F4F7"/>
          </w:tcPr>
          <w:p>
            <w:pPr>
              <w:spacing w:after="0"/>
            </w:pPr>
            <w:r/>
            <w:r>
              <w:rPr>
                <w:rFonts w:ascii="Aptos" w:hAnsi="Aptos"/>
                <w:b w:val="0"/>
                <w:sz w:val="16"/>
              </w:rPr>
              <w:t>UI vs persistence</w:t>
            </w:r>
          </w:p>
        </w:tc>
        <w:tc>
          <w:tcPr>
            <w:tcW w:type="dxa" w:w="5227"/>
            <w:vAlign w:val="center"/>
          </w:tcPr>
          <w:p>
            <w:pPr>
              <w:spacing w:after="0"/>
            </w:pPr>
            <w:r/>
            <w:r>
              <w:rPr>
                <w:rFonts w:ascii="Aptos" w:hAnsi="Aptos"/>
                <w:b w:val="0"/>
                <w:sz w:val="16"/>
              </w:rPr>
              <w:t>Logical objects may be referenced; physical DB schema belongs to SEQ-09</w:t>
            </w:r>
          </w:p>
        </w:tc>
      </w:tr>
      <w:tr>
        <w:tc>
          <w:tcPr>
            <w:tcW w:type="dxa" w:w="5227"/>
            <w:vAlign w:val="center"/>
            <w:shd w:fill="F2F4F7"/>
          </w:tcPr>
          <w:p>
            <w:pPr>
              <w:spacing w:after="0"/>
            </w:pPr>
            <w:r/>
            <w:r>
              <w:rPr>
                <w:rFonts w:ascii="Aptos" w:hAnsi="Aptos"/>
                <w:b w:val="0"/>
                <w:sz w:val="16"/>
              </w:rPr>
              <w:t>Preparation vs publication</w:t>
            </w:r>
          </w:p>
        </w:tc>
        <w:tc>
          <w:tcPr>
            <w:tcW w:type="dxa" w:w="5227"/>
            <w:vAlign w:val="center"/>
          </w:tcPr>
          <w:p>
            <w:pPr>
              <w:spacing w:after="0"/>
            </w:pPr>
            <w:r/>
            <w:r>
              <w:rPr>
                <w:rFonts w:ascii="Aptos" w:hAnsi="Aptos"/>
                <w:b w:val="0"/>
                <w:sz w:val="16"/>
              </w:rPr>
              <w:t>Preparation/editing creates draft state/change sets; only the publication pipeline can create active runtime truth</w:t>
            </w:r>
          </w:p>
        </w:tc>
      </w:tr>
      <w:tr>
        <w:tc>
          <w:tcPr>
            <w:tcW w:type="dxa" w:w="5227"/>
            <w:vAlign w:val="center"/>
            <w:shd w:fill="F2F4F7"/>
          </w:tcPr>
          <w:p>
            <w:pPr>
              <w:spacing w:after="0"/>
            </w:pPr>
            <w:r/>
            <w:r>
              <w:rPr>
                <w:rFonts w:ascii="Aptos" w:hAnsi="Aptos"/>
                <w:b w:val="0"/>
                <w:sz w:val="16"/>
              </w:rPr>
              <w:t>Explorer vs recommender</w:t>
            </w:r>
          </w:p>
        </w:tc>
        <w:tc>
          <w:tcPr>
            <w:tcW w:type="dxa" w:w="5227"/>
            <w:vAlign w:val="center"/>
          </w:tcPr>
          <w:p>
            <w:pPr>
              <w:spacing w:after="0"/>
            </w:pPr>
            <w:r/>
            <w:r>
              <w:rPr>
                <w:rFonts w:ascii="Aptos" w:hAnsi="Aptos"/>
                <w:b w:val="0"/>
                <w:sz w:val="16"/>
              </w:rPr>
              <w:t>Explorer may traverse broadly; Recommendation Core remains controlled and evidence-gated</w:t>
            </w:r>
          </w:p>
        </w:tc>
      </w:tr>
      <w:tr>
        <w:tc>
          <w:tcPr>
            <w:tcW w:type="dxa" w:w="5227"/>
            <w:vAlign w:val="center"/>
            <w:shd w:fill="F2F4F7"/>
          </w:tcPr>
          <w:p>
            <w:pPr>
              <w:spacing w:after="0"/>
            </w:pPr>
            <w:r/>
            <w:r>
              <w:rPr>
                <w:rFonts w:ascii="Aptos" w:hAnsi="Aptos"/>
                <w:b w:val="0"/>
                <w:sz w:val="16"/>
              </w:rPr>
              <w:t>Generated content vs canonical repositories</w:t>
            </w:r>
          </w:p>
        </w:tc>
        <w:tc>
          <w:tcPr>
            <w:tcW w:type="dxa" w:w="5227"/>
            <w:vAlign w:val="center"/>
          </w:tcPr>
          <w:p>
            <w:pPr>
              <w:spacing w:after="0"/>
            </w:pPr>
            <w:r/>
            <w:r>
              <w:rPr>
                <w:rFonts w:ascii="Aptos" w:hAnsi="Aptos"/>
                <w:b w:val="0"/>
                <w:sz w:val="16"/>
              </w:rPr>
              <w:t>Generated Kit text never writes back into canonical semantic/framework/pedagogy repositories</w:t>
            </w:r>
          </w:p>
        </w:tc>
      </w:tr>
      <w:tr>
        <w:tc>
          <w:tcPr>
            <w:tcW w:type="dxa" w:w="5227"/>
            <w:vAlign w:val="center"/>
            <w:shd w:fill="F2F4F7"/>
          </w:tcPr>
          <w:p>
            <w:pPr>
              <w:spacing w:after="0"/>
            </w:pPr>
            <w:r/>
            <w:r>
              <w:rPr>
                <w:rFonts w:ascii="Aptos" w:hAnsi="Aptos"/>
                <w:b w:val="0"/>
                <w:sz w:val="16"/>
              </w:rPr>
              <w:t>Help vs entity descriptions</w:t>
            </w:r>
          </w:p>
        </w:tc>
        <w:tc>
          <w:tcPr>
            <w:tcW w:type="dxa" w:w="5227"/>
            <w:vAlign w:val="center"/>
          </w:tcPr>
          <w:p>
            <w:pPr>
              <w:spacing w:after="0"/>
            </w:pPr>
            <w:r/>
            <w:r>
              <w:rPr>
                <w:rFonts w:ascii="Aptos" w:hAnsi="Aptos"/>
                <w:b w:val="0"/>
                <w:sz w:val="16"/>
              </w:rPr>
              <w:t>Static guidance from Help repository; entity descriptions from authoritative repo/KG; recommendation rationale from trace</w:t>
            </w:r>
          </w:p>
        </w:tc>
      </w:tr>
    </w:tbl>
    <w:p/>
    <w:p>
      <w:pPr>
        <w:pStyle w:val="Heading1"/>
      </w:pPr>
      <w:r>
        <w:t>13. Current implementation sequence after SEQ-03</w:t>
      </w:r>
    </w:p>
    <w:p>
      <w:pPr>
        <w:pStyle w:val="HandoffNote"/>
      </w:pPr>
      <w:r>
        <w:t>SEQ-03 is UI design only. Do not jump to production coding until the remaining design sequence is respected.</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Sequence</w:t>
            </w:r>
          </w:p>
        </w:tc>
        <w:tc>
          <w:tcPr>
            <w:tcW w:type="dxa" w:w="5227"/>
            <w:shd w:fill="2F5D8C"/>
            <w:vAlign w:val="center"/>
          </w:tcPr>
          <w:p>
            <w:pPr>
              <w:spacing w:after="0"/>
            </w:pPr>
            <w:r/>
            <w:r>
              <w:rPr>
                <w:rFonts w:ascii="Aptos" w:hAnsi="Aptos"/>
                <w:b/>
                <w:color w:val="FFFFFF"/>
                <w:sz w:val="17"/>
              </w:rPr>
              <w:t>Artifact / work</w:t>
            </w:r>
          </w:p>
        </w:tc>
        <w:trPr>
          <w:tblHeader/>
        </w:trPr>
      </w:tr>
      <w:tr>
        <w:tc>
          <w:tcPr>
            <w:tcW w:type="dxa" w:w="5227"/>
            <w:vAlign w:val="center"/>
            <w:shd w:fill="F2F4F7"/>
          </w:tcPr>
          <w:p>
            <w:pPr>
              <w:spacing w:after="0"/>
            </w:pPr>
            <w:r/>
            <w:r>
              <w:rPr>
                <w:rFonts w:ascii="Aptos" w:hAnsi="Aptos"/>
                <w:b w:val="0"/>
                <w:sz w:val="16"/>
              </w:rPr>
              <w:t>SEQ-04</w:t>
            </w:r>
          </w:p>
        </w:tc>
        <w:tc>
          <w:tcPr>
            <w:tcW w:type="dxa" w:w="5227"/>
            <w:vAlign w:val="center"/>
          </w:tcPr>
          <w:p>
            <w:pPr>
              <w:spacing w:after="0"/>
            </w:pPr>
            <w:r/>
            <w:r>
              <w:rPr>
                <w:rFonts w:ascii="Aptos" w:hAnsi="Aptos"/>
                <w:b w:val="0"/>
                <w:sz w:val="16"/>
              </w:rPr>
              <w:t>Technical Interface Design</w:t>
            </w:r>
          </w:p>
        </w:tc>
      </w:tr>
      <w:tr>
        <w:tc>
          <w:tcPr>
            <w:tcW w:type="dxa" w:w="5227"/>
            <w:vAlign w:val="center"/>
            <w:shd w:fill="F2F4F7"/>
          </w:tcPr>
          <w:p>
            <w:pPr>
              <w:spacing w:after="0"/>
            </w:pPr>
            <w:r/>
            <w:r>
              <w:rPr>
                <w:rFonts w:ascii="Aptos" w:hAnsi="Aptos"/>
                <w:b w:val="0"/>
                <w:sz w:val="16"/>
              </w:rPr>
              <w:t>SEQ-05</w:t>
            </w:r>
          </w:p>
        </w:tc>
        <w:tc>
          <w:tcPr>
            <w:tcW w:type="dxa" w:w="5227"/>
            <w:vAlign w:val="center"/>
          </w:tcPr>
          <w:p>
            <w:pPr>
              <w:spacing w:after="0"/>
            </w:pPr>
            <w:r/>
            <w:r>
              <w:rPr>
                <w:rFonts w:ascii="Aptos" w:hAnsi="Aptos"/>
                <w:b w:val="0"/>
                <w:sz w:val="16"/>
              </w:rPr>
              <w:t>Data Flow Design</w:t>
            </w:r>
          </w:p>
        </w:tc>
      </w:tr>
      <w:tr>
        <w:tc>
          <w:tcPr>
            <w:tcW w:type="dxa" w:w="5227"/>
            <w:vAlign w:val="center"/>
            <w:shd w:fill="F2F4F7"/>
          </w:tcPr>
          <w:p>
            <w:pPr>
              <w:spacing w:after="0"/>
            </w:pPr>
            <w:r/>
            <w:r>
              <w:rPr>
                <w:rFonts w:ascii="Aptos" w:hAnsi="Aptos"/>
                <w:b w:val="0"/>
                <w:sz w:val="16"/>
              </w:rPr>
              <w:t>SEQ-06</w:t>
            </w:r>
          </w:p>
        </w:tc>
        <w:tc>
          <w:tcPr>
            <w:tcW w:type="dxa" w:w="5227"/>
            <w:vAlign w:val="center"/>
          </w:tcPr>
          <w:p>
            <w:pPr>
              <w:spacing w:after="0"/>
            </w:pPr>
            <w:r/>
            <w:r>
              <w:rPr>
                <w:rFonts w:ascii="Aptos" w:hAnsi="Aptos"/>
                <w:b w:val="0"/>
                <w:sz w:val="16"/>
              </w:rPr>
              <w:t>Process Flow Specification</w:t>
            </w:r>
          </w:p>
        </w:tc>
      </w:tr>
      <w:tr>
        <w:tc>
          <w:tcPr>
            <w:tcW w:type="dxa" w:w="5227"/>
            <w:vAlign w:val="center"/>
            <w:shd w:fill="F2F4F7"/>
          </w:tcPr>
          <w:p>
            <w:pPr>
              <w:spacing w:after="0"/>
            </w:pPr>
            <w:r/>
            <w:r>
              <w:rPr>
                <w:rFonts w:ascii="Aptos" w:hAnsi="Aptos"/>
                <w:b w:val="0"/>
                <w:sz w:val="16"/>
              </w:rPr>
              <w:t>SEQ-07</w:t>
            </w:r>
          </w:p>
        </w:tc>
        <w:tc>
          <w:tcPr>
            <w:tcW w:type="dxa" w:w="5227"/>
            <w:vAlign w:val="center"/>
          </w:tcPr>
          <w:p>
            <w:pPr>
              <w:spacing w:after="0"/>
            </w:pPr>
            <w:r/>
            <w:r>
              <w:rPr>
                <w:rFonts w:ascii="Aptos" w:hAnsi="Aptos"/>
                <w:b w:val="0"/>
                <w:sz w:val="16"/>
              </w:rPr>
              <w:t>Algorithm Specification</w:t>
            </w:r>
          </w:p>
        </w:tc>
      </w:tr>
      <w:tr>
        <w:tc>
          <w:tcPr>
            <w:tcW w:type="dxa" w:w="5227"/>
            <w:vAlign w:val="center"/>
            <w:shd w:fill="F2F4F7"/>
          </w:tcPr>
          <w:p>
            <w:pPr>
              <w:spacing w:after="0"/>
            </w:pPr>
            <w:r/>
            <w:r>
              <w:rPr>
                <w:rFonts w:ascii="Aptos" w:hAnsi="Aptos"/>
                <w:b w:val="0"/>
                <w:sz w:val="16"/>
              </w:rPr>
              <w:t>SEQ-08</w:t>
            </w:r>
          </w:p>
        </w:tc>
        <w:tc>
          <w:tcPr>
            <w:tcW w:type="dxa" w:w="5227"/>
            <w:vAlign w:val="center"/>
          </w:tcPr>
          <w:p>
            <w:pPr>
              <w:spacing w:after="0"/>
            </w:pPr>
            <w:r/>
            <w:r>
              <w:rPr>
                <w:rFonts w:ascii="Aptos" w:hAnsi="Aptos"/>
                <w:b w:val="0"/>
                <w:sz w:val="16"/>
              </w:rPr>
              <w:t>Module Interface Specification</w:t>
            </w:r>
          </w:p>
        </w:tc>
      </w:tr>
      <w:tr>
        <w:tc>
          <w:tcPr>
            <w:tcW w:type="dxa" w:w="5227"/>
            <w:vAlign w:val="center"/>
            <w:shd w:fill="F2F4F7"/>
          </w:tcPr>
          <w:p>
            <w:pPr>
              <w:spacing w:after="0"/>
            </w:pPr>
            <w:r/>
            <w:r>
              <w:rPr>
                <w:rFonts w:ascii="Aptos" w:hAnsi="Aptos"/>
                <w:b w:val="0"/>
                <w:sz w:val="16"/>
              </w:rPr>
              <w:t>SEQ-09</w:t>
            </w:r>
          </w:p>
        </w:tc>
        <w:tc>
          <w:tcPr>
            <w:tcW w:type="dxa" w:w="5227"/>
            <w:vAlign w:val="center"/>
          </w:tcPr>
          <w:p>
            <w:pPr>
              <w:spacing w:after="0"/>
            </w:pPr>
            <w:r/>
            <w:r>
              <w:rPr>
                <w:rFonts w:ascii="Aptos" w:hAnsi="Aptos"/>
                <w:b w:val="0"/>
                <w:sz w:val="16"/>
              </w:rPr>
              <w:t>Data Model &amp; Persistence</w:t>
            </w:r>
          </w:p>
        </w:tc>
      </w:tr>
      <w:tr>
        <w:tc>
          <w:tcPr>
            <w:tcW w:type="dxa" w:w="5227"/>
            <w:vAlign w:val="center"/>
            <w:shd w:fill="F2F4F7"/>
          </w:tcPr>
          <w:p>
            <w:pPr>
              <w:spacing w:after="0"/>
            </w:pPr>
            <w:r/>
            <w:r>
              <w:rPr>
                <w:rFonts w:ascii="Aptos" w:hAnsi="Aptos"/>
                <w:b w:val="0"/>
                <w:sz w:val="16"/>
              </w:rPr>
              <w:t>SEQ-10</w:t>
            </w:r>
          </w:p>
        </w:tc>
        <w:tc>
          <w:tcPr>
            <w:tcW w:type="dxa" w:w="5227"/>
            <w:vAlign w:val="center"/>
          </w:tcPr>
          <w:p>
            <w:pPr>
              <w:spacing w:after="0"/>
            </w:pPr>
            <w:r/>
            <w:r>
              <w:rPr>
                <w:rFonts w:ascii="Aptos" w:hAnsi="Aptos"/>
                <w:b w:val="0"/>
                <w:sz w:val="16"/>
              </w:rPr>
              <w:t>Security &amp; Access Control</w:t>
            </w:r>
          </w:p>
        </w:tc>
      </w:tr>
      <w:tr>
        <w:tc>
          <w:tcPr>
            <w:tcW w:type="dxa" w:w="5227"/>
            <w:vAlign w:val="center"/>
            <w:shd w:fill="F2F4F7"/>
          </w:tcPr>
          <w:p>
            <w:pPr>
              <w:spacing w:after="0"/>
            </w:pPr>
            <w:r/>
            <w:r>
              <w:rPr>
                <w:rFonts w:ascii="Aptos" w:hAnsi="Aptos"/>
                <w:b w:val="0"/>
                <w:sz w:val="16"/>
              </w:rPr>
              <w:t>SEQ-11</w:t>
            </w:r>
          </w:p>
        </w:tc>
        <w:tc>
          <w:tcPr>
            <w:tcW w:type="dxa" w:w="5227"/>
            <w:vAlign w:val="center"/>
          </w:tcPr>
          <w:p>
            <w:pPr>
              <w:spacing w:after="0"/>
            </w:pPr>
            <w:r/>
            <w:r>
              <w:rPr>
                <w:rFonts w:ascii="Aptos" w:hAnsi="Aptos"/>
                <w:b w:val="0"/>
                <w:sz w:val="16"/>
              </w:rPr>
              <w:t>Verification &amp; Validation Plan</w:t>
            </w:r>
          </w:p>
        </w:tc>
      </w:tr>
      <w:tr>
        <w:tc>
          <w:tcPr>
            <w:tcW w:type="dxa" w:w="5227"/>
            <w:vAlign w:val="center"/>
            <w:shd w:fill="F2F4F7"/>
          </w:tcPr>
          <w:p>
            <w:pPr>
              <w:spacing w:after="0"/>
            </w:pPr>
            <w:r/>
            <w:r>
              <w:rPr>
                <w:rFonts w:ascii="Aptos" w:hAnsi="Aptos"/>
                <w:b w:val="0"/>
                <w:sz w:val="16"/>
              </w:rPr>
              <w:t>SEQ-12 onward</w:t>
            </w:r>
          </w:p>
        </w:tc>
        <w:tc>
          <w:tcPr>
            <w:tcW w:type="dxa" w:w="5227"/>
            <w:vAlign w:val="center"/>
          </w:tcPr>
          <w:p>
            <w:pPr>
              <w:spacing w:after="0"/>
            </w:pPr>
            <w:r/>
            <w:r>
              <w:rPr>
                <w:rFonts w:ascii="Aptos" w:hAnsi="Aptos"/>
                <w:b w:val="0"/>
                <w:sz w:val="16"/>
              </w:rPr>
              <w:t>Repository skeleton, Design-8a parity, repository compilation, Recommendation Core migration, infrastructure, Educator Kit services, UI, deployment and full release validation</w:t>
            </w:r>
          </w:p>
        </w:tc>
      </w:tr>
    </w:tbl>
    <w:p/>
    <w:p>
      <w:r>
        <w:br w:type="page"/>
      </w:r>
    </w:p>
    <w:p>
      <w:pPr>
        <w:pStyle w:val="Heading1"/>
      </w:pPr>
      <w:r>
        <w:t>14. Files to attach to the new chat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2F5D8C"/>
            <w:vAlign w:val="center"/>
          </w:tcPr>
          <w:p>
            <w:pPr>
              <w:spacing w:after="0"/>
            </w:pPr>
            <w:r/>
            <w:r>
              <w:rPr>
                <w:rFonts w:ascii="Aptos" w:hAnsi="Aptos"/>
                <w:b/>
                <w:color w:val="FFFFFF"/>
                <w:sz w:val="17"/>
              </w:rPr>
              <w:t>Priority</w:t>
            </w:r>
          </w:p>
        </w:tc>
        <w:tc>
          <w:tcPr>
            <w:tcW w:type="dxa" w:w="5227"/>
            <w:shd w:fill="2F5D8C"/>
            <w:vAlign w:val="center"/>
          </w:tcPr>
          <w:p>
            <w:pPr>
              <w:spacing w:after="0"/>
            </w:pPr>
            <w:r/>
            <w:r>
              <w:rPr>
                <w:rFonts w:ascii="Aptos" w:hAnsi="Aptos"/>
                <w:b/>
                <w:color w:val="FFFFFF"/>
                <w:sz w:val="17"/>
              </w:rPr>
              <w:t>File</w:t>
            </w:r>
          </w:p>
        </w:tc>
        <w:trPr>
          <w:tblHeader/>
        </w:trPr>
      </w:tr>
      <w:tr>
        <w:tc>
          <w:tcPr>
            <w:tcW w:type="dxa" w:w="5227"/>
            <w:vAlign w:val="center"/>
            <w:shd w:fill="F2F4F7"/>
          </w:tcPr>
          <w:p>
            <w:pPr>
              <w:spacing w:after="0"/>
            </w:pPr>
            <w:r/>
            <w:r>
              <w:rPr>
                <w:rFonts w:ascii="Aptos" w:hAnsi="Aptos"/>
                <w:b w:val="0"/>
                <w:sz w:val="16"/>
              </w:rPr>
              <w:t>1</w:t>
            </w:r>
          </w:p>
        </w:tc>
        <w:tc>
          <w:tcPr>
            <w:tcW w:type="dxa" w:w="5227"/>
            <w:vAlign w:val="center"/>
          </w:tcPr>
          <w:p>
            <w:pPr>
              <w:spacing w:after="0"/>
            </w:pPr>
            <w:r/>
            <w:r>
              <w:rPr>
                <w:rFonts w:ascii="Aptos" w:hAnsi="Aptos"/>
                <w:b w:val="0"/>
                <w:sz w:val="16"/>
              </w:rPr>
              <w:t>Recommendation_System_New_Chat_Handoff_2026-09-23.docx</w:t>
            </w:r>
          </w:p>
        </w:tc>
      </w:tr>
      <w:tr>
        <w:tc>
          <w:tcPr>
            <w:tcW w:type="dxa" w:w="5227"/>
            <w:vAlign w:val="center"/>
            <w:shd w:fill="F2F4F7"/>
          </w:tcPr>
          <w:p>
            <w:pPr>
              <w:spacing w:after="0"/>
            </w:pPr>
            <w:r/>
            <w:r>
              <w:rPr>
                <w:rFonts w:ascii="Aptos" w:hAnsi="Aptos"/>
                <w:b w:val="0"/>
                <w:sz w:val="16"/>
              </w:rPr>
              <w:t>2</w:t>
            </w:r>
          </w:p>
        </w:tc>
        <w:tc>
          <w:tcPr>
            <w:tcW w:type="dxa" w:w="5227"/>
            <w:vAlign w:val="center"/>
          </w:tcPr>
          <w:p>
            <w:pPr>
              <w:spacing w:after="0"/>
            </w:pPr>
            <w:r/>
            <w:r>
              <w:rPr>
                <w:rFonts w:ascii="Aptos" w:hAnsi="Aptos"/>
                <w:b w:val="0"/>
                <w:sz w:val="16"/>
              </w:rPr>
              <w:t>SEQ03_GroupA_GroupB_GroupC/UI_Design_v0.1.docx</w:t>
            </w:r>
          </w:p>
        </w:tc>
      </w:tr>
      <w:tr>
        <w:tc>
          <w:tcPr>
            <w:tcW w:type="dxa" w:w="5227"/>
            <w:vAlign w:val="center"/>
            <w:shd w:fill="F2F4F7"/>
          </w:tcPr>
          <w:p>
            <w:pPr>
              <w:spacing w:after="0"/>
            </w:pPr>
            <w:r/>
            <w:r>
              <w:rPr>
                <w:rFonts w:ascii="Aptos" w:hAnsi="Aptos"/>
                <w:b w:val="0"/>
                <w:sz w:val="16"/>
              </w:rPr>
              <w:t>3</w:t>
            </w:r>
          </w:p>
        </w:tc>
        <w:tc>
          <w:tcPr>
            <w:tcW w:type="dxa" w:w="5227"/>
            <w:vAlign w:val="center"/>
          </w:tcPr>
          <w:p>
            <w:pPr>
              <w:spacing w:after="0"/>
            </w:pPr>
            <w:r/>
            <w:r>
              <w:rPr>
                <w:rFonts w:ascii="Aptos" w:hAnsi="Aptos"/>
                <w:b w:val="0"/>
                <w:sz w:val="16"/>
              </w:rPr>
              <w:t>SEQ03_GroupA_GroupB_GroupC/UI_Foundation_Decisions_v0.1.xlsx</w:t>
            </w:r>
          </w:p>
        </w:tc>
      </w:tr>
      <w:tr>
        <w:tc>
          <w:tcPr>
            <w:tcW w:type="dxa" w:w="5227"/>
            <w:vAlign w:val="center"/>
            <w:shd w:fill="F2F4F7"/>
          </w:tcPr>
          <w:p>
            <w:pPr>
              <w:spacing w:after="0"/>
            </w:pPr>
            <w:r/>
            <w:r>
              <w:rPr>
                <w:rFonts w:ascii="Aptos" w:hAnsi="Aptos"/>
                <w:b w:val="0"/>
                <w:sz w:val="16"/>
              </w:rPr>
              <w:t>4</w:t>
            </w:r>
          </w:p>
        </w:tc>
        <w:tc>
          <w:tcPr>
            <w:tcW w:type="dxa" w:w="5227"/>
            <w:vAlign w:val="center"/>
          </w:tcPr>
          <w:p>
            <w:pPr>
              <w:spacing w:after="0"/>
            </w:pPr>
            <w:r/>
            <w:r>
              <w:rPr>
                <w:rFonts w:ascii="Aptos" w:hAnsi="Aptos"/>
                <w:b w:val="0"/>
                <w:sz w:val="16"/>
              </w:rPr>
              <w:t>SEQ03_GroupA_GroupB_GroupC/UI_Data_Binding_Matrix_v0.1.xlsx</w:t>
            </w:r>
          </w:p>
        </w:tc>
      </w:tr>
      <w:tr>
        <w:tc>
          <w:tcPr>
            <w:tcW w:type="dxa" w:w="5227"/>
            <w:vAlign w:val="center"/>
            <w:shd w:fill="F2F4F7"/>
          </w:tcPr>
          <w:p>
            <w:pPr>
              <w:spacing w:after="0"/>
            </w:pPr>
            <w:r/>
            <w:r>
              <w:rPr>
                <w:rFonts w:ascii="Aptos" w:hAnsi="Aptos"/>
                <w:b w:val="0"/>
                <w:sz w:val="16"/>
              </w:rPr>
              <w:t>5</w:t>
            </w:r>
          </w:p>
        </w:tc>
        <w:tc>
          <w:tcPr>
            <w:tcW w:type="dxa" w:w="5227"/>
            <w:vAlign w:val="center"/>
          </w:tcPr>
          <w:p>
            <w:pPr>
              <w:spacing w:after="0"/>
            </w:pPr>
            <w:r/>
            <w:r>
              <w:rPr>
                <w:rFonts w:ascii="Aptos" w:hAnsi="Aptos"/>
                <w:b w:val="0"/>
                <w:sz w:val="16"/>
              </w:rPr>
              <w:t>SEQ03_GroupA_GroupB_GroupC/UI_Help_Content_Repository_v0.1.xlsx</w:t>
            </w:r>
          </w:p>
        </w:tc>
      </w:tr>
      <w:tr>
        <w:tc>
          <w:tcPr>
            <w:tcW w:type="dxa" w:w="5227"/>
            <w:vAlign w:val="center"/>
            <w:shd w:fill="F2F4F7"/>
          </w:tcPr>
          <w:p>
            <w:pPr>
              <w:spacing w:after="0"/>
            </w:pPr>
            <w:r/>
            <w:r>
              <w:rPr>
                <w:rFonts w:ascii="Aptos" w:hAnsi="Aptos"/>
                <w:b w:val="0"/>
                <w:sz w:val="16"/>
              </w:rPr>
              <w:t>6</w:t>
            </w:r>
          </w:p>
        </w:tc>
        <w:tc>
          <w:tcPr>
            <w:tcW w:type="dxa" w:w="5227"/>
            <w:vAlign w:val="center"/>
          </w:tcPr>
          <w:p>
            <w:pPr>
              <w:spacing w:after="0"/>
            </w:pPr>
            <w:r/>
            <w:r>
              <w:rPr>
                <w:rFonts w:ascii="Aptos" w:hAnsi="Aptos"/>
                <w:b w:val="0"/>
                <w:sz w:val="16"/>
              </w:rPr>
              <w:t>System_Architecture_Design_v1.0_Revised.docx</w:t>
            </w:r>
          </w:p>
        </w:tc>
      </w:tr>
      <w:tr>
        <w:tc>
          <w:tcPr>
            <w:tcW w:type="dxa" w:w="5227"/>
            <w:vAlign w:val="center"/>
            <w:shd w:fill="F2F4F7"/>
          </w:tcPr>
          <w:p>
            <w:pPr>
              <w:spacing w:after="0"/>
            </w:pPr>
            <w:r/>
            <w:r>
              <w:rPr>
                <w:rFonts w:ascii="Aptos" w:hAnsi="Aptos"/>
                <w:b w:val="0"/>
                <w:sz w:val="16"/>
              </w:rPr>
              <w:t>7</w:t>
            </w:r>
          </w:p>
        </w:tc>
        <w:tc>
          <w:tcPr>
            <w:tcW w:type="dxa" w:w="5227"/>
            <w:vAlign w:val="center"/>
          </w:tcPr>
          <w:p>
            <w:pPr>
              <w:spacing w:after="0"/>
            </w:pPr>
            <w:r/>
            <w:r>
              <w:rPr>
                <w:rFonts w:ascii="Aptos" w:hAnsi="Aptos"/>
                <w:b w:val="0"/>
                <w:sz w:val="16"/>
              </w:rPr>
              <w:t>System_Component_Artifact_Register_v0.3.xlsx (accepted governance baseline, if available in the Project)</w:t>
            </w:r>
          </w:p>
        </w:tc>
      </w:tr>
      <w:tr>
        <w:tc>
          <w:tcPr>
            <w:tcW w:type="dxa" w:w="5227"/>
            <w:vAlign w:val="center"/>
            <w:shd w:fill="F2F4F7"/>
          </w:tcPr>
          <w:p>
            <w:pPr>
              <w:spacing w:after="0"/>
            </w:pPr>
            <w:r/>
            <w:r>
              <w:rPr>
                <w:rFonts w:ascii="Aptos" w:hAnsi="Aptos"/>
                <w:b w:val="0"/>
                <w:sz w:val="16"/>
              </w:rPr>
              <w:t>8</w:t>
            </w:r>
          </w:p>
        </w:tc>
        <w:tc>
          <w:tcPr>
            <w:tcW w:type="dxa" w:w="5227"/>
            <w:vAlign w:val="center"/>
          </w:tcPr>
          <w:p>
            <w:pPr>
              <w:spacing w:after="0"/>
            </w:pPr>
            <w:r/>
            <w:r>
              <w:rPr>
                <w:rFonts w:ascii="Aptos" w:hAnsi="Aptos"/>
                <w:b w:val="0"/>
                <w:sz w:val="16"/>
              </w:rPr>
              <w:t>The two user-provided KG screenshots / arcmodel.io reference if the new chat does not retain the image context</w:t>
            </w:r>
          </w:p>
        </w:tc>
      </w:tr>
    </w:tbl>
    <w:p/>
    <w:p>
      <w:pPr>
        <w:pStyle w:val="Heading1"/>
      </w:pPr>
      <w:r>
        <w:t>15. Copy/paste starter for the new chat</w:t>
      </w:r>
    </w:p>
    <w:tbl>
      <w:tblPr>
        <w:tblW w:type="auto" w:w="0"/>
        <w:tblLook w:firstColumn="1" w:firstRow="1" w:lastColumn="0" w:lastRow="0" w:noHBand="0" w:noVBand="1" w:val="04A0"/>
      </w:tblPr>
      <w:tblGrid>
        <w:gridCol w:w="10454"/>
      </w:tblGrid>
      <w:tr>
        <w:tc>
          <w:tcPr>
            <w:tcW w:type="dxa" w:w="10454"/>
            <w:shd w:fill="F2F4F7"/>
          </w:tcPr>
          <w:p>
            <w:pPr>
              <w:pStyle w:val="CodePrompt"/>
            </w:pPr>
            <w:r>
              <w:t>Continue the Recommendation System project from the attached handoff. Treat this as a continuation, not a redesign from scratch. Read the handoff first, then the latest four SEQ-03 A+B+C artifacts. We are currently in SEQ-03 Group D — Knowledge Graph and Administration. Preserve all frozen Design-8a/repository/Stage-F rules and all Group A/B/C UI decisions. The previous Group D KG wireframes were rejected and must not be reused. Redesign the Knowledge Graph Explorer using my arcmodel.io Knowledge Graph Instances mockup/demo and the OWID ETL compute-graph page as visual/interaction references. The graph should be the main canvas, with readable node/edge semantics, search/filter/focus/path controls, a useful node-class legend, node/relationship inspection, full governed KG availability, and a Visual Graph View / Tabular Data View switch. For Administration, retain the agreed V1 split: Overview and Repository Publication + Validation &amp; Benchmark are functional; Repository Prepare/Edit is designed now but may remain static/read-only in V1, with Excel still the actual authoring channel. Repository updates may be incremental at input, but every publication is a complete validated candidate release activated atomically. First propose/review the improved Group D wireframe direction before updating the four living SEQ-03 artifacts.</w:t>
            </w:r>
          </w:p>
        </w:tc>
        <w:trPr>
          <w:tblHeader/>
        </w:trPr>
      </w:tr>
    </w:tbl>
    <w:p/>
    <w:p>
      <w:pPr>
        <w:pStyle w:val="Heading1"/>
      </w:pPr>
      <w:r>
        <w:t>16. Final continuity checklist</w:t>
      </w:r>
    </w:p>
    <w:p>
      <w:pPr>
        <w:pStyle w:val="ListBullet"/>
        <w:spacing w:after="24"/>
        <w:ind w:left="288" w:hanging="173"/>
      </w:pPr>
      <w:r>
        <w:rPr>
          <w:rFonts w:ascii="Aptos" w:hAnsi="Aptos"/>
          <w:sz w:val="18"/>
        </w:rPr>
        <w:t>Do not change frozen recommendation logic while fixing UI.</w:t>
      </w:r>
    </w:p>
    <w:p>
      <w:pPr>
        <w:pStyle w:val="ListBullet"/>
        <w:spacing w:after="24"/>
        <w:ind w:left="288" w:hanging="173"/>
      </w:pPr>
      <w:r>
        <w:rPr>
          <w:rFonts w:ascii="Aptos" w:hAnsi="Aptos"/>
          <w:sz w:val="18"/>
        </w:rPr>
        <w:t>Do not silently invent interface fields/enums that belong to SEQ-04.</w:t>
      </w:r>
    </w:p>
    <w:p>
      <w:pPr>
        <w:pStyle w:val="ListBullet"/>
        <w:spacing w:after="24"/>
        <w:ind w:left="288" w:hanging="173"/>
      </w:pPr>
      <w:r>
        <w:rPr>
          <w:rFonts w:ascii="Aptos" w:hAnsi="Aptos"/>
          <w:sz w:val="18"/>
        </w:rPr>
        <w:t>Do not create duplicate canonical artifact names or temporary IDs.</w:t>
      </w:r>
    </w:p>
    <w:p>
      <w:pPr>
        <w:pStyle w:val="ListBullet"/>
        <w:spacing w:after="24"/>
        <w:ind w:left="288" w:hanging="173"/>
      </w:pPr>
      <w:r>
        <w:rPr>
          <w:rFonts w:ascii="Aptos" w:hAnsi="Aptos"/>
          <w:sz w:val="18"/>
        </w:rPr>
        <w:t>Do not drop Group A/B/C information when appending Group D.</w:t>
      </w:r>
    </w:p>
    <w:p>
      <w:pPr>
        <w:pStyle w:val="ListBullet"/>
        <w:spacing w:after="24"/>
        <w:ind w:left="288" w:hanging="173"/>
      </w:pPr>
      <w:r>
        <w:rPr>
          <w:rFonts w:ascii="Aptos" w:hAnsi="Aptos"/>
          <w:sz w:val="18"/>
        </w:rPr>
        <w:t>Do not call Group D complete until the user reviews the redesigned KG/Admin wireframes.</w:t>
      </w:r>
    </w:p>
    <w:p>
      <w:pPr>
        <w:pStyle w:val="ListBullet"/>
        <w:spacing w:after="24"/>
        <w:ind w:left="288" w:hanging="173"/>
      </w:pPr>
      <w:r>
        <w:rPr>
          <w:rFonts w:ascii="Aptos" w:hAnsi="Aptos"/>
          <w:sz w:val="18"/>
        </w:rPr>
        <w:t>After every artifact update, perform a cross-file review so UI Design, Foundation Decisions, Data Binding Matrix and Help Repository remain synchronized.</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Ontology and Knowledge Graph-Driven Sustainability Principles Recommendation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Recommendation System • New-chat handoff • 23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244A7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D8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B46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244A7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ndoffNote">
    <w:name w:val="Handoff Note"/>
    <w:pPr>
      <w:spacing w:after="80"/>
    </w:pPr>
    <w:rPr>
      <w:rFonts w:ascii="Aptos" w:hAnsi="Aptos"/>
      <w:color w:val="344054"/>
      <w:sz w:val="18"/>
    </w:rPr>
  </w:style>
  <w:style w:type="paragraph" w:customStyle="1" w:styleId="CodePrompt">
    <w:name w:val="Code Prompt"/>
    <w:pPr>
      <w:spacing w:after="40"/>
      <w:ind w:left="259" w:right="259"/>
    </w:pPr>
    <w:rPr>
      <w:rFonts w:ascii="Aptos" w:hAnsi="Apto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 System New-Chat Handoff</dc:title>
  <dc:subject>Continuation handoff for SEQ-03 Group D</dc:subject>
  <dc:creator>python-docx</dc:creator>
  <cp:keywords>Recommendation System, SEQ-03, Group D, Knowledge Graph, Administration, handoff</cp:keywords>
  <dc:description>Prepared to preserve project continuity across a new chat.</dc:description>
  <cp:lastModifiedBy/>
  <cp:revision>1</cp:revision>
  <dcterms:created xsi:type="dcterms:W3CDTF">2013-12-23T23:15:00Z</dcterms:created>
  <dcterms:modified xsi:type="dcterms:W3CDTF">2013-12-23T23:15:00Z</dcterms:modified>
  <cp:category/>
</cp:coreProperties>
</file>