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3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pPr>
        <w:pStyle w:val="FirstParagraph"/>
      </w:pPr>
      <w:r>
        <w:rPr>
          <w:b/>
        </w:rPr>
        <w:t xml:space="preserve">Raghuram Nagireddy</w:t>
      </w:r>
    </w:p>
    <w:p>
      <w:pPr>
        <w:pStyle w:val="BodyText"/>
      </w:pPr>
      <w:r>
        <w:t xml:space="preserve">Independent researcher. Email: raghuram87@gmail.com</w:t>
      </w:r>
    </w:p>
    <w:p>
      <w:pPr>
        <w:pStyle w:val="BodyText"/>
      </w:pPr>
      <w:r>
        <w:rPr>
          <w:i/>
        </w:rPr>
        <w:t xml:space="preserve">Prepared for submission to Finance Research Letters</w:t>
      </w:r>
    </w:p>
    <w:p>
      <w:r>
        <w:pict>
          <v:rect style="width:0;height:1.5pt" o:hralign="center" o:hrstd="t" o:hr="t"/>
        </w:pict>
      </w:r>
    </w:p>
    <w:p>
      <w:pPr>
        <w:pStyle w:val="Heading2"/>
      </w:pPr>
      <w:bookmarkStart w:id="21" w:name="highlights"/>
      <w:r>
        <w:t xml:space="preserve">Highlights</w:t>
      </w:r>
      <w:bookmarkEnd w:id="21"/>
    </w:p>
    <w:p>
      <w:pPr>
        <w:numPr>
          <w:ilvl w:val="0"/>
          <w:numId w:val="1001"/>
        </w:numPr>
        <w:pStyle w:val="Compact"/>
      </w:pPr>
      <w:r>
        <w:t xml:space="preserve">An LLM mines equity factors under a raw-return reward vs. a cost-penalized reward.</w:t>
      </w:r>
    </w:p>
    <w:p>
      <w:pPr>
        <w:numPr>
          <w:ilvl w:val="0"/>
          <w:numId w:val="1001"/>
        </w:numPr>
        <w:pStyle w:val="Compact"/>
      </w:pPr>
      <w:r>
        <w:t xml:space="preserve">A 21-fold walk-forward test (2006-2026) uses true point-in-time S&amp;P membership.</w:t>
      </w:r>
    </w:p>
    <w:p>
      <w:pPr>
        <w:numPr>
          <w:ilvl w:val="0"/>
          <w:numId w:val="1001"/>
        </w:numPr>
        <w:pStyle w:val="Compact"/>
      </w:pPr>
      <w:r>
        <w:t xml:space="preserve">Cost-blind search reaches 49-101%/day turnover and loses its notional in all four.</w:t>
      </w:r>
    </w:p>
    <w:p>
      <w:pPr>
        <w:numPr>
          <w:ilvl w:val="0"/>
          <w:numId w:val="1001"/>
        </w:numPr>
        <w:pStyle w:val="Compact"/>
      </w:pPr>
      <w:r>
        <w:t xml:space="preserve">Penalizing turnover cuts it 22-38x and makes one category net profitable.</w:t>
      </w:r>
    </w:p>
    <w:p>
      <w:pPr>
        <w:numPr>
          <w:ilvl w:val="0"/>
          <w:numId w:val="1001"/>
        </w:numPr>
        <w:pStyle w:val="Compact"/>
      </w:pPr>
      <w:r>
        <w:t xml:space="preserve">Net Sharpe gains +9.96 (95% CI 8.3-11.6) in a cluster bootstrap over 252 folds.</w:t>
      </w:r>
    </w:p>
    <w:p>
      <w:pPr>
        <w:pStyle w:val="Heading2"/>
      </w:pPr>
      <w:bookmarkStart w:id="22" w:name="abstract"/>
      <w:r>
        <w:t xml:space="preserve">Abstract</w:t>
      </w:r>
      <w:bookmarkEnd w:id="22"/>
    </w:p>
    <w:p>
      <w:pPr>
        <w:pStyle w:val="FirstParagraph"/>
      </w:pPr>
      <w:r>
        <w:t xml:space="preserve">Large language model (LLM) agents increasingly generate candidate trading signals, but almost all</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true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3" w:name="introduction"/>
      <w:r>
        <w:t xml:space="preserve">1. Introduction</w:t>
      </w:r>
      <w:bookmarkEnd w:id="23"/>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true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4" w:name="data-and-methodology"/>
      <w:r>
        <w:t xml:space="preserve">2. Data and Methodology</w:t>
      </w:r>
      <w:bookmarkEnd w:id="24"/>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5" w:name="results"/>
      <w:r>
        <w:t xml:space="preserve">3. Results</w:t>
      </w:r>
      <w:bookmarkEnd w:id="25"/>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rather than shrinking turnover as an incidental byproduct.</w:t>
      </w:r>
    </w:p>
    <w:p>
      <w:pPr>
        <w:pStyle w:val="Heading2"/>
      </w:pPr>
      <w:bookmarkStart w:id="26" w:name="discussion-and-limitations"/>
      <w:r>
        <w:t xml:space="preserve">4. Discussion and limitations</w:t>
      </w:r>
      <w:bookmarkEnd w:id="26"/>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Most importantly, the relative weights assigned to turnover and modeled cost impact (gamma1, gamma2) are fixed rather than estimated. Accordingly, the experiment establishes the effect of introducing execution-aware terms into the search objective, but does not by itself identify an optimal penalty calibration, nor separately attribute the observed improvement to the turnover versus the modeled-impact component — a systematic reward-decomposition (gross-only, turnover-only, cost-only, combined) and penalty-sensitivity analysis is left for future work.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7" w:name="conclusion"/>
      <w:r>
        <w:t xml:space="preserve">5. Conclusion</w:t>
      </w:r>
      <w:bookmarkEnd w:id="27"/>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true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8" w:name="figures"/>
      <w:r>
        <w:t xml:space="preserve">Figures</w:t>
      </w:r>
      <w:bookmarkEnd w:id="28"/>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30"/>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1"/>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2" w:name="credit-authorship-contribution-statement"/>
      <w:r>
        <w:t xml:space="preserve">CRediT authorship contribution statement</w:t>
      </w:r>
      <w:bookmarkEnd w:id="32"/>
    </w:p>
    <w:p>
      <w:pPr>
        <w:pStyle w:val="FirstParagraph"/>
      </w:pPr>
      <w:r>
        <w:rPr>
          <w:b/>
        </w:rPr>
        <w:t xml:space="preserve">Raghuram Nagireddy</w:t>
      </w:r>
      <w:r>
        <w:t xml:space="preserve">: Conceptualization, Methodology, Software, Formal analysis, Data curation, Writing – original draft, Writing – review &amp; editing, Visualization.</w:t>
      </w:r>
    </w:p>
    <w:p>
      <w:pPr>
        <w:pStyle w:val="Heading2"/>
      </w:pPr>
      <w:bookmarkStart w:id="33" w:name="data-availability-statement"/>
      <w:r>
        <w:t xml:space="preserve">Data availability statement</w:t>
      </w:r>
      <w:bookmarkEnd w:id="33"/>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4" w:name="declaration-of-competing-interest"/>
      <w:r>
        <w:t xml:space="preserve">Declaration of competing interest</w:t>
      </w:r>
      <w:bookmarkEnd w:id="34"/>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5" w:name="funding"/>
      <w:r>
        <w:t xml:space="preserve">Funding</w:t>
      </w:r>
      <w:bookmarkEnd w:id="35"/>
    </w:p>
    <w:p>
      <w:pPr>
        <w:pStyle w:val="FirstParagraph"/>
      </w:pPr>
      <w:r>
        <w:t xml:space="preserve">This research received no specific grant from any funding agency in the public, commercial, or not-for-profit sectors.</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 arXiv:2505.11122.</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 https://doi.org/10.1145/3711896.3736838</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true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31" Target="media/rId31.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2026-09-16T18:44:54Z</dcterms:created>
  <dcterms:modified xsi:type="dcterms:W3CDTF">2026-09-16T18:44:54Z</dcterms:modified>
</cp:coreProperties>
</file>

<file path=docProps/custom.xml><?xml version="1.0" encoding="utf-8"?>
<Properties xmlns="http://schemas.openxmlformats.org/officeDocument/2006/custom-properties" xmlns:vt="http://schemas.openxmlformats.org/officeDocument/2006/docPropsVTypes"/>
</file>