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An LLM factor search is run with cost-blind, reward-only and cost-explained feedback.</w:t>
      </w:r>
    </w:p>
    <w:p>
      <w:pPr>
        <w:numPr>
          <w:ilvl w:val="0"/>
          <w:numId w:val="1001"/>
        </w:numPr>
        <w:pStyle w:val="Compact"/>
      </w:pPr>
      <w:r>
        <w:t xml:space="preserve">Cost-blind search reaches 36-103% daily turnover and loses all capital in each case.</w:t>
      </w:r>
    </w:p>
    <w:p>
      <w:pPr>
        <w:numPr>
          <w:ilvl w:val="0"/>
          <w:numId w:val="1001"/>
        </w:numPr>
        <w:pStyle w:val="Compact"/>
      </w:pPr>
      <w:r>
        <w:t xml:space="preserve">A cost-penalized reward alone lifts net Sharpe by 7.9; explaining it adds 2.4 more.</w:t>
      </w:r>
    </w:p>
    <w:p>
      <w:pPr>
        <w:numPr>
          <w:ilvl w:val="0"/>
          <w:numId w:val="1001"/>
        </w:numPr>
        <w:pStyle w:val="Compact"/>
      </w:pPr>
      <w:r>
        <w:t xml:space="preserve">Explicit cost guidance produces the long-horizon smoothing of the winning factors.</w:t>
      </w:r>
    </w:p>
    <w:p>
      <w:pPr>
        <w:numPr>
          <w:ilvl w:val="0"/>
          <w:numId w:val="1001"/>
        </w:numPr>
        <w:pStyle w:val="Compact"/>
      </w:pPr>
      <w:r>
        <w:t xml:space="preserve">Only the low-volatility seed turns profitable, and simple smoothing rules match 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2026-10-07T16:09:18Z</dcterms:created>
  <dcterms:modified xsi:type="dcterms:W3CDTF">2026-10-07T16:09:18Z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