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An LLM mines equity factors under a raw-return reward vs. a cost-penalized reward.</w:t>
      </w:r>
    </w:p>
    <w:p>
      <w:pPr>
        <w:numPr>
          <w:ilvl w:val="0"/>
          <w:numId w:val="1001"/>
        </w:numPr>
        <w:pStyle w:val="Compact"/>
      </w:pPr>
      <w:r>
        <w:t xml:space="preserve">A 21-fold walk-forward test (2006-2026) uses point-in-time S&amp;P membership.</w:t>
      </w:r>
    </w:p>
    <w:p>
      <w:pPr>
        <w:numPr>
          <w:ilvl w:val="0"/>
          <w:numId w:val="1001"/>
        </w:numPr>
        <w:pStyle w:val="Compact"/>
      </w:pPr>
      <w:r>
        <w:t xml:space="preserve">Cost-blind search reaches 49-101%/day turnover and loses its notional in all four.</w:t>
      </w:r>
    </w:p>
    <w:p>
      <w:pPr>
        <w:numPr>
          <w:ilvl w:val="0"/>
          <w:numId w:val="1001"/>
        </w:numPr>
        <w:pStyle w:val="Compact"/>
      </w:pPr>
      <w:r>
        <w:t xml:space="preserve">Penalizing turnover cuts it 22-38x and makes one category net profitable.</w:t>
      </w:r>
    </w:p>
    <w:p>
      <w:pPr>
        <w:numPr>
          <w:ilvl w:val="0"/>
          <w:numId w:val="1001"/>
        </w:numPr>
        <w:pStyle w:val="Compact"/>
      </w:pPr>
      <w:r>
        <w:t xml:space="preserve">Net Sharpe gains +9.96 (95% CI 8.3-11.6) in a cluster bootstrap over 252 folds.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2026-09-19T03:09:38Z</dcterms:created>
  <dcterms:modified xsi:type="dcterms:W3CDTF">2026-09-19T03:09:38Z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