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c66e021c69724105772721616bcbae1e92173"/>
      <w:r>
        <w:t xml:space="preserve">Execution-Aware Alpha Mining: Teaching LLM Factor Agents to Account for Trading Costs</w:t>
      </w:r>
      <w:bookmarkEnd w:id="20"/>
    </w:p>
    <w:p>
      <w:pPr>
        <w:pStyle w:val="FirstParagraph"/>
      </w:pPr>
      <w:r>
        <w:rPr>
          <w:b/>
        </w:rPr>
        <w:t xml:space="preserve">Raghuram Nagireddy</w:t>
      </w:r>
      <w:r>
        <w:t xml:space="preserve"> </w:t>
      </w:r>
      <w:r>
        <w:t xml:space="preserve">(ORCID: 0009-0002-2203-3367)</w:t>
      </w:r>
    </w:p>
    <w:p>
      <w:pPr>
        <w:pStyle w:val="BodyText"/>
      </w:pPr>
      <w:r>
        <w:t xml:space="preserve">Independent researcher</w:t>
      </w:r>
    </w:p>
    <w:p>
      <w:pPr>
        <w:pStyle w:val="BodyText"/>
      </w:pPr>
      <w:r>
        <w:t xml:space="preserve">Corresponding author. Email: rrn2111@caa.columbia.edu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2026-09-19T03:43:42Z</dcterms:created>
  <dcterms:modified xsi:type="dcterms:W3CDTF">2026-09-19T03:43:42Z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