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e40911f22f203cfeb3a4a8a12a3fe9156894de"/>
      <w:r>
        <w:t xml:space="preserve">Execution-Aware Alpha Mining: Teaching LLM Factor Agents to Price Their Own Trading Costs</w:t>
      </w:r>
      <w:bookmarkEnd w:id="20"/>
    </w:p>
    <w:p>
      <w:pPr>
        <w:pStyle w:val="FirstParagraph"/>
      </w:pPr>
      <w:r>
        <w:rPr>
          <w:b/>
        </w:rPr>
        <w:t xml:space="preserve">Raghuram Nagireddy</w:t>
      </w:r>
    </w:p>
    <w:p>
      <w:pPr>
        <w:pStyle w:val="BodyText"/>
      </w:pPr>
      <w:r>
        <w:t xml:space="preserve">Independent researcher. Email: raghuram87@gmail.com</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true point-in-time S&amp;P membership.</w:t>
      </w:r>
    </w:p>
    <w:p>
      <w:pPr>
        <w:numPr>
          <w:ilvl w:val="0"/>
          <w:numId w:val="1001"/>
        </w:numPr>
        <w:pStyle w:val="Compact"/>
      </w:pPr>
      <w:r>
        <w:t xml:space="preserve">Cost-blind search hits 49-101%/day turnover, wiped out in all four factor categories.</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Findings replicate across three independent LLM sampling seeds per category.</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almost all</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true point-in-time S&amp;P universe (1999-2026, not a survivorship-biased snapshot) and priced for execution cost (a Corwin-Schultz spread estimator plus a square-root impact model); diagnostics feed back to the agent every round. Evaluation uses rolling walk-forward optimization — 21 five-year-train/one-year-test folds spanning 2006-2026, each re-searched from scratch — crossed with four seed alphas from distinct predictor categories (reversal, volume, volatility, momentum) and three LLM seeds, for 12 independently re-optimized comparisons. An agent rewarded purely on gross return converges to 49-101%/day turnover in every category and is wiped out (net Sharpe -4.7 to -11.2, cumulative return -100%) despite a genuine average gross Sharpe of 0.67 — the signal is real, but the reward is blind to its cost. Rewarding the identical search net of a turnover and cost penalty cuts turnover 22-38x in every category and, for the volatility-anomaly seed, turns a would-be loss into a net-profitable factor (net Sharpe +0.35, cumulative return +117%, ~71-day holding period), consistently across all three seeds. The other three categories still lose net of cost but far less catastrophically, showing the reward specification, not just the underlying signal, governs whether an automated search survives real trading frictions.</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growing literature on LLM-based financial agents (e.g., open-source financial LLMs, Yang, Liu and Wang, 2023) and asks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true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so the comparison is not a single lucky search but 12 independently re-optimized outcomes. To our knowledge this is the first study to place a realistic cost model inside an LLM’s feedback loop, rather than applying it only as an ex-post filter, and to test the resulting effect for robustness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 never the fold’s own future —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so baseline and execution-aware are apples-to-apples: same starting expression, same sampling seed, same 50-round budget, differing only in reward.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Corwin-Schultz-plus-impact model, for the mean across all three sampling seeds.</w:t>
      </w:r>
    </w:p>
    <w:p>
      <w:pPr>
        <w:pStyle w:val="BodyText"/>
      </w:pPr>
      <w:r>
        <w:t xml:space="preserve">Three results stand out. First, the baseline is wiped out in</w:t>
      </w:r>
      <w:r>
        <w:t xml:space="preserve"> </w:t>
      </w:r>
      <w:r>
        <w:rPr>
          <w:i/>
        </w:rPr>
        <w:t xml:space="preserve">every</w:t>
      </w:r>
      <w:r>
        <w:t xml:space="preserve"> </w:t>
      </w:r>
      <w:r>
        <w:t xml:space="preserve">category — 49-101%/day turnover means the entire book turns over roughly once daily to nearly twice daily, an economically extreme trading pace no reward function that ignores cost has any reason to avoid. This is not a search that failed to find signal: the baseline’s average gross Sharpe across categories is a genuine 0.67 (reversal 0.77, volume 0.62, volatility 0.73, momentum 0.55) — the reward is doing exactly what it was told to do, and what it was told to do is blind to the cost of capturing that signal.</w:t>
      </w:r>
    </w:p>
    <w:p>
      <w:pPr>
        <w:pStyle w:val="BodyText"/>
      </w:pPr>
      <w:r>
        <w:t xml:space="preserve">Second, penalizing turnover and modeled cost inside the reward — nothing else about the search, universe, or cost model changes — cuts turnover by 22x (reversal) to 38x (momentum) in every category, and the improvement is not a knife-edge result: standard deviation across the three independent sampling seeds is small relative to the baseline-versus-execution-aware gap in every category (e.g., volatility’s net Sharpe gap of 5.0 dwarfs a cross-seed standard deviation of 0.02-0.91).</w:t>
      </w:r>
    </w:p>
    <w:p>
      <w:pPr>
        <w:pStyle w:val="BodyText"/>
      </w:pPr>
      <w:r>
        <w:t xml:space="preserve">Third, and most notably, the volatility-anomaly seed does not merely fail less badly — its execution-aware factor is net profitable, consistently across all three sampling seeds (net Sharpe +0.33 to +0.37, cumulative return +104% to +131%), with the lowest turnover of any category (1.4%/day, a roughly 71-trading-day average holding period). The mechanism is visible in the gross numbers: execution-aware’s own gross Sharpe in this category (0.48 on average) is close to the baseline’s (0.73), but its turnover is roughly 35x lower, so far less of that gross edge is spent on trading cost. The other three categories retain a smaller share of their gross edge under the execution-aware reward and remain net-negative, but dramatically less so than their cost-blind counterparts.</w:t>
      </w:r>
    </w:p>
    <w:p>
      <w:pPr>
        <w:pStyle w:val="Heading2"/>
      </w:pPr>
      <w:bookmarkStart w:id="26" w:name="discussion-and-limitations"/>
      <w:r>
        <w:t xml:space="preserve">4. Discussion and limitations</w:t>
      </w:r>
      <w:bookmarkEnd w:id="26"/>
    </w:p>
    <w:p>
      <w:pPr>
        <w:pStyle w:val="FirstParagraph"/>
      </w:pPr>
      <w:r>
        <w:t xml:space="preserve">The central finding — that penalizing turnover and modeled cost inside the search, rather than only at final evaluation, changes what an LLM factor-mining agent converges to, and that the change is large and robust across both sampling randomness and the economic category the search starts from — argues that the reward specification is doing real work in any LLM-driven alpha-mining pipeline, not a detail to be tuned after the fact. A pipeline that reports</w:t>
      </w:r>
      <w:r>
        <w:t xml:space="preserve"> </w:t>
      </w:r>
      <w:r>
        <w:t xml:space="preserve">“</w:t>
      </w:r>
      <w:r>
        <w:t xml:space="preserve">the LLM found a factor with Sharpe X</w:t>
      </w:r>
      <w:r>
        <w:t xml:space="preserve">”</w:t>
      </w:r>
      <w:r>
        <w:t xml:space="preserve"> </w:t>
      </w:r>
      <w:r>
        <w:t xml:space="preserve">without disclosing the reward function, or without re-searching across multiple folds and seeds, is silently answering a different and less trustworthy question than one that reports a finding stable across 12 independent re-optimizations.</w:t>
      </w:r>
    </w:p>
    <w:p>
      <w:pPr>
        <w:pStyle w:val="BodyText"/>
      </w:pPr>
      <w:r>
        <w:t xml:space="preserve">Several limitations qualify these results. The point-in-time universe’s price coverage is incomplete pre-2010 (roughly 75-90% of true constituents), a data-availability constraint of free/quasi-free sources rather than a methodological choice;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 single full-universe confirmatory run is a natural robustness check before submission. The cost model’s impact calibration constant (</w:t>
      </w:r>
      <w:r>
        <w:rPr>
          <w:rStyle w:val="VerbatimChar"/>
        </w:rPr>
        <w:t xml:space="preserve">Y=0.5</w:t>
      </w:r>
      <w:r>
        <w:t xml:space="preserve">) is not fit to realized execution data, motivating the flat-cost sensitivity columns. Portfolio construction is deliberately unconstrained — daily rebalancing, no no-trade band — so the factor expression itself, via</w:t>
      </w:r>
      <w:r>
        <w:t xml:space="preserve"> </w:t>
      </w:r>
      <w:r>
        <w:rPr>
          <w:rStyle w:val="VerbatimChar"/>
        </w:rPr>
        <w:t xml:space="preserve">decay_linear</w:t>
      </w:r>
      <w:r>
        <w:t xml:space="preserve">, is the only turnover-reduction lever available to the search; pairing execution-aware search with portfolio-level turnover control would likely narrow the gap further. Finally, we would caution against reading the negative net Sharpe ratios in three of four categories as evidence that these predictor families are categorically unprofitable net of cost; they instead reflect a deliberately unforgiving stress test — uncontrolled 200%-gross daily rebalancing — chosen to make the cost channel, and the agent’s response to it, easy to see, with the volatility category showing that the same stress test can flip to a profitable outcome once the reward stops being blind to cost.</w:t>
      </w:r>
    </w:p>
    <w:p>
      <w:pPr>
        <w:pStyle w:val="Heading2"/>
      </w:pPr>
      <w:bookmarkStart w:id="27" w:name="conclusion"/>
      <w:r>
        <w:t xml:space="preserve">5. Conclusion</w:t>
      </w:r>
      <w:bookmarkEnd w:id="27"/>
    </w:p>
    <w:p>
      <w:pPr>
        <w:pStyle w:val="FirstParagraph"/>
      </w:pPr>
      <w:r>
        <w:t xml:space="preserve">Holding the search process, universe, and cost model fixed, and varying only whether the reward function is blind or aware of trading cost, we find that a locally-hosted LLM factor-mining agent’s raw-return reward converges to 49-101%/day turnover and is wiped out net of realistic cost in every one of four economically distinct seed-alpha categories, despite finding genuine gross signal (average gross Sharpe 0.67). Rewarding the identical search net of turnover and cost cuts turnover 22-38x in every category and, for a low-volatility-anomaly seed, converts the outcome into a net-profitable factor — consistently across three independent LLM sampling seeds. The result replicates across 12 independently re-optimized (seed-alpha, sampling-seed) combinations on a true point-in-time universe spanning 21 rolling walk-forward folds from 2006 to 2026. Whether or not any single resulting factor is itself investable, the exercise argues that execution cost belongs inside the loop an LLM-based factor-mining agent optimizes, not applied only as a filter after the fact.</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791278"/>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791278"/>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realistic full Corwin-Schultz-plus-impact model,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received no specific grant from any funding agency in the public, commercial, or not-for-profit sectors.</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true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Full-trajectory inspection (not just tail sampling) of temperature-0 and temperature-0.3 runs showed both collapse to a fixed point after round 1-2 and make no further progress for the remainder of a 25-50 round run, despite temperature-0.3 initially appearing, from partial inspection, to preserve exploration — a conclusion retracted on full-trajectory review. Temperature 0.7 was the lowest setting found to sustain genuine multi-round search; consequently all reported results characterize sampling variance via three independent seeds at temperature 0.7 rather than relying on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p>
      <w:r>
        <w:pict>
          <v:rect style="width:0;height:1.5pt" o:hralign="center" o:hrstd="t" o:hr="t"/>
        </w:pict>
      </w:r>
    </w:p>
    <w:p>
      <w:pPr>
        <w:pStyle w:val="FirstParagraph"/>
      </w:pPr>
      <w:r>
        <w:rPr>
          <w:i/>
        </w:rPr>
        <w:t xml:space="preserve">[Main text word count (Sections 1-5 only, excluding title/highlights/abstract/keywords/Table 1/statements/references/Appendix A/figure captions): 1,816 words (measured), well within FRL’s 2,500-word letter format limit. All references are cited in-text and vice versa (verified). Figures generated and ready for insertion:</w:t>
      </w:r>
      <w:r>
        <w:rPr>
          <w:i/>
        </w:rPr>
        <w:t xml:space="preserve"> </w:t>
      </w:r>
      <w:r>
        <w:rPr>
          <w:rStyle w:val="VerbatimChar"/>
          <w:i/>
        </w:rPr>
        <w:t xml:space="preserve">results/figures/fig1_architecture.pdf</w:t>
      </w:r>
      <w:r>
        <w:rPr>
          <w:i/>
        </w:rPr>
        <w:t xml:space="preserve"> </w:t>
      </w:r>
      <w:r>
        <w:rPr>
          <w:i/>
        </w:rPr>
        <w:t xml:space="preserve">(architecture),</w:t>
      </w:r>
      <w:r>
        <w:rPr>
          <w:i/>
        </w:rPr>
        <w:t xml:space="preserve"> </w:t>
      </w:r>
      <w:r>
        <w:rPr>
          <w:rStyle w:val="VerbatimChar"/>
          <w:i/>
        </w:rPr>
        <w:t xml:space="preserve">fig2_cumulative_returns.pdf</w:t>
      </w:r>
      <w:r>
        <w:rPr>
          <w:i/>
        </w:rPr>
        <w:t xml:space="preserve"> </w:t>
      </w:r>
      <w:r>
        <w:rPr>
          <w:i/>
        </w:rPr>
        <w:t xml:space="preserve">(small-multiples cumulative return by category, representative seed 1001),</w:t>
      </w:r>
      <w:r>
        <w:rPr>
          <w:i/>
        </w:rPr>
        <w:t xml:space="preserve"> </w:t>
      </w:r>
      <w:r>
        <w:rPr>
          <w:rStyle w:val="VerbatimChar"/>
          <w:i/>
        </w:rPr>
        <w:t xml:space="preserve">fig3_bps_sensitivity.pdf</w:t>
      </w:r>
      <w:r>
        <w:rPr>
          <w:i/>
        </w:rPr>
        <w:t xml:space="preserve"> </w:t>
      </w:r>
      <w:r>
        <w:rPr>
          <w:i/>
        </w:rPr>
        <w:t xml:space="preserve">(small-multiples Net Sharpe vs. cost scenario, 3-seed mean) — to be inserted as Figures 1-3 when formatting for Elsevier Editorial Manager.]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2026-09-16T06:59:01Z</dcterms:created>
  <dcterms:modified xsi:type="dcterms:W3CDTF">2026-09-16T06:59:01Z</dcterms:modified>
</cp:coreProperties>
</file>

<file path=docProps/custom.xml><?xml version="1.0" encoding="utf-8"?>
<Properties xmlns="http://schemas.openxmlformats.org/officeDocument/2006/custom-properties" xmlns:vt="http://schemas.openxmlformats.org/officeDocument/2006/docPropsVTypes"/>
</file>