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I am pleased to submit my manuscript,</w:t>
      </w:r>
      <w:r>
        <w:t xml:space="preserve"> </w:t>
      </w:r>
      <w:r>
        <w:t xml:space="preserve">“</w:t>
      </w:r>
      <w:r>
        <w:t xml:space="preserve">Execution-Aware Alpha Mining: Teaching LLM Factor Agents to Account for Trading Costs,</w:t>
      </w:r>
      <w:r>
        <w:t xml:space="preserve">”</w:t>
      </w:r>
      <w:r>
        <w:t xml:space="preserve"> </w:t>
      </w:r>
      <w:r>
        <w:t xml:space="preserve">for consideration as a Letter in</w:t>
      </w:r>
      <w:r>
        <w:t xml:space="preserve"> </w:t>
      </w:r>
      <w:r>
        <w:rPr>
          <w:i/>
        </w:rPr>
        <w:t xml:space="preserve">Finance Research Letters</w:t>
      </w:r>
      <w:r>
        <w:t xml:space="preserve">.</w:t>
      </w:r>
    </w:p>
    <w:p>
      <w:pPr>
        <w:pStyle w:val="BodyText"/>
      </w:pPr>
      <w:r>
        <w:t xml:space="preserve">The paper studies a question that sits squarely in FRL’s scope: does a large language model (LLM) used to mine cross-sectional equity factors search differently, and find something that survives real trading costs better, if it is told about transaction costs</w:t>
      </w:r>
      <w:r>
        <w:t xml:space="preserve"> </w:t>
      </w:r>
      <w:r>
        <w:rPr>
          <w:i/>
        </w:rPr>
        <w:t xml:space="preserve">during</w:t>
      </w:r>
      <w:r>
        <w:t xml:space="preserve"> </w:t>
      </w:r>
      <w:r>
        <w:t xml:space="preserve">the search rather than only at final evaluation? I build a closed-loop pipeline — an LLM proposes factor expressions in a constrained, AST-validated language; each candidate is backtested on a true point-in-time S&amp;P universe (1999-2026, reconstructed from historical constituent membership rather than a survivorship-biased current-day snapshot) and priced with a Corwin-Schultz spread plus square-root impact cost model; the diagnostics are fed back to the agent every round. Comparing an agent rewarded on gross returns alone against one rewarded net of an explicit turnover and cost penalty, across four economically distinct seed-alpha categories (reversal, volume, volatility, momentum) and three LLM sampling seeds — 12 independently seeded re-optimizations evaluated via 21-fold rolling walk-forward optimization spanning 2006-2026 — I find the cost-blind agent converges to 49-101%/day turnover and loses its entire notional in every category despite positive average gross Sharpe (0.67), while the cost-aware agent cuts turnover 22-38x and, for the low-volatility-anomaly seed, converts the outcome into a net-profitable factor. A cluster bootstrap over the 252 underlying fold-level comparisons (resampling by seed-alpha/sampling-seed combination, not by individual fold, since folds within a combination share overlapping training windows) puts the execution-aware Net Sharpe improvement at +9.96 (95% CI [8.3, 11.6]), and the mechanism registers in the discovered factors themselves: execution-aware winners use a long-lookback smoothing operator in 100% of fold-seed instances versus 26% for the cost-blind baseline.</w:t>
      </w:r>
    </w:p>
    <w:p>
      <w:pPr>
        <w:pStyle w:val="BodyText"/>
      </w:pPr>
      <w:r>
        <w:t xml:space="preserve">The manuscript is 2,295 words in the main text (Sections 1-5), within the journal’s 2,500-word letter format limit, with supplementary methodological detail in an appendix that does not count against that limit. It is original work, has not been published previously, and is not under consideration at any other journal. I have no conflicts of interest to declare and received no funding for this research. All code and result logs are publicly available at the repository cited in the manuscript’s Data Availability statement.</w:t>
      </w:r>
    </w:p>
    <w:p>
      <w:pPr>
        <w:pStyle w:val="BodyText"/>
      </w:pPr>
      <w:r>
        <w:t xml:space="preserve">Thank you for your consideration.</w:t>
      </w:r>
    </w:p>
    <w:p>
      <w:pPr>
        <w:pStyle w:val="BodyText"/>
      </w:pPr>
      <w:r>
        <w:t xml:space="preserve">Sincerely,</w:t>
      </w:r>
      <w:r>
        <w:t xml:space="preserve"> </w:t>
      </w:r>
      <w:r>
        <w:t xml:space="preserve">Raghuram Nagireddy</w:t>
      </w:r>
      <w:r>
        <w:t xml:space="preserve"> </w:t>
      </w:r>
      <w:r>
        <w:t xml:space="preserve">Independent researcher</w:t>
      </w:r>
      <w:r>
        <w:t xml:space="preserve"> </w:t>
      </w:r>
      <w:r>
        <w:t xml:space="preserve">rrn2111@caa.columbia.edu</w:t>
      </w:r>
      <w:r>
        <w:t xml:space="preserve"> </w:t>
      </w:r>
      <w:r>
        <w:t xml:space="preserve">ORCID: 0009-0002-2203-3367</w:t>
      </w:r>
    </w:p>
    <w:p>
      <w:r>
        <w:pict>
          <v:rect style="width:0;height:1.5pt" o:hralign="center" o:hrstd="t" o:hr="t"/>
        </w:pict>
      </w:r>
    </w:p>
    <w:p>
      <w:pPr>
        <w:pStyle w:val="Heading2"/>
      </w:pPr>
      <w:bookmarkStart w:id="20" w:name="suggested-reviewers"/>
      <w:r>
        <w:t xml:space="preserve">Suggested reviewers</w:t>
      </w:r>
      <w:bookmarkEnd w:id="20"/>
    </w:p>
    <w:p>
      <w:pPr>
        <w:pStyle w:val="FirstParagraph"/>
      </w:pPr>
      <w:r>
        <w:t xml:space="preserve">Note: Elsevier’s Editorial Manager sometimes prompts authors for suggested reviewers during submission, but this is a general platform feature rather than a rule I could confirm is specifically mandatory for</w:t>
      </w:r>
      <w:r>
        <w:t xml:space="preserve"> </w:t>
      </w:r>
      <w:r>
        <w:rPr>
          <w:i/>
        </w:rPr>
        <w:t xml:space="preserve">Finance Research Letters</w:t>
      </w:r>
      <w:r>
        <w:t xml:space="preserve"> </w:t>
      </w:r>
      <w:r>
        <w:t xml:space="preserve">— the submission form itself will indicate whether it is required or optional for this journal. The following three researchers work directly on the paper’s core themes and are all cited in the manuscript; please verify their current institutional email addresses independently (e.g., via their faculty page) before entering them into the submission system, since I have not confirmed current contact details.</w:t>
      </w:r>
    </w:p>
    <w:p>
      <w:pPr>
        <w:numPr>
          <w:ilvl w:val="0"/>
          <w:numId w:val="1001"/>
        </w:numPr>
      </w:pPr>
      <w:r>
        <w:rPr>
          <w:b/>
        </w:rPr>
        <w:t xml:space="preserve">Mihail Velikov</w:t>
      </w:r>
      <w:r>
        <w:t xml:space="preserve"> </w:t>
      </w:r>
      <w:r>
        <w:t xml:space="preserve">— Associate Professor of Finance, Smeal College of Business, Pennsylvania State University. Directly relevant: co-author of</w:t>
      </w:r>
      <w:r>
        <w:t xml:space="preserve"> </w:t>
      </w:r>
      <w:r>
        <w:t xml:space="preserve">“</w:t>
      </w:r>
      <w:r>
        <w:t xml:space="preserve">A Taxonomy of Anomalies and Their Trading Costs</w:t>
      </w:r>
      <w:r>
        <w:t xml:space="preserve">”</w:t>
      </w:r>
      <w:r>
        <w:t xml:space="preserve"> </w:t>
      </w:r>
      <w:r>
        <w:t xml:space="preserve">(Novy-Marx and Velikov, 2016, cited in this manuscript), the closest existing work to this paper’s core turnover/cost-survival question.</w:t>
      </w:r>
    </w:p>
    <w:p>
      <w:pPr>
        <w:numPr>
          <w:ilvl w:val="0"/>
          <w:numId w:val="1001"/>
        </w:numPr>
      </w:pPr>
      <w:r>
        <w:rPr>
          <w:b/>
        </w:rPr>
        <w:t xml:space="preserve">Marcos López de Prado</w:t>
      </w:r>
      <w:r>
        <w:t xml:space="preserve"> </w:t>
      </w:r>
      <w:r>
        <w:t xml:space="preserve">— Professor of Practice, Cornell University (College of Engineering); Global Head of Quantitative R&amp;D, Abu Dhabi Investment Authority. Directly relevant: author of</w:t>
      </w:r>
      <w:r>
        <w:t xml:space="preserve"> </w:t>
      </w:r>
      <w:r>
        <w:rPr>
          <w:i/>
        </w:rPr>
        <w:t xml:space="preserve">Advances in Financial Machine Learning</w:t>
      </w:r>
      <w:r>
        <w:t xml:space="preserve"> </w:t>
      </w:r>
      <w:r>
        <w:t xml:space="preserve">and co-author of the backtest-overfitting paper this manuscript’s walk-forward design is motivated by (both cited).</w:t>
      </w:r>
    </w:p>
    <w:p>
      <w:pPr>
        <w:numPr>
          <w:ilvl w:val="0"/>
          <w:numId w:val="1001"/>
        </w:numPr>
      </w:pPr>
      <w:r>
        <w:rPr>
          <w:b/>
        </w:rPr>
        <w:t xml:space="preserve">Xiao-Yang Liu</w:t>
      </w:r>
      <w:r>
        <w:t xml:space="preserve"> </w:t>
      </w:r>
      <w:r>
        <w:t xml:space="preserve">— Researcher, Department of Electrical Engineering, Columbia University (TensorLet Lab). Directly relevant: co-author of FinGPT (Yang, Liu and Wang, 2023, cited), directly on LLM-based financial agents, the methodological category this paper’s Generator/Refiner belongs to.</w:t>
      </w:r>
    </w:p>
    <w:p>
      <w:pPr>
        <w:pStyle w:val="FirstParagraph"/>
      </w:pPr>
      <w:r>
        <w:rPr>
          <w:i/>
        </w:rPr>
        <w:t xml:space="preserve">[If the submission form asks whether you oppose any reviewers, leave blank unless you have a specific reason.]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2026-09-16T19:00:51Z</dcterms:created>
  <dcterms:modified xsi:type="dcterms:W3CDTF">2026-09-16T19:00:51Z</dcterms:modified>
</cp:coreProperties>
</file>

<file path=docProps/custom.xml><?xml version="1.0" encoding="utf-8"?>
<Properties xmlns="http://schemas.openxmlformats.org/officeDocument/2006/custom-properties" xmlns:vt="http://schemas.openxmlformats.org/officeDocument/2006/docPropsVTypes"/>
</file>