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hits 49-101%/day turnover, wiped out in all four factor categories.</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is wiped out (net Sharpe -4.7 to -11.2) despite positive average gross Sharpe (0.67); a cluster bootstrap over the 252 underlying fold-level comparisons puts the execution-aware Net Sharpe improvement at +9.96 (95% CI [8.3, 11.6]). Rewarding the identical search net of cost cuts turnover 22-38x, drives near-universal adoption of long-lookback smoothing operators, and, for the volatility-anomaly seed, turns a would-be loss into a net-profitable factor (Sharpe +0.35, CAGR ~3.8%). The other three categories still lose net of cost but far less catastrophically. The finding is not that transaction costs matter in isolation, but that an automated search’s objective specification is itself an economically consequential research choice.</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 evidence turnover-aware feedback helps, consistent with our own finding, but not a controlled test of the reward specification itself: turnover enters as one percentile-ranked input among several, not an explicit dollar-cost model, and the ablation adds evaluation criteria cumulatively rather than holding everything but the reward fixed.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so the comparison is not a single lucky search but 12 independently seeded re-optimizations. Rather than claim priority for embedding a cost signal in an LLM’s feedback loop — a claim a fast-moving literature would make fragile — our contribution is a controlled causal comparison: matched searches that differ</w:t>
      </w:r>
      <w:r>
        <w:t xml:space="preserve"> </w:t>
      </w:r>
      <w:r>
        <w:rPr>
          <w:i/>
        </w:rPr>
        <w:t xml:space="preserve">only</w:t>
      </w:r>
      <w:r>
        <w:t xml:space="preserve"> </w:t>
      </w:r>
      <w:r>
        <w:t xml:space="preserve">in reward, isolating the objective function’s own effect from confounds of model choice, universe, or search budget, and testing that effect for robustness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 never the fold’s own future —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so baseline and execution-aware are apples-to-apples: same starting expression, same sampling seed, same 50-round budget, differing only in reward.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results stand out. First, the baseline is wiped out in</w:t>
      </w:r>
      <w:r>
        <w:t xml:space="preserve"> </w:t>
      </w:r>
      <w:r>
        <w:rPr>
          <w:i/>
        </w:rPr>
        <w:t xml:space="preserve">every</w:t>
      </w:r>
      <w:r>
        <w:t xml:space="preserve"> </w:t>
      </w:r>
      <w:r>
        <w:t xml:space="preserve">category — 49-101%/day turnover means the entire book turns over roughly once daily to nearly twice daily, an economically extreme trading pace no reward function that ignores cost has any reason to avoid. This is not a search that failed to find signal: the baseline exhibits positive average gross out-of-sample Sharpe across categories (0.67: reversal 0.77, volume 0.62, volatility 0.73, momentum 0.55), indicating the cost-blind search is not merely producing noise, but identifying signals whose apparent gross performance is overwhelmed by trading frictions.</w:t>
      </w:r>
    </w:p>
    <w:p>
      <w:pPr>
        <w:pStyle w:val="BodyText"/>
      </w:pPr>
      <w:r>
        <w:t xml:space="preserve">Second, penalizing turnover and modeled cost inside the reward — nothing else about the search, universe, or cost model changes — cuts turnover 22x (reversal) to 38x (momentum) in every category. Pooling the 252 underlying fold-level comparisons (21 folds x 12 seed-alpha/sampling-seed combinations) and treating each combination, not each fold, as the unit of resampling — folds within a combination share overlapping five-year training windows and are not independent replicates — a cluster bootstrap over the 12 combinations puts the mean fold-level Net Sharpe improvement at +9.96 (95% CI [8.3, 11.6]), and execution-aware wins on 87-97% of individual folds within every category. The improvement is not an artifact of a handful of favorable folds or seeds.</w:t>
      </w:r>
    </w:p>
    <w:p>
      <w:pPr>
        <w:pStyle w:val="BodyText"/>
      </w:pPr>
      <w:r>
        <w:t xml:space="preserve">Third, the volatility-anomaly seed does not merely fail less badly — its execution-aware factor is net profitable, consistently across all three sampling seeds (net Sharpe +0.33 to +0.37; CAGR 3.5-4.1% over the 20.6-year stitched OOS record, 13.1-13.3% annualized volatility, maximum drawdown -33% to -40%), with the lowest turnover of any category (1.4%/day, a roughly 71-trading-day average holding period). This is the paper’s clearest instance of a broader pattern: execution-aware’s own gross Sharpe in this category (0.48 on average) is</w:t>
      </w:r>
      <w:r>
        <w:t xml:space="preserve"> </w:t>
      </w:r>
      <w:r>
        <w:rPr>
          <w:i/>
        </w:rPr>
        <w:t xml:space="preserve">lower</w:t>
      </w:r>
      <w:r>
        <w:t xml:space="preserve"> </w:t>
      </w:r>
      <w:r>
        <w:t xml:space="preserve">than the baseline’s (0.73), yet its net outcome is dramatically better — a moderately weaker pre-cost signal traded at a sustainable pace beats a stronger pre-cost signal traded at an unsustainable one. The other three categories retain a smaller share of their gross edge under the execution-aware reward and remain net-negative, but far less catastrophically than their cost-blind counterparts.</w:t>
      </w:r>
    </w:p>
    <w:p>
      <w:pPr>
        <w:pStyle w:val="BodyText"/>
      </w:pPr>
      <w:r>
        <w:t xml:space="preserve">Fourth, Table 2 shows</w:t>
      </w:r>
      <w:r>
        <w:t xml:space="preserve"> </w:t>
      </w:r>
      <w:r>
        <w:rPr>
          <w:i/>
        </w:rPr>
        <w:t xml:space="preserve">why</w:t>
      </w:r>
      <w:r>
        <w:t xml:space="preserve">: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far more reliably: its modal winning expression per category recurs in 14-22 of 63 fold-seed instances, versus 1-2 of 63 for the baseline, whose winning expression is rarely the same twice. Cost-awareness does not just shrink turnover as a side effect; it systematically redirects the search toward a narrow family of long-window, heavily-smoothed, structurally simpler expressions.</w:t>
      </w:r>
    </w:p>
    <w:p>
      <w:pPr>
        <w:pStyle w:val="Heading2"/>
      </w:pPr>
      <w:bookmarkStart w:id="26" w:name="discussion-and-limitations"/>
      <w:r>
        <w:t xml:space="preserve">4. Discussion and limitations</w:t>
      </w:r>
      <w:bookmarkEnd w:id="26"/>
    </w:p>
    <w:p>
      <w:pPr>
        <w:pStyle w:val="FirstParagraph"/>
      </w:pPr>
      <w:r>
        <w:t xml:space="preserve">A natural objection is that a reward penalizing turnover will mechanically produce low-turnover factors, making the result definitional rather than informative. We agree that is the mechanism — the informative question is whether that trade-off improves realized out-of-sample performance, and the evidence above answers it on several separate margins at once: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mechanism is independently visible in expression structure (Table 2), not just in the performance numbers it produces. Under daily-rebalanced, dollar-neutral cross-sectional portfolio construction specifically, the reward specification is doing real work, not a detail to be tuned after the fact: a pipeline reporting</w:t>
      </w:r>
      <w:r>
        <w:t xml:space="preserve"> </w:t>
      </w:r>
      <w:r>
        <w:t xml:space="preserve">“</w:t>
      </w:r>
      <w:r>
        <w:t xml:space="preserve">the LLM found a factor with Sharpe X</w:t>
      </w:r>
      <w:r>
        <w:t xml:space="preserve">”</w:t>
      </w:r>
      <w:r>
        <w:t xml:space="preserve"> </w:t>
      </w:r>
      <w:r>
        <w:t xml:space="preserve">without disclosing the reward function is silently answering a different, less trustworthy question than one reporting a finding stable across 12 independently seeded re-optimizations.</w:t>
      </w:r>
    </w:p>
    <w:p>
      <w:pPr>
        <w:pStyle w:val="BodyText"/>
      </w:pPr>
      <w:r>
        <w:t xml:space="preserve">The magnitude of the baseline’s net Sharpe is large enough to warrant a sanity check: at a representative 85%/day turnover, the sample’s median Corwin-Schultz half-spread (6.7bps) plus impact at a plausible participation rate implies roughly 20bps one-way cost per unit traded, compounding to on the order of 85-90% of NAV/year in cost drag — comfortably enough to overwhelm a genuinely positive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 — an explicit spread-and-impact model, not a claim of execution-data-calibrated realism — has an impact coefficient (</w:t>
      </w:r>
      <w:r>
        <w:rPr>
          <w:rStyle w:val="VerbatimChar"/>
        </w:rPr>
        <w:t xml:space="preserve">Y=0.5</w:t>
      </w:r>
      <w:r>
        <w:t xml:space="preserve">) not fit to realized execution data, motivating the flat-cost sensitivity columns; Figure 3’s cost scenarios still share the same model family used inside the reward, so they establish robustness to the assumed cost</w:t>
      </w:r>
      <w:r>
        <w:t xml:space="preserve"> </w:t>
      </w:r>
      <w:r>
        <w:rPr>
          <w:i/>
        </w:rPr>
        <w:t xml:space="preserve">level</w:t>
      </w:r>
      <w:r>
        <w:t xml:space="preserve">, not to the cost</w:t>
      </w:r>
      <w:r>
        <w:t xml:space="preserve"> </w:t>
      </w:r>
      <w:r>
        <w:rPr>
          <w:i/>
        </w:rPr>
        <w:t xml:space="preserve">model’s functional form</w:t>
      </w:r>
      <w:r>
        <w:t xml:space="preserve">. Portfolio construction is deliberately unconstrained — daily rebalancing, no no-trade band — so the factor expression itself is the only turnover-reduction lever available to the search. Finally, we would caution against reading the negative net Sharpe ratios in three of four categories as evidence that these predictor families are categorically unprofitable net of cost; they reflect a deliberately unforgiving stress test — uncontrolled 200%-gross daily rebalancing — chosen to make the cost channel, and the agent’s response to it, easy to see, with the volatility category showing that the same stress test can flip to a profitable outcome once the reward stops being blind to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is wiped out net of cost in every one of four economically distinct seed-alpha categories despite positive average gross Sharpe (0.67); rewarding the identical search net of turnover and cost cuts turnover 22-38x and, for a low-volatility-anomaly seed, converts the outcome into a net-profitable factor, with a bootstrap-significant net Sharpe improvement (+9.96, 95% CI [8.3, 11.6]) across 21 rolling walk-forward folds (2006-2026), four seed-alpha categories, and three LLM sampling seeds on a true point-in-time universe. Methodologically, the deeper point is that execution cost is not merely an evaluation-stage quantity applied after the fact — it can change the solution an automated search selects in the first place, visibly redirecting expression structure (Table 2) as well as performance. Whether or not any single resulting factor is itself investable, the exercise argues that the objective function of an automated alpha-mining agent is an economically consequential research choice in its own right.</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Full-trajectory inspection (not just tail sampling) of temperature-0 and temperature-0.3 runs showed both collapse to a fixed point after round 1-2 and make no further progress for the remainder of a 25-50 round run, despite temperature-0.3 initially appearing, from partial inspection, to preserve exploration — a conclusion retracted on full-trajectory review. Temperature 0.7 was the lowest setting found to sustain genuine multi-round search; consequently all reported results characterize sampling variance via three independent seeds at temperature 0.7 rather than relying on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p>
      <w:r>
        <w:pict>
          <v:rect style="width:0;height:1.5pt" o:hralign="center" o:hrstd="t" o:hr="t"/>
        </w:pict>
      </w:r>
    </w:p>
    <w:p>
      <w:pPr>
        <w:pStyle w:val="FirstParagraph"/>
      </w:pPr>
      <w:r>
        <w:rPr>
          <w:i/>
        </w:rPr>
        <w:t xml:space="preserve">[Main text word count (Sections 1-5 only, excluding title/highlights/abstract/keywords/Tables 1-2/statements/references/Appendix A/figure captions): 2,418 words (measured), within FRL’s 2,500-word letter format limit (82 words of headroom). All 15 references are cited in-text and vice versa (verified). IMPORTANT correction from a second literature pass: an earlier draft of this related-work paragraph stated that no prior LLM alpha-mining work regularizes toward lower turnover/cost – this was checked against the actual Shi, Duan and Li (2026) paper text (not just its abstract) and found to be WRONG: that paper explicitly aggregates Turnover as one of five equally-weighted dimensions in its MCTS reward and reports (via ablation) that it improves AER/IR. The paragraph has been corrected to accurately describe and distinguish from that mechanism (composite percentile score, cumulative ablation vs. this paper’s single-variable controlled reward swap and explicit dollar-cost model) rather than deny it exists. A claimed FRL 2026 paper (</w:t>
      </w:r>
      <w:r>
        <w:rPr>
          <w:i/>
        </w:rPr>
        <w:t xml:space="preserve">“</w:t>
      </w:r>
      <w:r>
        <w:rPr>
          <w:i/>
        </w:rPr>
        <w:t xml:space="preserve">Good portfolios from bad forecasts</w:t>
      </w:r>
      <w:r>
        <w:rPr>
          <w:i/>
        </w:rPr>
        <w:t xml:space="preserve">”</w:t>
      </w:r>
      <w:r>
        <w:rPr>
          <w:i/>
        </w:rPr>
        <w:t xml:space="preserve">) was checked and NOT added: it is a real paper, but its verifiable abstract is about volatility-forecast quality (QLIKE/MCS/Diebold-Mariano), not the</w:t>
      </w:r>
      <w:r>
        <w:rPr>
          <w:i/>
        </w:rPr>
        <w:t xml:space="preserve"> </w:t>
      </w:r>
      <w:r>
        <w:rPr>
          <w:i/>
        </w:rPr>
        <w:t xml:space="preserve">“</w:t>
      </w:r>
      <w:r>
        <w:rPr>
          <w:i/>
        </w:rPr>
        <w:t xml:space="preserve">23-26% daily turnover erodes LLM Sharpe</w:t>
      </w:r>
      <w:r>
        <w:rPr>
          <w:i/>
        </w:rPr>
        <w:t xml:space="preserve">”</w:t>
      </w:r>
      <w:r>
        <w:rPr>
          <w:i/>
        </w:rPr>
        <w:t xml:space="preserve"> </w:t>
      </w:r>
      <w:r>
        <w:rPr>
          <w:i/>
        </w:rPr>
        <w:t xml:space="preserve">finding it was reported to contain – that specific claim could not be confirmed, so it was not cited. Several other papers surfaced in the secondary search (AlphaSAGE, QuantaAlpha, a hybrid LLM/RL alpha-discovery paper, a 2025 LLM-alpha-mining survey) were not independently verified against primary sources given time constraints and remaining word budget, and are deliberately not cited here on that basis. Figures generated and ready for insertion:</w:t>
      </w:r>
      <w:r>
        <w:rPr>
          <w:i/>
        </w:rPr>
        <w:t xml:space="preserve"> </w:t>
      </w:r>
      <w:r>
        <w:rPr>
          <w:rStyle w:val="VerbatimChar"/>
          <w:i/>
        </w:rPr>
        <w:t xml:space="preserve">results/figures/fig1_architecture.pdf</w:t>
      </w:r>
      <w:r>
        <w:rPr>
          <w:i/>
        </w:rPr>
        <w:t xml:space="preserve"> </w:t>
      </w:r>
      <w:r>
        <w:rPr>
          <w:i/>
        </w:rPr>
        <w:t xml:space="preserve">(architecture),</w:t>
      </w:r>
      <w:r>
        <w:rPr>
          <w:i/>
        </w:rPr>
        <w:t xml:space="preserve"> </w:t>
      </w:r>
      <w:r>
        <w:rPr>
          <w:rStyle w:val="VerbatimChar"/>
          <w:i/>
        </w:rPr>
        <w:t xml:space="preserve">fig2_cumulative_returns.pdf</w:t>
      </w:r>
      <w:r>
        <w:rPr>
          <w:i/>
        </w:rPr>
        <w:t xml:space="preserve"> </w:t>
      </w:r>
      <w:r>
        <w:rPr>
          <w:i/>
        </w:rPr>
        <w:t xml:space="preserve">(small-multiples cumulative return by category, representative seed 1001),</w:t>
      </w:r>
      <w:r>
        <w:rPr>
          <w:i/>
        </w:rPr>
        <w:t xml:space="preserve"> </w:t>
      </w:r>
      <w:r>
        <w:rPr>
          <w:rStyle w:val="VerbatimChar"/>
          <w:i/>
        </w:rPr>
        <w:t xml:space="preserve">fig3_bps_sensitivity.pdf</w:t>
      </w:r>
      <w:r>
        <w:rPr>
          <w:i/>
        </w:rPr>
        <w:t xml:space="preserve"> </w:t>
      </w:r>
      <w:r>
        <w:rPr>
          <w:i/>
        </w:rPr>
        <w:t xml:space="preserve">(small-multiples Net Sharpe vs. cost scenario, 3-seed mean) — to be inserted as Figures 1-3 when formatting for Elsevier Editorial Manager. The statistical (cluster bootstrap) and mechanism (Table 2) analyses added in this revision are computed from already-completed run data (</w:t>
      </w:r>
      <w:r>
        <w:rPr>
          <w:rStyle w:val="VerbatimChar"/>
          <w:i/>
        </w:rPr>
        <w:t xml:space="preserve">results/local_llm_runs/full_grid_2006_2026/*/seed_*/wfo_folds.csv</w:t>
      </w:r>
      <w:r>
        <w:rPr>
          <w:i/>
        </w:rPr>
        <w:t xml:space="preserve">) — no new GPU experiments were required. The reward-decomposition ablation and gamma-sensitivity sweep flagged in Section 4 as the most important remaining check DO require new experiments and have not yet been run.]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2026-09-16T18:11:21Z</dcterms:created>
  <dcterms:modified xsi:type="dcterms:W3CDTF">2026-09-16T18:11:21Z</dcterms:modified>
</cp:coreProperties>
</file>

<file path=docProps/custom.xml><?xml version="1.0" encoding="utf-8"?>
<Properties xmlns="http://schemas.openxmlformats.org/officeDocument/2006/custom-properties" xmlns:vt="http://schemas.openxmlformats.org/officeDocument/2006/docPropsVTypes"/>
</file>