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numPr>
          <w:ilvl w:val="0"/>
          <w:numId w:val="1001"/>
        </w:numPr>
        <w:pStyle w:val="Compact"/>
      </w:pPr>
      <w:r>
        <w:t xml:space="preserve">An LLM factor search is run with cost-blind, reward-only and cost-explained feedback.</w:t>
      </w:r>
    </w:p>
    <w:p>
      <w:pPr>
        <w:numPr>
          <w:ilvl w:val="0"/>
          <w:numId w:val="1001"/>
        </w:numPr>
        <w:pStyle w:val="Compact"/>
      </w:pPr>
      <w:r>
        <w:t xml:space="preserve">Cost-blind search reaches 36-103% daily turnover and loses all capital in each case.</w:t>
      </w:r>
    </w:p>
    <w:p>
      <w:pPr>
        <w:numPr>
          <w:ilvl w:val="0"/>
          <w:numId w:val="1001"/>
        </w:numPr>
        <w:pStyle w:val="Compact"/>
      </w:pPr>
      <w:r>
        <w:t xml:space="preserve">Cost reward lifts deeply negative net Sharpe by 7.9 points; explaining it adds 2.4.</w:t>
      </w:r>
    </w:p>
    <w:p>
      <w:pPr>
        <w:numPr>
          <w:ilvl w:val="0"/>
          <w:numId w:val="1001"/>
        </w:numPr>
        <w:pStyle w:val="Compact"/>
      </w:pPr>
      <w:r>
        <w:t xml:space="preserve">Explicit cost guidance produces the long-horizon smoothing of the winning factors.</w:t>
      </w:r>
    </w:p>
    <w:p>
      <w:pPr>
        <w:numPr>
          <w:ilvl w:val="0"/>
          <w:numId w:val="1001"/>
        </w:numPr>
        <w:pStyle w:val="Compact"/>
      </w:pPr>
      <w:r>
        <w:t xml:space="preserve">Only low volatility turns profitable; even there, simple rules match the LLM search.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2026-10-08T03:43:14Z</dcterms:created>
  <dcterms:modified xsi:type="dcterms:W3CDTF">2026-10-08T03:43:14Z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