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loses its entire notional (net Sharpe -4.7 to -11.2) despite positive average gross Sharpe (0.67); a cluster bootstrap over the 252 underlying fold-level comparisons puts the execution-aware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real pre-cost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p>
      <w:r>
        <w:pict>
          <v:rect style="width:0;height:1.5pt" o:hralign="center" o:hrstd="t" o:hr="t"/>
        </w:pict>
      </w:r>
    </w:p>
    <w:p>
      <w:pPr>
        <w:pStyle w:val="FirstParagraph"/>
      </w:pPr>
      <w:r>
        <w:rPr>
          <w:i/>
        </w:rPr>
        <w:t xml:space="preserve">[Main text word count (Sections 1-5 only, excluding title/highlights/abstract/keywords/Tables 1-2/statements/references/Appendix A/figure captions): 2,208 words (measured), within FRL’s 2,500-word letter format limit (292 words of headroom, after an editorial pass that cut defensive/self-justifying phrasing without removing content). All 15 references are cited in-text and vice versa (verified). IMPORTANT correction from a second literature pass: an earlier draft of this related-work paragraph stated that no prior LLM alpha-mining work regularizes toward lower turnover/cost – this was checked against the actual Shi, Duan and Li (2026) paper text (not just its abstract) and found to be WRONG: that paper explicitly aggregates Turnover as one of five equally-weighted dimensions in its MCTS reward and reports (via ablation) that it improves AER/IR. The paragraph has been corrected to accurately describe and distinguish from that mechanism (composite percentile score, cumulative ablation vs. this paper’s single-variable controlled reward swap and explicit dollar-cost model) rather than deny it exists. A claimed FRL 2026 paper (</w:t>
      </w:r>
      <w:r>
        <w:rPr>
          <w:i/>
        </w:rPr>
        <w:t xml:space="preserve">“</w:t>
      </w:r>
      <w:r>
        <w:rPr>
          <w:i/>
        </w:rPr>
        <w:t xml:space="preserve">Good portfolios from bad forecasts</w:t>
      </w:r>
      <w:r>
        <w:rPr>
          <w:i/>
        </w:rPr>
        <w:t xml:space="preserve">”</w:t>
      </w:r>
      <w:r>
        <w:rPr>
          <w:i/>
        </w:rPr>
        <w:t xml:space="preserve">) was checked and NOT added: it is a real paper, but its verifiable abstract is about volatility-forecast quality (QLIKE/MCS/Diebold-Mariano), not the</w:t>
      </w:r>
      <w:r>
        <w:rPr>
          <w:i/>
        </w:rPr>
        <w:t xml:space="preserve"> </w:t>
      </w:r>
      <w:r>
        <w:rPr>
          <w:i/>
        </w:rPr>
        <w:t xml:space="preserve">“</w:t>
      </w:r>
      <w:r>
        <w:rPr>
          <w:i/>
        </w:rPr>
        <w:t xml:space="preserve">23-26% daily turnover erodes LLM Sharpe</w:t>
      </w:r>
      <w:r>
        <w:rPr>
          <w:i/>
        </w:rPr>
        <w:t xml:space="preserve">”</w:t>
      </w:r>
      <w:r>
        <w:rPr>
          <w:i/>
        </w:rPr>
        <w:t xml:space="preserve"> </w:t>
      </w:r>
      <w:r>
        <w:rPr>
          <w:i/>
        </w:rPr>
        <w:t xml:space="preserve">finding it was reported to contain – that specific claim could not be confirmed, so it was not cited. Several other papers surfaced in the secondary search (AlphaSAGE, QuantaAlpha, a hybrid LLM/RL alpha-discovery paper, a 2025 LLM-alpha-mining survey) were not independently verified against primary sources given time constraints and remaining word budget, and are deliberately not cited here on that basis. Figures generated and ready for insertion:</w:t>
      </w:r>
      <w:r>
        <w:rPr>
          <w:i/>
        </w:rPr>
        <w:t xml:space="preserve"> </w:t>
      </w:r>
      <w:r>
        <w:rPr>
          <w:rStyle w:val="VerbatimChar"/>
          <w:i/>
        </w:rPr>
        <w:t xml:space="preserve">results/figures/fig1_architecture.pdf</w:t>
      </w:r>
      <w:r>
        <w:rPr>
          <w:i/>
        </w:rPr>
        <w:t xml:space="preserve"> </w:t>
      </w:r>
      <w:r>
        <w:rPr>
          <w:i/>
        </w:rPr>
        <w:t xml:space="preserve">(architecture),</w:t>
      </w:r>
      <w:r>
        <w:rPr>
          <w:i/>
        </w:rPr>
        <w:t xml:space="preserve"> </w:t>
      </w:r>
      <w:r>
        <w:rPr>
          <w:rStyle w:val="VerbatimChar"/>
          <w:i/>
        </w:rPr>
        <w:t xml:space="preserve">fig2_cumulative_returns.pdf</w:t>
      </w:r>
      <w:r>
        <w:rPr>
          <w:i/>
        </w:rPr>
        <w:t xml:space="preserve"> </w:t>
      </w:r>
      <w:r>
        <w:rPr>
          <w:i/>
        </w:rPr>
        <w:t xml:space="preserve">(small-multiples cumulative return by category, representative seed 1001),</w:t>
      </w:r>
      <w:r>
        <w:rPr>
          <w:i/>
        </w:rPr>
        <w:t xml:space="preserve"> </w:t>
      </w:r>
      <w:r>
        <w:rPr>
          <w:rStyle w:val="VerbatimChar"/>
          <w:i/>
        </w:rPr>
        <w:t xml:space="preserve">fig3_bps_sensitivity.pdf</w:t>
      </w:r>
      <w:r>
        <w:rPr>
          <w:i/>
        </w:rPr>
        <w:t xml:space="preserve"> </w:t>
      </w:r>
      <w:r>
        <w:rPr>
          <w:i/>
        </w:rPr>
        <w:t xml:space="preserve">(small-multiples Net Sharpe vs. cost scenario, 3-seed mean) — to be inserted as Figures 1-3 when formatting for Elsevier Editorial Manager. The statistical (cluster bootstrap) and mechanism (Table 2) analyses added in this revision are computed from already-completed run data (</w:t>
      </w:r>
      <w:r>
        <w:rPr>
          <w:rStyle w:val="VerbatimChar"/>
          <w:i/>
        </w:rPr>
        <w:t xml:space="preserve">results/local_llm_runs/full_grid_2006_2026/*/seed_*/wfo_folds.csv</w:t>
      </w:r>
      <w:r>
        <w:rPr>
          <w:i/>
        </w:rPr>
        <w:t xml:space="preserve">) — no new GPU experiments were required. The reward-decomposition ablation and gamma-sensitivity sweep flagged in Section 4 as the most important remaining check DO require new experiments and have not yet been run.]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2026-09-16T18:25:04Z</dcterms:created>
  <dcterms:modified xsi:type="dcterms:W3CDTF">2026-09-16T18:25:04Z</dcterms:modified>
</cp:coreProperties>
</file>

<file path=docProps/custom.xml><?xml version="1.0" encoding="utf-8"?>
<Properties xmlns="http://schemas.openxmlformats.org/officeDocument/2006/custom-properties" xmlns:vt="http://schemas.openxmlformats.org/officeDocument/2006/docPropsVTypes"/>
</file>