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9.png" ContentType="image/png"/>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r>
        <w:pict>
          <v:rect style="width:0;height:1.5pt" o:hralign="center" o:hrstd="t" o:hr="t"/>
        </w:pict>
      </w:r>
    </w:p>
    <w:p>
      <w:pPr>
        <w:pStyle w:val="Heading2"/>
      </w:pPr>
      <w:bookmarkStart w:id="21" w:name="abstract"/>
      <w:r>
        <w:t xml:space="preserve">Abstract</w:t>
      </w:r>
      <w:bookmarkEnd w:id="21"/>
    </w:p>
    <w:p>
      <w:pPr>
        <w:pStyle w:val="FirstParagraph"/>
      </w:pPr>
      <w:r>
        <w:t xml:space="preserve">Large language model (LLM) agents increasingly generate candidate trading signals, but many</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reconstructed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produces a -100% cumulative return (net Sharpe -4.7 to -11.2) despite positive average gross Sharpe (0.67); a cluster bootstrap over the 252 underlying fold-level comparisons (paired execution-aware minus baseline) puts the Net Sharpe improvement at +9.96 (95% CI [8.3, 11.6]). Rewarding the identical search net of cost cuts turnover 22-38x, drives near-universal adoption of long-lookback smoothing operators, and, for the volatility-anomaly seed, produces a net-profitable factor (Sharpe +0.35, CAGR ~3.8%). The other three categories remain net-negative, by substantially smaller margins. These results identify the objective specification of an automated search as an economically consequential research choice in its own right.</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2" w:name="introduction"/>
      <w:r>
        <w:t xml:space="preserve">1. Introduction</w:t>
      </w:r>
      <w:bookmarkEnd w:id="22"/>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 regularized-exploration framework that penalizes low originality and overfitting-prone complexity to counteract alpha decay (Tang et al., 2025); and evidence that an LLM’s own output variability across repeated queries is itself a source of implied turnover and cost in LLM-driven stock selection (Chon, Kim and Kim, 2025). Closest to our design, an LLM-guided Monte Carlo tree search aggregates turnover alongside four other criteria into one equally-weighted composite reward, and reports via a cumulative ablation that adding turnover improves practical trading metrics (Shi, Duan and Li, 2026). That evidence is consistent with our findings, but the design differs in two respects: turnover enters as one percentile-ranked input among several rather than an explicit dollar-cost model, and the ablation adds evaluation criteria cumulatively rather than holding all else fixed while varying the reward. Our design instead isolates the reward as the</w:t>
      </w:r>
      <w:r>
        <w:t xml:space="preserve"> </w:t>
      </w:r>
      <w:r>
        <w:rPr>
          <w:i/>
        </w:rPr>
        <w:t xml:space="preserve">sole</w:t>
      </w:r>
      <w:r>
        <w:t xml:space="preserve"> </w:t>
      </w:r>
      <w:r>
        <w:t xml:space="preserve">controlled treatment — identical model, sampling seed, search budget, and starting expression, an explicit spread-and-impact cost model rather than a percentile score, and repeated long-horizon walk-forward re-optimization.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reconstructed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yielding 12 independently seeded re-optimizations. The contribution is a controlled comparison: matched searches that differ</w:t>
      </w:r>
      <w:r>
        <w:t xml:space="preserve"> </w:t>
      </w:r>
      <w:r>
        <w:rPr>
          <w:i/>
        </w:rPr>
        <w:t xml:space="preserve">only</w:t>
      </w:r>
      <w:r>
        <w:t xml:space="preserve"> </w:t>
      </w:r>
      <w:r>
        <w:t xml:space="preserve">in reward, isolating the objective function’s effect from confounds of model choice, universe, or search budget, and testing that effect across both sampling randomness and the economic mechanism the search is warm-started from.</w:t>
      </w:r>
    </w:p>
    <w:p>
      <w:pPr>
        <w:pStyle w:val="Heading2"/>
      </w:pPr>
      <w:bookmarkStart w:id="23" w:name="data-and-methodology"/>
      <w:r>
        <w:t xml:space="preserve">2. Data and Methodology</w:t>
      </w:r>
      <w:bookmarkEnd w:id="23"/>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(never the fold’s own future),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 Target weights derived from a factor score computed on day t’s inputs are lagged one day before being applied, so a position earns the close[t]-to-close[t+1] return rather than the return already realized when the signal was formed; no same-day price information enters the reward.</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matching the two conditions on starting expression, sampling seed, and 50-round budget, and leaving the reward as the only difference between them.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4" w:name="results"/>
      <w:r>
        <w:t xml:space="preserve">3. Results</w:t>
      </w:r>
      <w:bookmarkEnd w:id="24"/>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findings emerge. First, the baseline loses its entire notional in</w:t>
      </w:r>
      <w:r>
        <w:t xml:space="preserve"> </w:t>
      </w:r>
      <w:r>
        <w:rPr>
          <w:i/>
        </w:rPr>
        <w:t xml:space="preserve">every</w:t>
      </w:r>
      <w:r>
        <w:t xml:space="preserve"> </w:t>
      </w:r>
      <w:r>
        <w:t xml:space="preserve">category: 49-101%/day turnover rotates the book roughly once to twice daily, a trading pace a reward function blind to cost has no reason to avoid. The baseline nonetheless attains positive average gross out-of-sample Sharpe across categories (0.67: reversal 0.77, volume 0.62, volatility 0.73, momentum 0.55). The cost-blind search therefore locates signals with positive pre-cost out-of-sample performance, which trading frictions subsequently overwhelm.</w:t>
      </w:r>
    </w:p>
    <w:p>
      <w:pPr>
        <w:pStyle w:val="BodyText"/>
      </w:pPr>
      <w:r>
        <w:t xml:space="preserve">Second, penalizing turnover and modeled cost inside the reward — nothing else about the search, universe, or cost model changes — cuts turnover 22x (reversal) to 38x (momentum) in every category. This comparison pools 252 fold-level observations (21 folds x 12 seed-alpha/sampling-seed combinations). Because folds within a combination share overlapping five-year training windows, they are not independent replicates, so we resample whole combinations rather than individual folds. A cluster bootstrap over the 12 combinations puts the mean fold-level Net Sharpe improvement (paired execution-aware minus baseline) at +9.96 (95% CI [8.3, 11.6]), with execution-aware superior on 87-97% of individual folds within every category. As a complementary check at the cluster level itself, all 12 combination-level mean deltas are positive (exact sign test, p=0.0005).</w:t>
      </w:r>
    </w:p>
    <w:p>
      <w:pPr>
        <w:pStyle w:val="BodyText"/>
      </w:pPr>
      <w:r>
        <w:t xml:space="preserve">Third, the volatility-anomaly seed’s execution-aware factor is net profitable across all three sampling seeds (net Sharpe +0.33 to +0.37; CAGR 3.5-4.1% over the 20.6-year stitched OOS record, 13.1-13.3% annualized volatility, maximum drawdown -33% to -40%), with the lowest turnover of any category (1.4%/day, a roughly 71-trading-day average holding period). The underlying pattern is clearest here: execution-aware’s own gross Sharpe in this category (0.48 on average) is</w:t>
      </w:r>
      <w:r>
        <w:t xml:space="preserve"> </w:t>
      </w:r>
      <w:r>
        <w:rPr>
          <w:i/>
        </w:rPr>
        <w:t xml:space="preserve">lower</w:t>
      </w:r>
      <w:r>
        <w:t xml:space="preserve"> </w:t>
      </w:r>
      <w:r>
        <w:t xml:space="preserve">than the baseline’s (0.73), yet its net outcome is substantially better. A moderately weaker pre-cost signal traded at a sustainable pace outperforms a stronger one traded at an unsustainable pace. The other three categories retain a smaller share of their gross edge under the execution-aware reward and remain net-negative, though by substantially smaller margins than their cost-blind counterparts.</w:t>
      </w:r>
    </w:p>
    <w:p>
      <w:pPr>
        <w:pStyle w:val="BodyText"/>
      </w:pPr>
      <w:r>
        <w:t xml:space="preserve">Fourth, Table 2 indicates the mechanism: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more reliably: its modal winning expression per category recurs in 14-22 of 63 fold-seed instances, versus 1-2 of 63 for the baseline, whose winning expression is rarely repeated. Cost-awareness thus redirects the search toward a narrow family of long-window, heavily-smoothed, structurally simpler expressions, providing a direct mechanism for the observed reduction in turnover.</w:t>
      </w:r>
    </w:p>
    <w:p>
      <w:pPr>
        <w:pStyle w:val="BodyText"/>
      </w:pPr>
      <w:r>
        <w:t xml:space="preserve">Fifth, this result is not an artifact of the specific (gamma1=0.5, gamma2=8) weighting. Holding the search, universe, and cost model fixed, we reran the volatility category at one sampling seed across nine additional penalty settings spanning turnover-only, cost-only, and a combined midpoint; together with the (0.5, 8) setting above, ten configurations in total (Table 3). Every setting achieves positive net Sharpe (+0.02 to +0.45) and turnover 14-33x below the cost-blind baseline, with no configuration reproducing the baseline’s collapse. The pattern is a threshold effect rather than a smoothly degrading frontier: turnover collapses as soon as any turnover penalty is applied and is then largely insensitive to its magnitude (gamma1 0.1 to 1.0), whereas the cost-only penalty is more sensitive at its weakest setting (gamma2=2, net Sharpe barely positive) before plateauing from gamma2=4 upward.</w:t>
      </w:r>
    </w:p>
    <w:p>
      <w:pPr>
        <w:pStyle w:val="BodyText"/>
      </w:pPr>
      <w:r>
        <w:rPr>
          <w:b/>
        </w:rPr>
        <w:t xml:space="preserve">Table 3. Penalty-sensitivity sweep, volatility category, sampling seed 1001</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Setting</w:t>
            </w:r>
          </w:p>
        </w:tc>
        <w:tc>
          <w:tcPr>
            <w:tcBorders>
              <w:bottom w:val="single"/>
            </w:tcBorders>
            <w:vAlign w:val="bottom"/>
          </w:tcPr>
          <w:p>
            <w:pPr>
              <w:pStyle w:val="Compact"/>
              <w:jc w:val="left"/>
            </w:pPr>
            <w:r>
              <w:t xml:space="preserve">gamma1</w:t>
            </w:r>
          </w:p>
        </w:tc>
        <w:tc>
          <w:tcPr>
            <w:tcBorders>
              <w:bottom w:val="single"/>
            </w:tcBorders>
            <w:vAlign w:val="bottom"/>
          </w:tcPr>
          <w:p>
            <w:pPr>
              <w:pStyle w:val="Compact"/>
              <w:jc w:val="left"/>
            </w:pPr>
            <w:r>
              <w:t xml:space="preserve">gamma2</w:t>
            </w:r>
          </w:p>
        </w:tc>
        <w:tc>
          <w:tcPr>
            <w:tcBorders>
              <w:bottom w:val="single"/>
            </w:tcBorders>
            <w:vAlign w:val="bottom"/>
          </w:tcPr>
          <w:p>
            <w:pPr>
              <w:pStyle w:val="Compact"/>
              <w:jc w:val="left"/>
            </w:pPr>
            <w:r>
              <w:t xml:space="preserve">Net Sharpe (full cost)</w:t>
            </w:r>
          </w:p>
        </w:tc>
        <w:tc>
          <w:tcPr>
            <w:tcBorders>
              <w:bottom w:val="single"/>
            </w:tcBorders>
            <w:vAlign w:val="bottom"/>
          </w:tcPr>
          <w:p>
            <w:pPr>
              <w:pStyle w:val="Compact"/>
              <w:jc w:val="left"/>
            </w:pPr>
            <w:r>
              <w:t xml:space="preserve">Turnover (%/day)</w:t>
            </w:r>
          </w:p>
        </w:tc>
        <w:tc>
          <w:tcPr>
            <w:tcBorders>
              <w:bottom w:val="single"/>
            </w:tcBorders>
            <w:vAlign w:val="bottom"/>
          </w:tcPr>
          <w:p>
            <w:pPr>
              <w:pStyle w:val="Compact"/>
              <w:jc w:val="left"/>
            </w:pPr>
            <w:r>
              <w:t xml:space="preserve">Cumulative return</w:t>
            </w:r>
          </w:p>
        </w:tc>
      </w:tr>
      <w:tr>
        <w:tc>
          <w:p>
            <w:pPr>
              <w:pStyle w:val="Compact"/>
              <w:jc w:val="left"/>
            </w:pPr>
            <w:r>
              <w:t xml:space="preserve">Baseline</w:t>
            </w:r>
          </w:p>
        </w:tc>
        <w:tc>
          <w:p>
            <w:pPr>
              <w:pStyle w:val="Compact"/>
              <w:jc w:val="left"/>
            </w:pPr>
            <w:r>
              <w:t xml:space="preserve">0</w:t>
            </w:r>
          </w:p>
        </w:tc>
        <w:tc>
          <w:p>
            <w:pPr>
              <w:pStyle w:val="Compact"/>
              <w:jc w:val="left"/>
            </w:pPr>
            <w:r>
              <w:t xml:space="preserve">0</w:t>
            </w:r>
          </w:p>
        </w:tc>
        <w:tc>
          <w:p>
            <w:pPr>
              <w:pStyle w:val="Compact"/>
              <w:jc w:val="left"/>
            </w:pPr>
            <w:r>
              <w:t xml:space="preserve">-3.88</w:t>
            </w:r>
          </w:p>
        </w:tc>
        <w:tc>
          <w:p>
            <w:pPr>
              <w:pStyle w:val="Compact"/>
              <w:jc w:val="left"/>
            </w:pPr>
            <w:r>
              <w:t xml:space="preserve">45.9%</w:t>
            </w:r>
          </w:p>
        </w:tc>
        <w:tc>
          <w:p>
            <w:pPr>
              <w:pStyle w:val="Compact"/>
              <w:jc w:val="left"/>
            </w:pPr>
            <w:r>
              <w:t xml:space="preserve">-100%</w:t>
            </w:r>
          </w:p>
        </w:tc>
      </w:tr>
      <w:tr>
        <w:tc>
          <w:p>
            <w:pPr>
              <w:pStyle w:val="Compact"/>
              <w:jc w:val="left"/>
            </w:pPr>
            <w:r>
              <w:t xml:space="preserve">Turnover-only</w:t>
            </w:r>
          </w:p>
        </w:tc>
        <w:tc>
          <w:p>
            <w:pPr>
              <w:pStyle w:val="Compact"/>
              <w:jc w:val="left"/>
            </w:pPr>
            <w:r>
              <w:t xml:space="preserve">0.1</w:t>
            </w:r>
          </w:p>
        </w:tc>
        <w:tc>
          <w:p>
            <w:pPr>
              <w:pStyle w:val="Compact"/>
              <w:jc w:val="left"/>
            </w:pPr>
            <w:r>
              <w:t xml:space="preserve">0</w:t>
            </w:r>
          </w:p>
        </w:tc>
        <w:tc>
          <w:p>
            <w:pPr>
              <w:pStyle w:val="Compact"/>
              <w:jc w:val="left"/>
            </w:pPr>
            <w:r>
              <w:t xml:space="preserve">+0.45</w:t>
            </w:r>
          </w:p>
        </w:tc>
        <w:tc>
          <w:p>
            <w:pPr>
              <w:pStyle w:val="Compact"/>
              <w:jc w:val="left"/>
            </w:pPr>
            <w:r>
              <w:t xml:space="preserve">1.5%</w:t>
            </w:r>
          </w:p>
        </w:tc>
        <w:tc>
          <w:p>
            <w:pPr>
              <w:pStyle w:val="Compact"/>
              <w:jc w:val="left"/>
            </w:pPr>
            <w:r>
              <w:t xml:space="preserve">+184%</w:t>
            </w:r>
          </w:p>
        </w:tc>
      </w:tr>
      <w:tr>
        <w:tc>
          <w:p>
            <w:pPr>
              <w:pStyle w:val="Compact"/>
              <w:jc w:val="left"/>
            </w:pPr>
            <w:r>
              <w:t xml:space="preserve">Turnover-only</w:t>
            </w:r>
          </w:p>
        </w:tc>
        <w:tc>
          <w:p>
            <w:pPr>
              <w:pStyle w:val="Compact"/>
              <w:jc w:val="left"/>
            </w:pPr>
            <w:r>
              <w:t xml:space="preserve">0.25</w:t>
            </w:r>
          </w:p>
        </w:tc>
        <w:tc>
          <w:p>
            <w:pPr>
              <w:pStyle w:val="Compact"/>
              <w:jc w:val="left"/>
            </w:pPr>
            <w:r>
              <w:t xml:space="preserve">0</w:t>
            </w:r>
          </w:p>
        </w:tc>
        <w:tc>
          <w:p>
            <w:pPr>
              <w:pStyle w:val="Compact"/>
              <w:jc w:val="left"/>
            </w:pPr>
            <w:r>
              <w:t xml:space="preserve">+0.33</w:t>
            </w:r>
          </w:p>
        </w:tc>
        <w:tc>
          <w:p>
            <w:pPr>
              <w:pStyle w:val="Compact"/>
              <w:jc w:val="left"/>
            </w:pPr>
            <w:r>
              <w:t xml:space="preserve">1.4%</w:t>
            </w:r>
          </w:p>
        </w:tc>
        <w:tc>
          <w:p>
            <w:pPr>
              <w:pStyle w:val="Compact"/>
              <w:jc w:val="left"/>
            </w:pPr>
            <w:r>
              <w:t xml:space="preserve">+107%</w:t>
            </w:r>
          </w:p>
        </w:tc>
      </w:tr>
      <w:tr>
        <w:tc>
          <w:p>
            <w:pPr>
              <w:pStyle w:val="Compact"/>
              <w:jc w:val="left"/>
            </w:pPr>
            <w:r>
              <w:t xml:space="preserve">Turnover-only</w:t>
            </w:r>
          </w:p>
        </w:tc>
        <w:tc>
          <w:p>
            <w:pPr>
              <w:pStyle w:val="Compact"/>
              <w:jc w:val="left"/>
            </w:pPr>
            <w:r>
              <w:t xml:space="preserve">0.5</w:t>
            </w:r>
          </w:p>
        </w:tc>
        <w:tc>
          <w:p>
            <w:pPr>
              <w:pStyle w:val="Compact"/>
              <w:jc w:val="left"/>
            </w:pPr>
            <w:r>
              <w:t xml:space="preserve">0</w:t>
            </w:r>
          </w:p>
        </w:tc>
        <w:tc>
          <w:p>
            <w:pPr>
              <w:pStyle w:val="Compact"/>
              <w:jc w:val="left"/>
            </w:pPr>
            <w:r>
              <w:t xml:space="preserve">+0.35</w:t>
            </w:r>
          </w:p>
        </w:tc>
        <w:tc>
          <w:p>
            <w:pPr>
              <w:pStyle w:val="Compact"/>
              <w:jc w:val="left"/>
            </w:pPr>
            <w:r>
              <w:t xml:space="preserve">1.4%</w:t>
            </w:r>
          </w:p>
        </w:tc>
        <w:tc>
          <w:p>
            <w:pPr>
              <w:pStyle w:val="Compact"/>
              <w:jc w:val="left"/>
            </w:pPr>
            <w:r>
              <w:t xml:space="preserve">+118%</w:t>
            </w:r>
          </w:p>
        </w:tc>
      </w:tr>
      <w:tr>
        <w:tc>
          <w:p>
            <w:pPr>
              <w:pStyle w:val="Compact"/>
              <w:jc w:val="left"/>
            </w:pPr>
            <w:r>
              <w:t xml:space="preserve">Turnover-only</w:t>
            </w:r>
          </w:p>
        </w:tc>
        <w:tc>
          <w:p>
            <w:pPr>
              <w:pStyle w:val="Compact"/>
              <w:jc w:val="left"/>
            </w:pPr>
            <w:r>
              <w:t xml:space="preserve">1.0</w:t>
            </w:r>
          </w:p>
        </w:tc>
        <w:tc>
          <w:p>
            <w:pPr>
              <w:pStyle w:val="Compact"/>
              <w:jc w:val="left"/>
            </w:pPr>
            <w:r>
              <w:t xml:space="preserve">0</w:t>
            </w:r>
          </w:p>
        </w:tc>
        <w:tc>
          <w:p>
            <w:pPr>
              <w:pStyle w:val="Compact"/>
              <w:jc w:val="left"/>
            </w:pPr>
            <w:r>
              <w:t xml:space="preserve">+0.35</w:t>
            </w:r>
          </w:p>
        </w:tc>
        <w:tc>
          <w:p>
            <w:pPr>
              <w:pStyle w:val="Compact"/>
              <w:jc w:val="left"/>
            </w:pPr>
            <w:r>
              <w:t xml:space="preserve">1.4%</w:t>
            </w:r>
          </w:p>
        </w:tc>
        <w:tc>
          <w:p>
            <w:pPr>
              <w:pStyle w:val="Compact"/>
              <w:jc w:val="left"/>
            </w:pPr>
            <w:r>
              <w:t xml:space="preserve">+118%</w:t>
            </w:r>
          </w:p>
        </w:tc>
      </w:tr>
      <w:tr>
        <w:tc>
          <w:p>
            <w:pPr>
              <w:pStyle w:val="Compact"/>
              <w:jc w:val="left"/>
            </w:pPr>
            <w:r>
              <w:t xml:space="preserve">Cost-only</w:t>
            </w:r>
          </w:p>
        </w:tc>
        <w:tc>
          <w:p>
            <w:pPr>
              <w:pStyle w:val="Compact"/>
              <w:jc w:val="left"/>
            </w:pPr>
            <w:r>
              <w:t xml:space="preserve">0</w:t>
            </w:r>
          </w:p>
        </w:tc>
        <w:tc>
          <w:p>
            <w:pPr>
              <w:pStyle w:val="Compact"/>
              <w:jc w:val="left"/>
            </w:pPr>
            <w:r>
              <w:t xml:space="preserve">2</w:t>
            </w:r>
          </w:p>
        </w:tc>
        <w:tc>
          <w:p>
            <w:pPr>
              <w:pStyle w:val="Compact"/>
              <w:jc w:val="left"/>
            </w:pPr>
            <w:r>
              <w:t xml:space="preserve">+0.02</w:t>
            </w:r>
          </w:p>
        </w:tc>
        <w:tc>
          <w:p>
            <w:pPr>
              <w:pStyle w:val="Compact"/>
              <w:jc w:val="left"/>
            </w:pPr>
            <w:r>
              <w:t xml:space="preserve">3.2%</w:t>
            </w:r>
          </w:p>
        </w:tc>
        <w:tc>
          <w:p>
            <w:pPr>
              <w:pStyle w:val="Compact"/>
              <w:jc w:val="left"/>
            </w:pPr>
            <w:r>
              <w:t xml:space="preserve">-12%</w:t>
            </w:r>
          </w:p>
        </w:tc>
      </w:tr>
      <w:tr>
        <w:tc>
          <w:p>
            <w:pPr>
              <w:pStyle w:val="Compact"/>
              <w:jc w:val="left"/>
            </w:pPr>
            <w:r>
              <w:t xml:space="preserve">Cost-only</w:t>
            </w:r>
          </w:p>
        </w:tc>
        <w:tc>
          <w:p>
            <w:pPr>
              <w:pStyle w:val="Compact"/>
              <w:jc w:val="left"/>
            </w:pPr>
            <w:r>
              <w:t xml:space="preserve">0</w:t>
            </w:r>
          </w:p>
        </w:tc>
        <w:tc>
          <w:p>
            <w:pPr>
              <w:pStyle w:val="Compact"/>
              <w:jc w:val="left"/>
            </w:pPr>
            <w:r>
              <w:t xml:space="preserve">4</w:t>
            </w:r>
          </w:p>
        </w:tc>
        <w:tc>
          <w:p>
            <w:pPr>
              <w:pStyle w:val="Compact"/>
              <w:jc w:val="left"/>
            </w:pPr>
            <w:r>
              <w:t xml:space="preserve">+0.27</w:t>
            </w:r>
          </w:p>
        </w:tc>
        <w:tc>
          <w:p>
            <w:pPr>
              <w:pStyle w:val="Compact"/>
              <w:jc w:val="left"/>
            </w:pPr>
            <w:r>
              <w:t xml:space="preserve">2.6%</w:t>
            </w:r>
          </w:p>
        </w:tc>
        <w:tc>
          <w:p>
            <w:pPr>
              <w:pStyle w:val="Compact"/>
              <w:jc w:val="left"/>
            </w:pPr>
            <w:r>
              <w:t xml:space="preserve">+75%</w:t>
            </w:r>
          </w:p>
        </w:tc>
      </w:tr>
      <w:tr>
        <w:tc>
          <w:p>
            <w:pPr>
              <w:pStyle w:val="Compact"/>
              <w:jc w:val="left"/>
            </w:pPr>
            <w:r>
              <w:t xml:space="preserve">Cost-only</w:t>
            </w:r>
          </w:p>
        </w:tc>
        <w:tc>
          <w:p>
            <w:pPr>
              <w:pStyle w:val="Compact"/>
              <w:jc w:val="left"/>
            </w:pPr>
            <w:r>
              <w:t xml:space="preserve">0</w:t>
            </w:r>
          </w:p>
        </w:tc>
        <w:tc>
          <w:p>
            <w:pPr>
              <w:pStyle w:val="Compact"/>
              <w:jc w:val="left"/>
            </w:pPr>
            <w:r>
              <w:t xml:space="preserve">8</w:t>
            </w:r>
          </w:p>
        </w:tc>
        <w:tc>
          <w:p>
            <w:pPr>
              <w:pStyle w:val="Compact"/>
              <w:jc w:val="left"/>
            </w:pPr>
            <w:r>
              <w:t xml:space="preserve">+0.43</w:t>
            </w:r>
          </w:p>
        </w:tc>
        <w:tc>
          <w:p>
            <w:pPr>
              <w:pStyle w:val="Compact"/>
              <w:jc w:val="left"/>
            </w:pPr>
            <w:r>
              <w:t xml:space="preserve">1.6%</w:t>
            </w:r>
          </w:p>
        </w:tc>
        <w:tc>
          <w:p>
            <w:pPr>
              <w:pStyle w:val="Compact"/>
              <w:jc w:val="left"/>
            </w:pPr>
            <w:r>
              <w:t xml:space="preserve">+171%</w:t>
            </w:r>
          </w:p>
        </w:tc>
      </w:tr>
      <w:tr>
        <w:tc>
          <w:p>
            <w:pPr>
              <w:pStyle w:val="Compact"/>
              <w:jc w:val="left"/>
            </w:pPr>
            <w:r>
              <w:t xml:space="preserve">Cost-only</w:t>
            </w:r>
          </w:p>
        </w:tc>
        <w:tc>
          <w:p>
            <w:pPr>
              <w:pStyle w:val="Compact"/>
              <w:jc w:val="left"/>
            </w:pPr>
            <w:r>
              <w:t xml:space="preserve">0</w:t>
            </w:r>
          </w:p>
        </w:tc>
        <w:tc>
          <w:p>
            <w:pPr>
              <w:pStyle w:val="Compact"/>
              <w:jc w:val="left"/>
            </w:pPr>
            <w:r>
              <w:t xml:space="preserve">16</w:t>
            </w:r>
          </w:p>
        </w:tc>
        <w:tc>
          <w:p>
            <w:pPr>
              <w:pStyle w:val="Compact"/>
              <w:jc w:val="left"/>
            </w:pPr>
            <w:r>
              <w:t xml:space="preserve">+0.41</w:t>
            </w:r>
          </w:p>
        </w:tc>
        <w:tc>
          <w:p>
            <w:pPr>
              <w:pStyle w:val="Compact"/>
              <w:jc w:val="left"/>
            </w:pPr>
            <w:r>
              <w:t xml:space="preserve">1.5%</w:t>
            </w:r>
          </w:p>
        </w:tc>
        <w:tc>
          <w:p>
            <w:pPr>
              <w:pStyle w:val="Compact"/>
              <w:jc w:val="left"/>
            </w:pPr>
            <w:r>
              <w:t xml:space="preserve">+154%</w:t>
            </w:r>
          </w:p>
        </w:tc>
      </w:tr>
      <w:tr>
        <w:tc>
          <w:p>
            <w:pPr>
              <w:pStyle w:val="Compact"/>
              <w:jc w:val="left"/>
            </w:pPr>
            <w:r>
              <w:t xml:space="preserve">Combined (midpoint)</w:t>
            </w:r>
          </w:p>
        </w:tc>
        <w:tc>
          <w:p>
            <w:pPr>
              <w:pStyle w:val="Compact"/>
              <w:jc w:val="left"/>
            </w:pPr>
            <w:r>
              <w:t xml:space="preserve">0.25</w:t>
            </w:r>
          </w:p>
        </w:tc>
        <w:tc>
          <w:p>
            <w:pPr>
              <w:pStyle w:val="Compact"/>
              <w:jc w:val="left"/>
            </w:pPr>
            <w:r>
              <w:t xml:space="preserve">4</w:t>
            </w:r>
          </w:p>
        </w:tc>
        <w:tc>
          <w:p>
            <w:pPr>
              <w:pStyle w:val="Compact"/>
              <w:jc w:val="left"/>
            </w:pPr>
            <w:r>
              <w:t xml:space="preserve">+0.33</w:t>
            </w:r>
          </w:p>
        </w:tc>
        <w:tc>
          <w:p>
            <w:pPr>
              <w:pStyle w:val="Compact"/>
              <w:jc w:val="left"/>
            </w:pPr>
            <w:r>
              <w:t xml:space="preserve">1.4%</w:t>
            </w:r>
          </w:p>
        </w:tc>
        <w:tc>
          <w:p>
            <w:pPr>
              <w:pStyle w:val="Compact"/>
              <w:jc w:val="left"/>
            </w:pPr>
            <w:r>
              <w:t xml:space="preserve">+105%</w:t>
            </w:r>
          </w:p>
        </w:tc>
      </w:tr>
      <w:tr>
        <w:tc>
          <w:p>
            <w:pPr>
              <w:pStyle w:val="Compact"/>
              <w:jc w:val="left"/>
            </w:pPr>
            <w:r>
              <w:t xml:space="preserve">Combined (main grid)</w:t>
            </w:r>
          </w:p>
        </w:tc>
        <w:tc>
          <w:p>
            <w:pPr>
              <w:pStyle w:val="Compact"/>
              <w:jc w:val="left"/>
            </w:pPr>
            <w:r>
              <w:t xml:space="preserve">0.5</w:t>
            </w:r>
          </w:p>
        </w:tc>
        <w:tc>
          <w:p>
            <w:pPr>
              <w:pStyle w:val="Compact"/>
              <w:jc w:val="left"/>
            </w:pPr>
            <w:r>
              <w:t xml:space="preserve">8</w:t>
            </w:r>
          </w:p>
        </w:tc>
        <w:tc>
          <w:p>
            <w:pPr>
              <w:pStyle w:val="Compact"/>
              <w:jc w:val="left"/>
            </w:pPr>
            <w:r>
              <w:t xml:space="preserve">+0.33</w:t>
            </w:r>
          </w:p>
        </w:tc>
        <w:tc>
          <w:p>
            <w:pPr>
              <w:pStyle w:val="Compact"/>
              <w:jc w:val="left"/>
            </w:pPr>
            <w:r>
              <w:t xml:space="preserve">1.4%</w:t>
            </w:r>
          </w:p>
        </w:tc>
        <w:tc>
          <w:p>
            <w:pPr>
              <w:pStyle w:val="Compact"/>
              <w:jc w:val="left"/>
            </w:pPr>
            <w:r>
              <w:t xml:space="preserve">+104%</w:t>
            </w:r>
          </w:p>
        </w:tc>
      </w:tr>
    </w:tbl>
    <w:p>
      <w:pPr>
        <w:pStyle w:val="Heading2"/>
      </w:pPr>
      <w:bookmarkStart w:id="25" w:name="discussion-and-limitations"/>
      <w:r>
        <w:t xml:space="preserve">4. Discussion and limitations</w:t>
      </w:r>
      <w:bookmarkEnd w:id="25"/>
    </w:p>
    <w:p>
      <w:pPr>
        <w:pStyle w:val="FirstParagraph"/>
      </w:pPr>
      <w:r>
        <w:t xml:space="preserve">A reward penalizing turnover will mechanically produce low-turnover factors; the substantive question is whether that trade-off improves realized out-of-sample performance. The evidence bears on this from several directions: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effect registers in expression structure (Table 2) as well as in performance. Under daily-rebalanced, dollar-neutral cross-sectional portfolio construction, the reward specification therefore materially determines the outcome, and a pipeline reporting a discovered factor’s Sharpe without disclosing the reward function that produced it leaves that result difficult to interpret.</w:t>
      </w:r>
    </w:p>
    <w:p>
      <w:pPr>
        <w:pStyle w:val="BodyText"/>
      </w:pPr>
      <w:r>
        <w:t xml:space="preserve">The magnitude of the baseline’s net Sharpe warrants a sanity check. At a representative 85%/day turnover, the sample’s median Corwin-Schultz half-spread (6.7bps) plus impact at a plausible participation rate implies roughly 20bps of one-way cost per unit traded, compounding to on the order of 85-90% of NAV per year in cost drag, sufficient to overwhelm a gross Sharpe of 0.5-0.9.</w:t>
      </w:r>
    </w:p>
    <w:p>
      <w:pPr>
        <w:pStyle w:val="BodyText"/>
      </w:pPr>
      <w:r>
        <w:t xml:space="preserve">Several limitations qualify these results. The penalty-sensitivity sweep (Table 3) shows robustness within the volatility category to the choice of gamma1 and gamma2; which term is most responsible, and whether the pattern generalizes across all four predictor categories, remain open.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model’s impact coefficient (</w:t>
      </w:r>
      <w:r>
        <w:rPr>
          <w:rStyle w:val="VerbatimChar"/>
        </w:rPr>
        <w:t xml:space="preserve">Y=0.5</w:t>
      </w:r>
      <w:r>
        <w:t xml:space="preserve">) is not fit to realized execution data, which motivates the flat-cost sensitivity columns. Those columns share the model family used inside the reward, so they establish robustness to the assumed cost</w:t>
      </w:r>
      <w:r>
        <w:t xml:space="preserve"> </w:t>
      </w:r>
      <w:r>
        <w:rPr>
          <w:i/>
        </w:rPr>
        <w:t xml:space="preserve">level</w:t>
      </w:r>
      <w:r>
        <w:t xml:space="preserve"> </w:t>
      </w:r>
      <w:r>
        <w:t xml:space="preserve">rather than to the cost model’s functional form. Portfolio construction is left unconstrained (daily rebalancing, no no-trade band), so the factor expression itself is the only turnover-reduction lever available to the search. Finally, the negative net Sharpe ratios in three of four categories should not be read as evidence that these predictor families are categorically unprofitable net of cost. They reflect an intentionally unforgiving stress test, uncontrolled 200%-gross daily rebalancing, chosen to make the cost channel and the agent’s response to it observable; the volatility category demonstrates that the same test yields a profitable outcome once the reward accounts for cost.</w:t>
      </w:r>
    </w:p>
    <w:p>
      <w:pPr>
        <w:pStyle w:val="Heading2"/>
      </w:pPr>
      <w:bookmarkStart w:id="26" w:name="conclusion"/>
      <w:r>
        <w:t xml:space="preserve">5. Conclusion</w:t>
      </w:r>
      <w:bookmarkEnd w:id="26"/>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loses its entire notional in every one of four economically distinct seed-alpha categories, despite positive average gross Sharpe (0.67). Rewarding the identical search net of turnover and cost cuts turnover 22-38x and, for a low-volatility-anomaly seed, produces a net-profitable factor, with a bootstrap-significant net Sharpe improvement (+9.96, 95% CI [8.3, 11.6]) across 21 rolling walk-forward folds (2006-2026), four seed-alpha categories, and three LLM sampling seeds on a reconstructed point-in-time universe. Methodologically, execution cost is not only an evaluation-stage quantity: it changes the solution an automated search selects, redirecting expression structure (Table 2) as well as performance. Regardless of whether any single resulting factor is itself investable, the objective function of an automated alpha-mining agent is an economically consequential research choice.</w:t>
      </w:r>
    </w:p>
    <w:p>
      <w:r>
        <w:pict>
          <v:rect style="width:0;height:1.5pt" o:hralign="center" o:hrstd="t" o:hr="t"/>
        </w:pict>
      </w:r>
    </w:p>
    <w:p>
      <w:pPr>
        <w:pStyle w:val="Heading2"/>
      </w:pPr>
      <w:bookmarkStart w:id="27" w:name="figures"/>
      <w:r>
        <w:t xml:space="preserve">Figures</w:t>
      </w:r>
      <w:bookmarkEnd w:id="27"/>
    </w:p>
    <w:p>
      <w:pPr>
        <w:pStyle w:val="CaptionedFigure"/>
      </w:pPr>
      <w:r>
        <w:drawing>
          <wp:inline>
            <wp:extent cx="5334000" cy="3137647"/>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8"/>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29"/>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0"/>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1" w:name="credit-authorship-contribution-statement"/>
      <w:r>
        <w:t xml:space="preserve">CRediT authorship contribution statement</w:t>
      </w:r>
      <w:bookmarkEnd w:id="31"/>
    </w:p>
    <w:p>
      <w:pPr>
        <w:pStyle w:val="FirstParagraph"/>
      </w:pPr>
      <w:r>
        <w:rPr>
          <w:b/>
        </w:rPr>
        <w:t xml:space="preserve">Author 1</w:t>
      </w:r>
      <w:r>
        <w:t xml:space="preserve">: Conceptualization, Methodology, Software, Formal analysis, Data curation, Writing – original draft, Writing – review &amp; editing, Visualization.</w:t>
      </w:r>
    </w:p>
    <w:p>
      <w:pPr>
        <w:pStyle w:val="Heading2"/>
      </w:pPr>
      <w:bookmarkStart w:id="32" w:name="data-availability-statement"/>
      <w:r>
        <w:t xml:space="preserve">Data availability statement</w:t>
      </w:r>
      <w:bookmarkEnd w:id="32"/>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a public code repository; the URL is provided on the title page and withheld from this version to preserve author anonymity during peer review.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3" w:name="declaration-of-competing-interest"/>
      <w:r>
        <w:t xml:space="preserve">Declaration of competing interest</w:t>
      </w:r>
      <w:bookmarkEnd w:id="33"/>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4" w:name="funding"/>
      <w:r>
        <w:t xml:space="preserve">Funding</w:t>
      </w:r>
      <w:bookmarkEnd w:id="34"/>
    </w:p>
    <w:p>
      <w:pPr>
        <w:pStyle w:val="FirstParagraph"/>
      </w:pPr>
      <w:r>
        <w:t xml:space="preserve">This research did not receive any specific grant from funding agencies in the public, commercial, or not-for-profit sectors.</w:t>
      </w:r>
    </w:p>
    <w:p>
      <w:pPr>
        <w:pStyle w:val="Heading2"/>
      </w:pPr>
      <w:bookmarkStart w:id="35" w:name="X1f74eb43af444059c7518034463b6c89b1cacf4"/>
      <w:r>
        <w:t xml:space="preserve">Declaration of generative AI and AI-assisted technologies in the manuscript preparation process</w:t>
      </w:r>
      <w:bookmarkEnd w:id="35"/>
    </w:p>
    <w:p>
      <w:pPr>
        <w:pStyle w:val="FirstParagraph"/>
      </w:pPr>
      <w:r>
        <w:t xml:space="preserve">During the preparation of this work the author used Claude (Anthropic) to assist with drafting, editing, and structuring the manuscript text, and with writing and debugging the analysis and figure-generation code. All experimental design, code execution, results, and interpretations are the author’s own. After using this tool, the author reviewed and edited the content as needed and takes full responsibility for the content of the published article.</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 arXiv:2505.11122.</w:t>
      </w:r>
    </w:p>
    <w:p>
      <w:pPr>
        <w:pStyle w:val="BodyText"/>
      </w:pPr>
      <w:r>
        <w:t xml:space="preserve">Tang, Z., Chen, Z., Yang, J., Mai, J., Zheng, Y., Wang, K., Chen, J., Lin, L., 2025. AlphaAgent: LLM-driven alpha mining with regularized exploration to counteract alpha decay.</w:t>
      </w:r>
      <w:r>
        <w:t xml:space="preserve"> </w:t>
      </w:r>
      <w:r>
        <w:rPr>
          <w:i/>
        </w:rPr>
        <w:t xml:space="preserve">Proceedings of the 31st ACM SIGKDD Conference on Knowledge Discovery and Data Mining</w:t>
      </w:r>
      <w:r>
        <w:t xml:space="preserve">. https://doi.org/10.1145/3711896.3736838</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reconstructed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Inspection of complete search trajectories at temperature 0 and temperature 0.3 shows both collapse to a fixed point after round 1-2 and make no further progress across the remainder of a 25-50 round run. (Partial inspection of the trajectory tail had initially suggested temperature 0.3 preserved exploration; reviewing the full trajectory reversed that reading.) Temperature 0.7 was the lowest setting found to sustain multi-round search, so all reported results characterize sampling variance via three independent seeds at temperature 0.7 rather than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9" Target="media/rId29.png" /><Relationship Type="http://schemas.openxmlformats.org/officeDocument/2006/relationships/image" Id="rId30" Target="media/rId3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2026-09-19T04:21:19Z</dcterms:created>
  <dcterms:modified xsi:type="dcterms:W3CDTF">2026-09-19T04:21:19Z</dcterms:modified>
</cp:coreProperties>
</file>

<file path=docProps/custom.xml><?xml version="1.0" encoding="utf-8"?>
<Properties xmlns="http://schemas.openxmlformats.org/officeDocument/2006/custom-properties" xmlns:vt="http://schemas.openxmlformats.org/officeDocument/2006/docPropsVTypes"/>
</file>