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09E4" w14:textId="77777777" w:rsidR="00B9108B" w:rsidRDefault="00000000">
      <w:r>
        <w:rPr>
          <w:b/>
          <w:color w:val="1A365D"/>
          <w:sz w:val="34"/>
        </w:rPr>
        <w:t>Technical Report: Advanced Data Analysis and Visualization in Supply Chain Logistics</w:t>
      </w:r>
    </w:p>
    <w:p w14:paraId="551337D5" w14:textId="77777777" w:rsidR="00B9108B" w:rsidRDefault="00000000">
      <w:r>
        <w:rPr>
          <w:b/>
        </w:rPr>
        <w:t xml:space="preserve">Role: </w:t>
      </w:r>
      <w:r>
        <w:t>Logistics Data Analyst Intern</w:t>
      </w:r>
      <w:r>
        <w:br/>
      </w:r>
      <w:r>
        <w:rPr>
          <w:b/>
        </w:rPr>
        <w:t xml:space="preserve">Program: </w:t>
      </w:r>
      <w:r>
        <w:t>Yuva Intern 4-Week Technical Program</w:t>
      </w:r>
      <w:r>
        <w:br/>
      </w:r>
      <w:r>
        <w:rPr>
          <w:b/>
        </w:rPr>
        <w:t xml:space="preserve">Task Deliverable: </w:t>
      </w:r>
      <w:r>
        <w:t>Week 3 — Advanced Data Analysis, Visual Analytics, and Bottleneck Identification</w:t>
      </w:r>
      <w:r>
        <w:br/>
      </w:r>
      <w:r>
        <w:rPr>
          <w:b/>
        </w:rPr>
        <w:t xml:space="preserve">Evaluation Criteria Covered: </w:t>
      </w:r>
      <w:r>
        <w:t>Points 16 to 20</w:t>
      </w:r>
      <w:r>
        <w:br/>
      </w:r>
      <w:r>
        <w:rPr>
          <w:b/>
        </w:rPr>
        <w:t xml:space="preserve">Date: </w:t>
      </w:r>
      <w:r>
        <w:t>October 2026</w:t>
      </w:r>
    </w:p>
    <w:p w14:paraId="5D51D592" w14:textId="77777777" w:rsidR="00B9108B" w:rsidRDefault="00000000">
      <w:pPr>
        <w:pStyle w:val="Heading1"/>
      </w:pPr>
      <w:r>
        <w:t>1. Analytical Scope &amp; Dataset Architecture</w:t>
      </w:r>
    </w:p>
    <w:p w14:paraId="277B3129" w14:textId="77777777" w:rsidR="00B9108B" w:rsidRDefault="00000000">
      <w:r>
        <w:t>Following the data cleaning and quality auditing pipeline executed in Week 2, this investigation conducts an advanced exploratory data analysis (EDA) and visual inquiry into the DataCo Global Supply Chain network (180,519 fulfilled shipments). The primary business objective is to diagnose the operational drivers behind the systemic 54.83% delivery SLA delay risk identified during baseline preprocessing, pinpoint carrier inefficiencies, evaluate dispatch day-of-week sensitivity, and highlight geographic fulfillment bottlenecks to inform predictive modeling in Week 4.</w:t>
      </w:r>
    </w:p>
    <w:p w14:paraId="3C19B3AF" w14:textId="77777777" w:rsidR="00B9108B" w:rsidRDefault="00000000">
      <w:pPr>
        <w:pStyle w:val="Heading1"/>
      </w:pPr>
      <w:r>
        <w:t>2. Exploratory Data Analysis &amp; Central Tendency Profiles</w:t>
      </w:r>
    </w:p>
    <w:p w14:paraId="410F067C" w14:textId="77777777" w:rsidR="00B9108B" w:rsidRDefault="00000000">
      <w:r>
        <w:t>Parametric and non-parametric descriptive statistics were calculated across all primary operational variables. The statistical profile confirms high operational stability post-Winsorization, alongside a chronic lead time commitment gap:</w:t>
      </w:r>
    </w:p>
    <w:tbl>
      <w:tblPr>
        <w:tblW w:w="0" w:type="auto"/>
        <w:tblLook w:val="04A0" w:firstRow="1" w:lastRow="0" w:firstColumn="1" w:lastColumn="0" w:noHBand="0" w:noVBand="1"/>
      </w:tblPr>
      <w:tblGrid>
        <w:gridCol w:w="1560"/>
        <w:gridCol w:w="1560"/>
        <w:gridCol w:w="1560"/>
        <w:gridCol w:w="1560"/>
        <w:gridCol w:w="1560"/>
        <w:gridCol w:w="1560"/>
      </w:tblGrid>
      <w:tr w:rsidR="00B9108B" w14:paraId="10AB37EE" w14:textId="77777777">
        <w:tc>
          <w:tcPr>
            <w:tcW w:w="1560" w:type="dxa"/>
            <w:shd w:val="clear" w:color="auto" w:fill="E2E8F0"/>
          </w:tcPr>
          <w:p w14:paraId="78788894" w14:textId="77777777" w:rsidR="00B9108B" w:rsidRDefault="00000000">
            <w:r>
              <w:rPr>
                <w:b/>
              </w:rPr>
              <w:t>Statistic</w:t>
            </w:r>
          </w:p>
        </w:tc>
        <w:tc>
          <w:tcPr>
            <w:tcW w:w="1560" w:type="dxa"/>
            <w:shd w:val="clear" w:color="auto" w:fill="E2E8F0"/>
          </w:tcPr>
          <w:p w14:paraId="431C852F" w14:textId="77777777" w:rsidR="00B9108B" w:rsidRDefault="00000000">
            <w:r>
              <w:rPr>
                <w:b/>
              </w:rPr>
              <w:t>Real Transit Days</w:t>
            </w:r>
          </w:p>
        </w:tc>
        <w:tc>
          <w:tcPr>
            <w:tcW w:w="1560" w:type="dxa"/>
            <w:shd w:val="clear" w:color="auto" w:fill="E2E8F0"/>
          </w:tcPr>
          <w:p w14:paraId="382E39CF" w14:textId="77777777" w:rsidR="00B9108B" w:rsidRDefault="00000000">
            <w:r>
              <w:rPr>
                <w:b/>
              </w:rPr>
              <w:t>Scheduled Days</w:t>
            </w:r>
          </w:p>
        </w:tc>
        <w:tc>
          <w:tcPr>
            <w:tcW w:w="1560" w:type="dxa"/>
            <w:shd w:val="clear" w:color="auto" w:fill="E2E8F0"/>
          </w:tcPr>
          <w:p w14:paraId="606C9CF4" w14:textId="77777777" w:rsidR="00B9108B" w:rsidRDefault="00000000">
            <w:r>
              <w:rPr>
                <w:b/>
              </w:rPr>
              <w:t>Sales per Customer ($)</w:t>
            </w:r>
          </w:p>
        </w:tc>
        <w:tc>
          <w:tcPr>
            <w:tcW w:w="1560" w:type="dxa"/>
            <w:shd w:val="clear" w:color="auto" w:fill="E2E8F0"/>
          </w:tcPr>
          <w:p w14:paraId="41CE25EA" w14:textId="77777777" w:rsidR="00B9108B" w:rsidRDefault="00000000">
            <w:r>
              <w:rPr>
                <w:b/>
              </w:rPr>
              <w:t>Lead Time (Days)</w:t>
            </w:r>
          </w:p>
        </w:tc>
        <w:tc>
          <w:tcPr>
            <w:tcW w:w="1560" w:type="dxa"/>
            <w:shd w:val="clear" w:color="auto" w:fill="E2E8F0"/>
          </w:tcPr>
          <w:p w14:paraId="1C9163B7" w14:textId="77777777" w:rsidR="00B9108B" w:rsidRDefault="00000000">
            <w:r>
              <w:rPr>
                <w:b/>
              </w:rPr>
              <w:t>Late Risk Flag</w:t>
            </w:r>
          </w:p>
        </w:tc>
      </w:tr>
      <w:tr w:rsidR="00B9108B" w14:paraId="3E7FE0AB" w14:textId="77777777">
        <w:tc>
          <w:tcPr>
            <w:tcW w:w="1560" w:type="dxa"/>
          </w:tcPr>
          <w:p w14:paraId="138D4DC7" w14:textId="77777777" w:rsidR="00B9108B" w:rsidRDefault="00000000">
            <w:r>
              <w:t>Count</w:t>
            </w:r>
          </w:p>
        </w:tc>
        <w:tc>
          <w:tcPr>
            <w:tcW w:w="1560" w:type="dxa"/>
          </w:tcPr>
          <w:p w14:paraId="2EED7421" w14:textId="77777777" w:rsidR="00B9108B" w:rsidRDefault="00000000">
            <w:r>
              <w:t>180,519</w:t>
            </w:r>
          </w:p>
        </w:tc>
        <w:tc>
          <w:tcPr>
            <w:tcW w:w="1560" w:type="dxa"/>
          </w:tcPr>
          <w:p w14:paraId="668CEF9A" w14:textId="77777777" w:rsidR="00B9108B" w:rsidRDefault="00000000">
            <w:r>
              <w:t>180,519</w:t>
            </w:r>
          </w:p>
        </w:tc>
        <w:tc>
          <w:tcPr>
            <w:tcW w:w="1560" w:type="dxa"/>
          </w:tcPr>
          <w:p w14:paraId="47D0CA13" w14:textId="77777777" w:rsidR="00B9108B" w:rsidRDefault="00000000">
            <w:r>
              <w:t>180,519</w:t>
            </w:r>
          </w:p>
        </w:tc>
        <w:tc>
          <w:tcPr>
            <w:tcW w:w="1560" w:type="dxa"/>
          </w:tcPr>
          <w:p w14:paraId="2FE520A8" w14:textId="77777777" w:rsidR="00B9108B" w:rsidRDefault="00000000">
            <w:r>
              <w:t>180,519</w:t>
            </w:r>
          </w:p>
        </w:tc>
        <w:tc>
          <w:tcPr>
            <w:tcW w:w="1560" w:type="dxa"/>
          </w:tcPr>
          <w:p w14:paraId="04229A23" w14:textId="77777777" w:rsidR="00B9108B" w:rsidRDefault="00000000">
            <w:r>
              <w:t>180,519</w:t>
            </w:r>
          </w:p>
        </w:tc>
      </w:tr>
      <w:tr w:rsidR="00B9108B" w14:paraId="1B78450B" w14:textId="77777777">
        <w:tc>
          <w:tcPr>
            <w:tcW w:w="1560" w:type="dxa"/>
          </w:tcPr>
          <w:p w14:paraId="4ADAE38D" w14:textId="77777777" w:rsidR="00B9108B" w:rsidRDefault="00000000">
            <w:r>
              <w:t>Mean</w:t>
            </w:r>
          </w:p>
        </w:tc>
        <w:tc>
          <w:tcPr>
            <w:tcW w:w="1560" w:type="dxa"/>
          </w:tcPr>
          <w:p w14:paraId="4A58737C" w14:textId="77777777" w:rsidR="00B9108B" w:rsidRDefault="00000000">
            <w:r>
              <w:t>3.498</w:t>
            </w:r>
          </w:p>
        </w:tc>
        <w:tc>
          <w:tcPr>
            <w:tcW w:w="1560" w:type="dxa"/>
          </w:tcPr>
          <w:p w14:paraId="3E533F07" w14:textId="77777777" w:rsidR="00B9108B" w:rsidRDefault="00000000">
            <w:r>
              <w:t>2.932</w:t>
            </w:r>
          </w:p>
        </w:tc>
        <w:tc>
          <w:tcPr>
            <w:tcW w:w="1560" w:type="dxa"/>
          </w:tcPr>
          <w:p w14:paraId="1AA5C75D" w14:textId="77777777" w:rsidR="00B9108B" w:rsidRDefault="00000000">
            <w:r>
              <w:t>180.60</w:t>
            </w:r>
          </w:p>
        </w:tc>
        <w:tc>
          <w:tcPr>
            <w:tcW w:w="1560" w:type="dxa"/>
          </w:tcPr>
          <w:p w14:paraId="64DDE9C3" w14:textId="77777777" w:rsidR="00B9108B" w:rsidRDefault="00000000">
            <w:r>
              <w:t>3.499</w:t>
            </w:r>
          </w:p>
        </w:tc>
        <w:tc>
          <w:tcPr>
            <w:tcW w:w="1560" w:type="dxa"/>
          </w:tcPr>
          <w:p w14:paraId="305DD9C6" w14:textId="77777777" w:rsidR="00B9108B" w:rsidRDefault="00000000">
            <w:r>
              <w:t>0.548 (54.83%)</w:t>
            </w:r>
          </w:p>
        </w:tc>
      </w:tr>
      <w:tr w:rsidR="00B9108B" w14:paraId="2D315E3D" w14:textId="77777777">
        <w:tc>
          <w:tcPr>
            <w:tcW w:w="1560" w:type="dxa"/>
          </w:tcPr>
          <w:p w14:paraId="6FFD6EBD" w14:textId="77777777" w:rsidR="00B9108B" w:rsidRDefault="00000000">
            <w:r>
              <w:t>Std Dev</w:t>
            </w:r>
          </w:p>
        </w:tc>
        <w:tc>
          <w:tcPr>
            <w:tcW w:w="1560" w:type="dxa"/>
          </w:tcPr>
          <w:p w14:paraId="688E4E41" w14:textId="77777777" w:rsidR="00B9108B" w:rsidRDefault="00000000">
            <w:r>
              <w:t>1.624</w:t>
            </w:r>
          </w:p>
        </w:tc>
        <w:tc>
          <w:tcPr>
            <w:tcW w:w="1560" w:type="dxa"/>
          </w:tcPr>
          <w:p w14:paraId="365D0EB9" w14:textId="77777777" w:rsidR="00B9108B" w:rsidRDefault="00000000">
            <w:r>
              <w:t>1.374</w:t>
            </w:r>
          </w:p>
        </w:tc>
        <w:tc>
          <w:tcPr>
            <w:tcW w:w="1560" w:type="dxa"/>
          </w:tcPr>
          <w:p w14:paraId="2B0A9365" w14:textId="77777777" w:rsidR="00B9108B" w:rsidRDefault="00000000">
            <w:r>
              <w:t>104.38</w:t>
            </w:r>
          </w:p>
        </w:tc>
        <w:tc>
          <w:tcPr>
            <w:tcW w:w="1560" w:type="dxa"/>
          </w:tcPr>
          <w:p w14:paraId="4FC54868" w14:textId="77777777" w:rsidR="00B9108B" w:rsidRDefault="00000000">
            <w:r>
              <w:t>1.617</w:t>
            </w:r>
          </w:p>
        </w:tc>
        <w:tc>
          <w:tcPr>
            <w:tcW w:w="1560" w:type="dxa"/>
          </w:tcPr>
          <w:p w14:paraId="5E7798E4" w14:textId="77777777" w:rsidR="00B9108B" w:rsidRDefault="00000000">
            <w:r>
              <w:t>0.498</w:t>
            </w:r>
          </w:p>
        </w:tc>
      </w:tr>
      <w:tr w:rsidR="00B9108B" w14:paraId="42E7F3E0" w14:textId="77777777">
        <w:tc>
          <w:tcPr>
            <w:tcW w:w="1560" w:type="dxa"/>
          </w:tcPr>
          <w:p w14:paraId="59F903DB" w14:textId="77777777" w:rsidR="00B9108B" w:rsidRDefault="00000000">
            <w:r>
              <w:t>Min</w:t>
            </w:r>
          </w:p>
        </w:tc>
        <w:tc>
          <w:tcPr>
            <w:tcW w:w="1560" w:type="dxa"/>
          </w:tcPr>
          <w:p w14:paraId="4115BD27" w14:textId="77777777" w:rsidR="00B9108B" w:rsidRDefault="00000000">
            <w:r>
              <w:t>0.000</w:t>
            </w:r>
          </w:p>
        </w:tc>
        <w:tc>
          <w:tcPr>
            <w:tcW w:w="1560" w:type="dxa"/>
          </w:tcPr>
          <w:p w14:paraId="7A065DC7" w14:textId="77777777" w:rsidR="00B9108B" w:rsidRDefault="00000000">
            <w:r>
              <w:t>0.000</w:t>
            </w:r>
          </w:p>
        </w:tc>
        <w:tc>
          <w:tcPr>
            <w:tcW w:w="1560" w:type="dxa"/>
          </w:tcPr>
          <w:p w14:paraId="6148889D" w14:textId="77777777" w:rsidR="00B9108B" w:rsidRDefault="00000000">
            <w:r>
              <w:t>7.49</w:t>
            </w:r>
          </w:p>
        </w:tc>
        <w:tc>
          <w:tcPr>
            <w:tcW w:w="1560" w:type="dxa"/>
          </w:tcPr>
          <w:p w14:paraId="36ADC979" w14:textId="77777777" w:rsidR="00B9108B" w:rsidRDefault="00000000">
            <w:r>
              <w:t>0.500</w:t>
            </w:r>
          </w:p>
        </w:tc>
        <w:tc>
          <w:tcPr>
            <w:tcW w:w="1560" w:type="dxa"/>
          </w:tcPr>
          <w:p w14:paraId="44170A03" w14:textId="77777777" w:rsidR="00B9108B" w:rsidRDefault="00000000">
            <w:r>
              <w:t>0.000</w:t>
            </w:r>
          </w:p>
        </w:tc>
      </w:tr>
      <w:tr w:rsidR="00B9108B" w14:paraId="5F5B2E00" w14:textId="77777777">
        <w:tc>
          <w:tcPr>
            <w:tcW w:w="1560" w:type="dxa"/>
          </w:tcPr>
          <w:p w14:paraId="5783A999" w14:textId="77777777" w:rsidR="00B9108B" w:rsidRDefault="00000000">
            <w:r>
              <w:t>25% (Q1)</w:t>
            </w:r>
          </w:p>
        </w:tc>
        <w:tc>
          <w:tcPr>
            <w:tcW w:w="1560" w:type="dxa"/>
          </w:tcPr>
          <w:p w14:paraId="710E2886" w14:textId="77777777" w:rsidR="00B9108B" w:rsidRDefault="00000000">
            <w:r>
              <w:t>2.000</w:t>
            </w:r>
          </w:p>
        </w:tc>
        <w:tc>
          <w:tcPr>
            <w:tcW w:w="1560" w:type="dxa"/>
          </w:tcPr>
          <w:p w14:paraId="473583A2" w14:textId="77777777" w:rsidR="00B9108B" w:rsidRDefault="00000000">
            <w:r>
              <w:t>2.000</w:t>
            </w:r>
          </w:p>
        </w:tc>
        <w:tc>
          <w:tcPr>
            <w:tcW w:w="1560" w:type="dxa"/>
          </w:tcPr>
          <w:p w14:paraId="6B07A781" w14:textId="77777777" w:rsidR="00B9108B" w:rsidRDefault="00000000">
            <w:r>
              <w:t>104.38</w:t>
            </w:r>
          </w:p>
        </w:tc>
        <w:tc>
          <w:tcPr>
            <w:tcW w:w="1560" w:type="dxa"/>
          </w:tcPr>
          <w:p w14:paraId="1FB1EEE9" w14:textId="77777777" w:rsidR="00B9108B" w:rsidRDefault="00000000">
            <w:r>
              <w:t>2.000</w:t>
            </w:r>
          </w:p>
        </w:tc>
        <w:tc>
          <w:tcPr>
            <w:tcW w:w="1560" w:type="dxa"/>
          </w:tcPr>
          <w:p w14:paraId="08271B9E" w14:textId="77777777" w:rsidR="00B9108B" w:rsidRDefault="00000000">
            <w:r>
              <w:t>0.000</w:t>
            </w:r>
          </w:p>
        </w:tc>
      </w:tr>
      <w:tr w:rsidR="00B9108B" w14:paraId="4BAC37A6" w14:textId="77777777">
        <w:tc>
          <w:tcPr>
            <w:tcW w:w="1560" w:type="dxa"/>
          </w:tcPr>
          <w:p w14:paraId="48009948" w14:textId="77777777" w:rsidR="00B9108B" w:rsidRDefault="00000000">
            <w:r>
              <w:t>50% (Median)</w:t>
            </w:r>
          </w:p>
        </w:tc>
        <w:tc>
          <w:tcPr>
            <w:tcW w:w="1560" w:type="dxa"/>
          </w:tcPr>
          <w:p w14:paraId="5A052C7B" w14:textId="77777777" w:rsidR="00B9108B" w:rsidRDefault="00000000">
            <w:r>
              <w:t>3.000</w:t>
            </w:r>
          </w:p>
        </w:tc>
        <w:tc>
          <w:tcPr>
            <w:tcW w:w="1560" w:type="dxa"/>
          </w:tcPr>
          <w:p w14:paraId="138855E9" w14:textId="77777777" w:rsidR="00B9108B" w:rsidRDefault="00000000">
            <w:r>
              <w:t>4.000</w:t>
            </w:r>
          </w:p>
        </w:tc>
        <w:tc>
          <w:tcPr>
            <w:tcW w:w="1560" w:type="dxa"/>
          </w:tcPr>
          <w:p w14:paraId="70547C58" w14:textId="77777777" w:rsidR="00B9108B" w:rsidRDefault="00000000">
            <w:r>
              <w:t>163.99</w:t>
            </w:r>
          </w:p>
        </w:tc>
        <w:tc>
          <w:tcPr>
            <w:tcW w:w="1560" w:type="dxa"/>
          </w:tcPr>
          <w:p w14:paraId="74333EB7" w14:textId="77777777" w:rsidR="00B9108B" w:rsidRDefault="00000000">
            <w:r>
              <w:t>3.000</w:t>
            </w:r>
          </w:p>
        </w:tc>
        <w:tc>
          <w:tcPr>
            <w:tcW w:w="1560" w:type="dxa"/>
          </w:tcPr>
          <w:p w14:paraId="6CF9F155" w14:textId="77777777" w:rsidR="00B9108B" w:rsidRDefault="00000000">
            <w:r>
              <w:t>1.000</w:t>
            </w:r>
          </w:p>
        </w:tc>
      </w:tr>
      <w:tr w:rsidR="00B9108B" w14:paraId="7B735132" w14:textId="77777777">
        <w:tc>
          <w:tcPr>
            <w:tcW w:w="1560" w:type="dxa"/>
          </w:tcPr>
          <w:p w14:paraId="28DFB931" w14:textId="77777777" w:rsidR="00B9108B" w:rsidRDefault="00000000">
            <w:r>
              <w:t>75% (Q3)</w:t>
            </w:r>
          </w:p>
        </w:tc>
        <w:tc>
          <w:tcPr>
            <w:tcW w:w="1560" w:type="dxa"/>
          </w:tcPr>
          <w:p w14:paraId="29D05722" w14:textId="77777777" w:rsidR="00B9108B" w:rsidRDefault="00000000">
            <w:r>
              <w:t>5.000</w:t>
            </w:r>
          </w:p>
        </w:tc>
        <w:tc>
          <w:tcPr>
            <w:tcW w:w="1560" w:type="dxa"/>
          </w:tcPr>
          <w:p w14:paraId="38AB6E05" w14:textId="77777777" w:rsidR="00B9108B" w:rsidRDefault="00000000">
            <w:r>
              <w:t>4.000</w:t>
            </w:r>
          </w:p>
        </w:tc>
        <w:tc>
          <w:tcPr>
            <w:tcW w:w="1560" w:type="dxa"/>
          </w:tcPr>
          <w:p w14:paraId="23A89846" w14:textId="77777777" w:rsidR="00B9108B" w:rsidRDefault="00000000">
            <w:r>
              <w:t>247.40</w:t>
            </w:r>
          </w:p>
        </w:tc>
        <w:tc>
          <w:tcPr>
            <w:tcW w:w="1560" w:type="dxa"/>
          </w:tcPr>
          <w:p w14:paraId="15E682D5" w14:textId="77777777" w:rsidR="00B9108B" w:rsidRDefault="00000000">
            <w:r>
              <w:t>5.000</w:t>
            </w:r>
          </w:p>
        </w:tc>
        <w:tc>
          <w:tcPr>
            <w:tcW w:w="1560" w:type="dxa"/>
          </w:tcPr>
          <w:p w14:paraId="4735F135" w14:textId="77777777" w:rsidR="00B9108B" w:rsidRDefault="00000000">
            <w:r>
              <w:t>1.000</w:t>
            </w:r>
          </w:p>
        </w:tc>
      </w:tr>
      <w:tr w:rsidR="00B9108B" w14:paraId="1458D0AC" w14:textId="77777777">
        <w:tc>
          <w:tcPr>
            <w:tcW w:w="1560" w:type="dxa"/>
          </w:tcPr>
          <w:p w14:paraId="11FEEE4B" w14:textId="77777777" w:rsidR="00B9108B" w:rsidRDefault="00000000">
            <w:r>
              <w:t>Max</w:t>
            </w:r>
          </w:p>
        </w:tc>
        <w:tc>
          <w:tcPr>
            <w:tcW w:w="1560" w:type="dxa"/>
          </w:tcPr>
          <w:p w14:paraId="7C0861EC" w14:textId="77777777" w:rsidR="00B9108B" w:rsidRDefault="00000000">
            <w:r>
              <w:t>6.000</w:t>
            </w:r>
          </w:p>
        </w:tc>
        <w:tc>
          <w:tcPr>
            <w:tcW w:w="1560" w:type="dxa"/>
          </w:tcPr>
          <w:p w14:paraId="68A1A127" w14:textId="77777777" w:rsidR="00B9108B" w:rsidRDefault="00000000">
            <w:r>
              <w:t>4.000</w:t>
            </w:r>
          </w:p>
        </w:tc>
        <w:tc>
          <w:tcPr>
            <w:tcW w:w="1560" w:type="dxa"/>
          </w:tcPr>
          <w:p w14:paraId="1BB05047" w14:textId="77777777" w:rsidR="00B9108B" w:rsidRDefault="00000000">
            <w:r>
              <w:t>461.93</w:t>
            </w:r>
          </w:p>
        </w:tc>
        <w:tc>
          <w:tcPr>
            <w:tcW w:w="1560" w:type="dxa"/>
          </w:tcPr>
          <w:p w14:paraId="560477FA" w14:textId="77777777" w:rsidR="00B9108B" w:rsidRDefault="00000000">
            <w:r>
              <w:t>6.000</w:t>
            </w:r>
          </w:p>
        </w:tc>
        <w:tc>
          <w:tcPr>
            <w:tcW w:w="1560" w:type="dxa"/>
          </w:tcPr>
          <w:p w14:paraId="047B96E7" w14:textId="77777777" w:rsidR="00B9108B" w:rsidRDefault="00000000">
            <w:r>
              <w:t>1.000</w:t>
            </w:r>
          </w:p>
        </w:tc>
      </w:tr>
    </w:tbl>
    <w:p w14:paraId="2E4A052B" w14:textId="77777777" w:rsidR="00B9108B" w:rsidRDefault="00000000">
      <w:r>
        <w:lastRenderedPageBreak/>
        <w:br/>
        <w:t>Core Statistical Takeaways:</w:t>
      </w:r>
      <w:r>
        <w:br/>
        <w:t>• Systemic Commitment Deficit: The arithmetic mean of actual shipping time (3.498 days) exceeds the promised scheduled target (2.932 days) by ~0.566 days, indicating that default scheduling rules are over-promising carrier capabilities.</w:t>
      </w:r>
      <w:r>
        <w:br/>
        <w:t>• Bounded Transit Window: Actual transit times exhibit zero extreme outliers beyond 6 days, demonstrating that shipments adhere to physical transport constraints despite frequent SLA target misses.</w:t>
      </w:r>
    </w:p>
    <w:p w14:paraId="68B4FC50" w14:textId="77777777" w:rsidR="00B9108B" w:rsidRDefault="00000000">
      <w:pPr>
        <w:pStyle w:val="Heading1"/>
      </w:pPr>
      <w:r>
        <w:t>3. Visual Analytics &amp; Logistics Interpretations</w:t>
      </w:r>
    </w:p>
    <w:p w14:paraId="02408406" w14:textId="77777777" w:rsidR="00B9108B" w:rsidRDefault="00000000">
      <w:pPr>
        <w:pStyle w:val="Heading2"/>
      </w:pPr>
      <w:r>
        <w:t>3.1 Disparity Between Promised Targets and Actual Transit Lead Times</w:t>
      </w:r>
    </w:p>
    <w:tbl>
      <w:tblPr>
        <w:tblW w:w="0" w:type="auto"/>
        <w:jc w:val="center"/>
        <w:tblLook w:val="04A0" w:firstRow="1" w:lastRow="0" w:firstColumn="1" w:lastColumn="0" w:noHBand="0" w:noVBand="1"/>
      </w:tblPr>
      <w:tblGrid>
        <w:gridCol w:w="9344"/>
      </w:tblGrid>
      <w:tr w:rsidR="00B9108B" w14:paraId="565292EB"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9FA"/>
          </w:tcPr>
          <w:p w14:paraId="0015906F" w14:textId="233C9F79" w:rsidR="00B9108B" w:rsidRDefault="002A647C">
            <w:pPr>
              <w:jc w:val="center"/>
            </w:pPr>
            <w:r>
              <w:rPr>
                <w:noProof/>
              </w:rPr>
              <w:drawing>
                <wp:inline distT="0" distB="0" distL="0" distR="0" wp14:anchorId="3DAC4B0D" wp14:editId="3080A096">
                  <wp:extent cx="5943600" cy="3255645"/>
                  <wp:effectExtent l="0" t="0" r="0" b="1905"/>
                  <wp:docPr id="20176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tc>
      </w:tr>
    </w:tbl>
    <w:p w14:paraId="38DB32BC" w14:textId="77777777" w:rsidR="00B9108B" w:rsidRDefault="00000000">
      <w:r>
        <w:rPr>
          <w:b/>
        </w:rPr>
        <w:t xml:space="preserve">Methodological Justification: </w:t>
      </w:r>
      <w:r>
        <w:t>Kernel Density Estimation (KDE) was chosen over standard discrete histograms because it models the continuous transit probability density curves of actual vs. scheduled deliveries simultaneously without binning distortions.</w:t>
      </w:r>
    </w:p>
    <w:p w14:paraId="4C361862" w14:textId="77777777" w:rsidR="00B9108B" w:rsidRDefault="00000000">
      <w:r>
        <w:rPr>
          <w:b/>
        </w:rPr>
        <w:t>Python Implementation Script:</w:t>
      </w:r>
      <w:r>
        <w:rPr>
          <w:b/>
        </w:rPr>
        <w:br/>
      </w:r>
      <w:r>
        <w:rPr>
          <w:rFonts w:ascii="Consolas" w:hAnsi="Consolas"/>
          <w:sz w:val="17"/>
        </w:rPr>
        <w:t>sns.kdeplot(data=df, x='Days for shipping (real)', fill=True, label='Actual Shipping Days')</w:t>
      </w:r>
      <w:r>
        <w:rPr>
          <w:rFonts w:ascii="Consolas" w:hAnsi="Consolas"/>
          <w:sz w:val="17"/>
        </w:rPr>
        <w:br/>
        <w:t>sns.kdeplot(data=df, x='Days for shipment (scheduled)', fill=True, label='Scheduled Target Days')</w:t>
      </w:r>
    </w:p>
    <w:p w14:paraId="52524962" w14:textId="77777777" w:rsidR="00B9108B" w:rsidRDefault="00000000">
      <w:r>
        <w:rPr>
          <w:b/>
        </w:rPr>
        <w:t xml:space="preserve">Operational Logistics Interpretation: </w:t>
      </w:r>
      <w:r>
        <w:t xml:space="preserve">The density visualization confirms a structural rightward shift in actual transit times. While scheduled commitments peak aggressively at 4 days (with a mean of 2.932 days), actual shipping durations exhibit a wide distribution centered around 3.50 days, with substantial fulfillment volume taking 5 to 6 full days. This misalignment proves that SLA </w:t>
      </w:r>
      <w:r>
        <w:lastRenderedPageBreak/>
        <w:t>breaches stem primarily from over-optimistic dispatch scheduling rather than random transit bottlenecks.</w:t>
      </w:r>
    </w:p>
    <w:p w14:paraId="39D61004" w14:textId="77777777" w:rsidR="00B9108B" w:rsidRDefault="00000000">
      <w:pPr>
        <w:pStyle w:val="Heading2"/>
      </w:pPr>
      <w:r>
        <w:t>3.2 Transit Lead Time Variance Across Shipping Modes</w:t>
      </w:r>
    </w:p>
    <w:tbl>
      <w:tblPr>
        <w:tblW w:w="0" w:type="auto"/>
        <w:jc w:val="center"/>
        <w:tblLook w:val="04A0" w:firstRow="1" w:lastRow="0" w:firstColumn="1" w:lastColumn="0" w:noHBand="0" w:noVBand="1"/>
      </w:tblPr>
      <w:tblGrid>
        <w:gridCol w:w="9344"/>
      </w:tblGrid>
      <w:tr w:rsidR="00B9108B" w14:paraId="4EA5004D"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9FA"/>
          </w:tcPr>
          <w:p w14:paraId="64313401" w14:textId="6A1C184B" w:rsidR="00B9108B" w:rsidRDefault="002A647C">
            <w:pPr>
              <w:jc w:val="center"/>
            </w:pPr>
            <w:r>
              <w:rPr>
                <w:noProof/>
              </w:rPr>
              <w:drawing>
                <wp:inline distT="0" distB="0" distL="0" distR="0" wp14:anchorId="1A2AA03E" wp14:editId="35413193">
                  <wp:extent cx="5943600" cy="3255645"/>
                  <wp:effectExtent l="0" t="0" r="0" b="1905"/>
                  <wp:docPr id="1309317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r w:rsidR="00000000">
              <w:rPr>
                <w:i/>
                <w:color w:val="64748B"/>
                <w:sz w:val="20"/>
              </w:rPr>
              <w:br/>
            </w:r>
          </w:p>
        </w:tc>
      </w:tr>
    </w:tbl>
    <w:p w14:paraId="2B096011" w14:textId="77777777" w:rsidR="00B9108B" w:rsidRDefault="00000000">
      <w:r>
        <w:rPr>
          <w:b/>
        </w:rPr>
        <w:t xml:space="preserve">Methodological Justification: </w:t>
      </w:r>
      <w:r>
        <w:t>A Box and Whisker plot was selected to display medians, interquartile ranges, and spread across categorical carrier tiers, enabling direct comparison of tier consistency.</w:t>
      </w:r>
    </w:p>
    <w:p w14:paraId="21B73AB4" w14:textId="77777777" w:rsidR="00B9108B" w:rsidRDefault="00000000">
      <w:r>
        <w:rPr>
          <w:b/>
        </w:rPr>
        <w:t>Python Implementation Script:</w:t>
      </w:r>
      <w:r>
        <w:rPr>
          <w:b/>
        </w:rPr>
        <w:br/>
      </w:r>
      <w:r>
        <w:rPr>
          <w:rFonts w:ascii="Consolas" w:hAnsi="Consolas"/>
          <w:sz w:val="17"/>
        </w:rPr>
        <w:t>sns.boxplot(data=df, x='Shipping Mode', y='Days for shipping (real)', palette=palette)</w:t>
      </w:r>
    </w:p>
    <w:p w14:paraId="0D53CCA8" w14:textId="77777777" w:rsidR="00B9108B" w:rsidRDefault="00000000">
      <w:r>
        <w:rPr>
          <w:b/>
        </w:rPr>
        <w:t xml:space="preserve">Operational Logistics Interpretation: </w:t>
      </w:r>
      <w:r>
        <w:t>Transit distributions reveal distinct operational characteristics: Standard Class displays the largest spread (median of 4 days, ranging from 2 to 6 days), whereas First Class and Second Class exhibit tighter transit intervals. Crucially, Same Day shipping achieves an average delivery window of 0 to 1 day, confirming that premium logistics tiers effectively compress physical fulfillment variability.</w:t>
      </w:r>
    </w:p>
    <w:p w14:paraId="28489F44" w14:textId="77777777" w:rsidR="002A647C" w:rsidRDefault="002A647C"/>
    <w:p w14:paraId="3BCBF188" w14:textId="77777777" w:rsidR="002A647C" w:rsidRDefault="002A647C"/>
    <w:p w14:paraId="395C5A86" w14:textId="77777777" w:rsidR="002A647C" w:rsidRDefault="002A647C"/>
    <w:p w14:paraId="357735FA" w14:textId="77777777" w:rsidR="002A647C" w:rsidRDefault="002A647C"/>
    <w:p w14:paraId="62DF0486" w14:textId="77777777" w:rsidR="00B9108B" w:rsidRDefault="00000000">
      <w:pPr>
        <w:pStyle w:val="Heading2"/>
      </w:pPr>
      <w:r>
        <w:lastRenderedPageBreak/>
        <w:t>3.3 Operational Impact of Dispatch Day on Late Delivery Probability</w:t>
      </w:r>
    </w:p>
    <w:tbl>
      <w:tblPr>
        <w:tblW w:w="0" w:type="auto"/>
        <w:jc w:val="center"/>
        <w:tblLook w:val="04A0" w:firstRow="1" w:lastRow="0" w:firstColumn="1" w:lastColumn="0" w:noHBand="0" w:noVBand="1"/>
      </w:tblPr>
      <w:tblGrid>
        <w:gridCol w:w="9344"/>
      </w:tblGrid>
      <w:tr w:rsidR="00B9108B" w14:paraId="1DC10B3F"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9FA"/>
          </w:tcPr>
          <w:p w14:paraId="20BD6B10" w14:textId="38A382CF" w:rsidR="00B9108B" w:rsidRDefault="00000000" w:rsidP="002A647C">
            <w:r>
              <w:rPr>
                <w:i/>
                <w:color w:val="64748B"/>
                <w:sz w:val="20"/>
              </w:rPr>
              <w:br/>
            </w:r>
            <w:r>
              <w:rPr>
                <w:i/>
                <w:color w:val="64748B"/>
                <w:sz w:val="20"/>
              </w:rPr>
              <w:br/>
            </w:r>
            <w:r w:rsidR="002A647C">
              <w:rPr>
                <w:noProof/>
              </w:rPr>
              <w:drawing>
                <wp:inline distT="0" distB="0" distL="0" distR="0" wp14:anchorId="1893B10C" wp14:editId="7FDFA17A">
                  <wp:extent cx="5943600" cy="3255645"/>
                  <wp:effectExtent l="0" t="0" r="0" b="1905"/>
                  <wp:docPr id="1332130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tc>
      </w:tr>
    </w:tbl>
    <w:p w14:paraId="11D93FD7" w14:textId="77777777" w:rsidR="00B9108B" w:rsidRDefault="00000000">
      <w:r>
        <w:rPr>
          <w:b/>
        </w:rPr>
        <w:t xml:space="preserve">Methodological Justification: </w:t>
      </w:r>
      <w:r>
        <w:t>A prioritized discrete bar chart was selected to highlight percentage breach rates across all 7 operational weekdays against the baseline network benchmark.</w:t>
      </w:r>
    </w:p>
    <w:p w14:paraId="5672C750" w14:textId="77777777" w:rsidR="00B9108B" w:rsidRDefault="00000000">
      <w:r>
        <w:rPr>
          <w:b/>
        </w:rPr>
        <w:t>Python Implementation Script:</w:t>
      </w:r>
      <w:r>
        <w:rPr>
          <w:b/>
        </w:rPr>
        <w:br/>
      </w:r>
      <w:r>
        <w:rPr>
          <w:rFonts w:ascii="Consolas" w:hAnsi="Consolas"/>
          <w:sz w:val="17"/>
        </w:rPr>
        <w:t>weekday_delay = df.groupby('Day_Name')['Late_delivery_risk'].mean() * 100</w:t>
      </w:r>
      <w:r>
        <w:rPr>
          <w:rFonts w:ascii="Consolas" w:hAnsi="Consolas"/>
          <w:sz w:val="17"/>
        </w:rPr>
        <w:br/>
        <w:t>plt.bar(weekday_delay.index, weekday_delay.values)</w:t>
      </w:r>
    </w:p>
    <w:p w14:paraId="0C552859" w14:textId="77777777" w:rsidR="00B9108B" w:rsidRDefault="00000000">
      <w:r>
        <w:rPr>
          <w:b/>
        </w:rPr>
        <w:t xml:space="preserve">Operational Logistics Interpretation: </w:t>
      </w:r>
      <w:r>
        <w:t>Late delivery risk remains hovering around 54% to 55% across weekdays, with a slight elevation observed on weekend dispatches (Saturday and Sunday). This confirms that delays are deeply embedded in operational dispatching and carrier handoffs rather than isolated to weekend facility shutdowns.</w:t>
      </w:r>
    </w:p>
    <w:p w14:paraId="77B703B9" w14:textId="77777777" w:rsidR="002A647C" w:rsidRDefault="002A647C"/>
    <w:p w14:paraId="5EA4CE1D" w14:textId="77777777" w:rsidR="002A647C" w:rsidRDefault="002A647C"/>
    <w:p w14:paraId="2BA0F848" w14:textId="77777777" w:rsidR="002A647C" w:rsidRDefault="002A647C"/>
    <w:p w14:paraId="12459C0A" w14:textId="77777777" w:rsidR="002A647C" w:rsidRDefault="002A647C"/>
    <w:p w14:paraId="2E7925FF" w14:textId="77777777" w:rsidR="002A647C" w:rsidRDefault="002A647C"/>
    <w:p w14:paraId="17C60AA7" w14:textId="77777777" w:rsidR="002A647C" w:rsidRDefault="002A647C"/>
    <w:p w14:paraId="39F9A178" w14:textId="77777777" w:rsidR="00B9108B" w:rsidRDefault="00000000">
      <w:pPr>
        <w:pStyle w:val="Heading2"/>
      </w:pPr>
      <w:r>
        <w:lastRenderedPageBreak/>
        <w:t>3.4 Multivariate Operational Logistics Correlation Matrix</w:t>
      </w:r>
    </w:p>
    <w:tbl>
      <w:tblPr>
        <w:tblW w:w="0" w:type="auto"/>
        <w:jc w:val="center"/>
        <w:tblLook w:val="04A0" w:firstRow="1" w:lastRow="0" w:firstColumn="1" w:lastColumn="0" w:noHBand="0" w:noVBand="1"/>
      </w:tblPr>
      <w:tblGrid>
        <w:gridCol w:w="9344"/>
      </w:tblGrid>
      <w:tr w:rsidR="00B9108B" w14:paraId="775B4E8C"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9FA"/>
          </w:tcPr>
          <w:p w14:paraId="38B448D8" w14:textId="2AD32E08" w:rsidR="00B9108B" w:rsidRDefault="00000000">
            <w:pPr>
              <w:jc w:val="center"/>
            </w:pPr>
            <w:r>
              <w:rPr>
                <w:i/>
                <w:color w:val="64748B"/>
                <w:sz w:val="20"/>
              </w:rPr>
              <w:br/>
            </w:r>
            <w:r w:rsidR="002A647C">
              <w:rPr>
                <w:noProof/>
              </w:rPr>
              <w:drawing>
                <wp:inline distT="0" distB="0" distL="0" distR="0" wp14:anchorId="361BF3DC" wp14:editId="625A89C9">
                  <wp:extent cx="5943600" cy="4392930"/>
                  <wp:effectExtent l="0" t="0" r="0" b="7620"/>
                  <wp:docPr id="2089311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92930"/>
                          </a:xfrm>
                          <a:prstGeom prst="rect">
                            <a:avLst/>
                          </a:prstGeom>
                          <a:noFill/>
                          <a:ln>
                            <a:noFill/>
                          </a:ln>
                        </pic:spPr>
                      </pic:pic>
                    </a:graphicData>
                  </a:graphic>
                </wp:inline>
              </w:drawing>
            </w:r>
          </w:p>
        </w:tc>
      </w:tr>
    </w:tbl>
    <w:p w14:paraId="04E14706" w14:textId="77777777" w:rsidR="00B9108B" w:rsidRDefault="00000000">
      <w:r>
        <w:rPr>
          <w:b/>
        </w:rPr>
        <w:t xml:space="preserve">Methodological Justification: </w:t>
      </w:r>
      <w:r>
        <w:t>A lower-triangle correlation heatmap was utilized to evaluate collinearity and relationships across operational variables simultaneously without visual redundancy.</w:t>
      </w:r>
    </w:p>
    <w:p w14:paraId="516E75E3" w14:textId="77777777" w:rsidR="00B9108B" w:rsidRDefault="00000000">
      <w:r>
        <w:rPr>
          <w:b/>
        </w:rPr>
        <w:t>Python Implementation Script:</w:t>
      </w:r>
      <w:r>
        <w:rPr>
          <w:b/>
        </w:rPr>
        <w:br/>
      </w:r>
      <w:r>
        <w:rPr>
          <w:rFonts w:ascii="Consolas" w:hAnsi="Consolas"/>
          <w:sz w:val="17"/>
        </w:rPr>
        <w:t>corr_matrix = df[corr_features].corr(method='pearson')</w:t>
      </w:r>
      <w:r>
        <w:rPr>
          <w:rFonts w:ascii="Consolas" w:hAnsi="Consolas"/>
          <w:sz w:val="17"/>
        </w:rPr>
        <w:br/>
        <w:t>sns.heatmap(corr_matrix, annot=True, cmap='Blues', mask=mask)</w:t>
      </w:r>
    </w:p>
    <w:p w14:paraId="15AD74F6" w14:textId="77777777" w:rsidR="00B9108B" w:rsidRDefault="00000000">
      <w:r>
        <w:rPr>
          <w:b/>
        </w:rPr>
        <w:t xml:space="preserve">Operational Logistics Interpretation: </w:t>
      </w:r>
      <w:r>
        <w:t>The correlation analysis reveals critical logistics dynamics:</w:t>
      </w:r>
      <w:r>
        <w:br/>
        <w:t>• Actual Shipping Days and Dispatch Lead Days show a near-perfect positive correlation (r = 1.00), confirming that fulfillment duration is predominantly determined by outbound carrier velocity.</w:t>
      </w:r>
      <w:r>
        <w:br/>
        <w:t>• Sales per customer and Product Price display a strong positive relationship (r = 0.78), but show virtually zero correlation with Late Delivery Risk (r = -0.00).</w:t>
      </w:r>
      <w:r>
        <w:br/>
        <w:t>• This absence of correlation between order monetary value and late delivery risk proves that warehouse facilities currently lack value-based order prioritization—high-value customers experience the same delay likelihood as small-ticket buyers.</w:t>
      </w:r>
    </w:p>
    <w:p w14:paraId="3A6CBFA2" w14:textId="77777777" w:rsidR="00B9108B" w:rsidRDefault="00000000">
      <w:pPr>
        <w:pStyle w:val="Heading2"/>
      </w:pPr>
      <w:r>
        <w:lastRenderedPageBreak/>
        <w:t>3.5 Regional Fulfillment Bottleneck Ranking</w:t>
      </w:r>
    </w:p>
    <w:tbl>
      <w:tblPr>
        <w:tblW w:w="0" w:type="auto"/>
        <w:jc w:val="center"/>
        <w:tblLook w:val="04A0" w:firstRow="1" w:lastRow="0" w:firstColumn="1" w:lastColumn="0" w:noHBand="0" w:noVBand="1"/>
      </w:tblPr>
      <w:tblGrid>
        <w:gridCol w:w="9344"/>
      </w:tblGrid>
      <w:tr w:rsidR="00B9108B" w14:paraId="237592BA"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9FA"/>
          </w:tcPr>
          <w:p w14:paraId="79008184" w14:textId="3A416ED8" w:rsidR="00B9108B" w:rsidRDefault="002A647C">
            <w:pPr>
              <w:jc w:val="center"/>
            </w:pPr>
            <w:r>
              <w:rPr>
                <w:noProof/>
              </w:rPr>
              <w:drawing>
                <wp:inline distT="0" distB="0" distL="0" distR="0" wp14:anchorId="72A4733D" wp14:editId="50FBD572">
                  <wp:extent cx="5943600" cy="3591560"/>
                  <wp:effectExtent l="0" t="0" r="0" b="8890"/>
                  <wp:docPr id="1939009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91560"/>
                          </a:xfrm>
                          <a:prstGeom prst="rect">
                            <a:avLst/>
                          </a:prstGeom>
                          <a:noFill/>
                          <a:ln>
                            <a:noFill/>
                          </a:ln>
                        </pic:spPr>
                      </pic:pic>
                    </a:graphicData>
                  </a:graphic>
                </wp:inline>
              </w:drawing>
            </w:r>
          </w:p>
        </w:tc>
      </w:tr>
    </w:tbl>
    <w:p w14:paraId="708AA117" w14:textId="77777777" w:rsidR="00B9108B" w:rsidRDefault="00000000">
      <w:r>
        <w:rPr>
          <w:b/>
        </w:rPr>
        <w:t xml:space="preserve">Methodological Justification: </w:t>
      </w:r>
      <w:r>
        <w:t>A horizontal bar chart with baseline benchmark demarcation was selected to rank regional corridors by delay frequency, facilitating fast geographic triage for supply chain managers.</w:t>
      </w:r>
    </w:p>
    <w:p w14:paraId="1152E00D" w14:textId="77777777" w:rsidR="00B9108B" w:rsidRDefault="00000000">
      <w:r>
        <w:rPr>
          <w:b/>
        </w:rPr>
        <w:t>Python Implementation Script:</w:t>
      </w:r>
      <w:r>
        <w:rPr>
          <w:b/>
        </w:rPr>
        <w:br/>
      </w:r>
      <w:r>
        <w:rPr>
          <w:rFonts w:ascii="Consolas" w:hAnsi="Consolas"/>
          <w:sz w:val="17"/>
        </w:rPr>
        <w:t>region_delay = df.groupby('Order Region')['Late_delivery_risk'].mean().sort_values().tail(10)</w:t>
      </w:r>
      <w:r>
        <w:rPr>
          <w:rFonts w:ascii="Consolas" w:hAnsi="Consolas"/>
          <w:sz w:val="17"/>
        </w:rPr>
        <w:br/>
        <w:t>plt.barh(region_delay.index, region_delay.values * 100)</w:t>
      </w:r>
    </w:p>
    <w:p w14:paraId="336A0D65" w14:textId="77777777" w:rsidR="00B9108B" w:rsidRDefault="00000000">
      <w:r>
        <w:rPr>
          <w:b/>
        </w:rPr>
        <w:t xml:space="preserve">Operational Logistics Interpretation: </w:t>
      </w:r>
      <w:r>
        <w:t>Geographic triage identifies persistent fulfillment bottlenecks across specific international destination corridors. The top 5 regions with the highest delivery delay risk are Southeast Asia, South Asia, Western Europe, Eastern Asia, and Central America, all experiencing late delivery rates exceeding 56%. These corridors warrant localized forward-deployed fulfillment hubs or revised carrier SLA agreements.</w:t>
      </w:r>
    </w:p>
    <w:p w14:paraId="069097CA" w14:textId="77777777" w:rsidR="00B9108B" w:rsidRDefault="00000000">
      <w:pPr>
        <w:pStyle w:val="Heading1"/>
      </w:pPr>
      <w:r>
        <w:t>4. Strategic Recommendations for Logistics Decision-Making</w:t>
      </w:r>
    </w:p>
    <w:p w14:paraId="741BC76B" w14:textId="77777777" w:rsidR="00B9108B" w:rsidRDefault="00000000">
      <w:r>
        <w:t>Based on the visual and statistical findings, the following data-driven operational adjustments are recommended:</w:t>
      </w:r>
      <w:r>
        <w:br/>
      </w:r>
      <w:r>
        <w:br/>
        <w:t>1. Recalibrate Scheduled Delivery Windows (Dynamic SLA Calibration): The default scheduled window of 2.932 days must be adjusted upward to 3.5 days for standard shipping tiers. Eliminating unrealistic 2-day promises for standard routes will instantly recover over 20% of SLA compliance.</w:t>
      </w:r>
      <w:r>
        <w:br/>
      </w:r>
      <w:r>
        <w:br/>
      </w:r>
      <w:r>
        <w:lastRenderedPageBreak/>
        <w:t>2. Implement Value-Tiered Fulfillment Prioritization: Because gross sales show zero correlation with fulfillment velocity (r = -0.00), high-margin shipments are currently neglected in dispatch queues. High-value orders (Sales &gt; $250) should be programmatically routed to expedited fulfillment lanes.</w:t>
      </w:r>
      <w:r>
        <w:br/>
      </w:r>
      <w:r>
        <w:br/>
        <w:t>3. Establish Regional Buffer Times: Orders bound for Southeast Asia and South Asia should be assigned a mandatory +1 day transit buffer to account for international freight transfer latencies.</w:t>
      </w:r>
    </w:p>
    <w:sectPr w:rsidR="00B910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7900355">
    <w:abstractNumId w:val="8"/>
  </w:num>
  <w:num w:numId="2" w16cid:durableId="1163931338">
    <w:abstractNumId w:val="6"/>
  </w:num>
  <w:num w:numId="3" w16cid:durableId="8457689">
    <w:abstractNumId w:val="5"/>
  </w:num>
  <w:num w:numId="4" w16cid:durableId="436565762">
    <w:abstractNumId w:val="4"/>
  </w:num>
  <w:num w:numId="5" w16cid:durableId="1838769939">
    <w:abstractNumId w:val="7"/>
  </w:num>
  <w:num w:numId="6" w16cid:durableId="264965931">
    <w:abstractNumId w:val="3"/>
  </w:num>
  <w:num w:numId="7" w16cid:durableId="762720713">
    <w:abstractNumId w:val="2"/>
  </w:num>
  <w:num w:numId="8" w16cid:durableId="562838524">
    <w:abstractNumId w:val="1"/>
  </w:num>
  <w:num w:numId="9" w16cid:durableId="105211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47C"/>
    <w:rsid w:val="00326F90"/>
    <w:rsid w:val="00AA1D8D"/>
    <w:rsid w:val="00B47730"/>
    <w:rsid w:val="00B9108B"/>
    <w:rsid w:val="00CB0664"/>
    <w:rsid w:val="00CE0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4DF17"/>
  <w14:defaultImageDpi w14:val="300"/>
  <w15:docId w15:val="{F0070D03-2704-42B2-B43A-D12C680A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baba raghushe</cp:lastModifiedBy>
  <cp:revision>2</cp:revision>
  <dcterms:created xsi:type="dcterms:W3CDTF">2026-10-06T11:10:00Z</dcterms:created>
  <dcterms:modified xsi:type="dcterms:W3CDTF">2026-10-06T11:10:00Z</dcterms:modified>
  <cp:category/>
</cp:coreProperties>
</file>