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049B" w14:textId="77777777" w:rsidR="0020412B" w:rsidRDefault="00000000">
      <w:r>
        <w:rPr>
          <w:b/>
          <w:color w:val="1A365D"/>
          <w:sz w:val="34"/>
        </w:rPr>
        <w:t>Technical Report: Predictive Modeling and Operational Optimization in Logistics Systems</w:t>
      </w:r>
    </w:p>
    <w:p w14:paraId="233E5606" w14:textId="77777777" w:rsidR="0020412B" w:rsidRDefault="00000000">
      <w:r>
        <w:rPr>
          <w:b/>
        </w:rPr>
        <w:t xml:space="preserve">Role: </w:t>
      </w:r>
      <w:r>
        <w:t>Logistics Data Analyst Intern</w:t>
      </w:r>
      <w:r>
        <w:br/>
      </w:r>
      <w:r>
        <w:rPr>
          <w:b/>
        </w:rPr>
        <w:t xml:space="preserve">Program: </w:t>
      </w:r>
      <w:r>
        <w:t>Yuva Intern 4-Week Technical Program</w:t>
      </w:r>
      <w:r>
        <w:br/>
      </w:r>
      <w:r>
        <w:rPr>
          <w:b/>
        </w:rPr>
        <w:t xml:space="preserve">Task Deliverable: </w:t>
      </w:r>
      <w:r>
        <w:t>Week 4 — Predictive Modeling, Performance Evaluation, and Optimization</w:t>
      </w:r>
      <w:r>
        <w:br/>
      </w:r>
      <w:r>
        <w:rPr>
          <w:b/>
        </w:rPr>
        <w:t xml:space="preserve">Evaluation Criteria Covered: </w:t>
      </w:r>
      <w:r>
        <w:t>Points 19 to 23</w:t>
      </w:r>
      <w:r>
        <w:br/>
      </w:r>
      <w:r>
        <w:rPr>
          <w:b/>
        </w:rPr>
        <w:t xml:space="preserve">Date: </w:t>
      </w:r>
      <w:r>
        <w:t>October 2026</w:t>
      </w:r>
    </w:p>
    <w:p w14:paraId="2976E1FF" w14:textId="77777777" w:rsidR="0020412B" w:rsidRDefault="00000000">
      <w:pPr>
        <w:pStyle w:val="Heading1"/>
      </w:pPr>
      <w:r>
        <w:t>1. Problem Formulation &amp; Feature Space Architecture</w:t>
      </w:r>
    </w:p>
    <w:p w14:paraId="50C8C7DB" w14:textId="77777777" w:rsidR="0020412B" w:rsidRDefault="00000000">
      <w:r>
        <w:t>Following the data cleaning (Week 2) and exploratory diagnostics (Week 3), this project addresses the persistent 54.83% delivery SLA breach rate identified in the DataCo Supply Chain network. Rather than relying on retrospective delay flags, this phase establishes a supervised predictive regression system to forecast precise transit duration—Days for shipping (real)—at the time of order intake, while simultaneously assessing binary Late_delivery_risk.</w:t>
      </w:r>
      <w:r>
        <w:br/>
      </w:r>
      <w:r>
        <w:br/>
        <w:t>The dataset (180,519 records) was partitioned into an 80% training set (144,415 records) and a 20% holdout test set (36,104 records) using a fixed seed for reproducibility. Input attributes encompass scheduled delivery targets, financial order values, item volumes, dispatch day-of-week indicators, and one-hot encoded categorical vectors representing carrier tiers and geographic delivery regions.</w:t>
      </w:r>
    </w:p>
    <w:p w14:paraId="41A7FCB1" w14:textId="77777777" w:rsidR="0020412B" w:rsidRDefault="00000000">
      <w:pPr>
        <w:pStyle w:val="Heading1"/>
      </w:pPr>
      <w:r>
        <w:t>2. Model Selection Rationale &amp; Implementation Methodology</w:t>
      </w:r>
    </w:p>
    <w:p w14:paraId="6495EDDC" w14:textId="77777777" w:rsidR="0020412B" w:rsidRDefault="00000000">
      <w:r>
        <w:t>To guarantee analytical rigor, three distinct model architectures were benchmarked:</w:t>
      </w:r>
      <w:r>
        <w:br/>
        <w:t>1. Linear Regression (Baseline): Evaluates linear relationships between transit metrics and target lead times, establishing a lower-bound computational benchmark.</w:t>
      </w:r>
      <w:r>
        <w:br/>
        <w:t>2. Decision Tree Regressor (Intermediate): Captures non-linear feature interactions and regional threshold splits (max_depth=10).</w:t>
      </w:r>
      <w:r>
        <w:br/>
        <w:t>3. Random Forest Regressor (Advanced Ensemble): A multi-tree bagging ensemble (100 estimators, max_depth=12) that minimizes variance and protects against regional overfitting through bootstrap feature sub-sampling.</w:t>
      </w:r>
    </w:p>
    <w:p w14:paraId="66D30FC6" w14:textId="77777777" w:rsidR="0020412B" w:rsidRDefault="00000000">
      <w:pPr>
        <w:pStyle w:val="Heading1"/>
      </w:pPr>
      <w:r>
        <w:t>3. Benchmark Model Evaluation &amp; Performance Analysis</w:t>
      </w:r>
    </w:p>
    <w:p w14:paraId="4A110CA0" w14:textId="77777777" w:rsidR="0020412B" w:rsidRDefault="00000000">
      <w:r>
        <w:t>Models were evaluated on the holdout test set using Mean Absolute Error (MAE), Root Mean Squared Error (RMSE), and the Coefficient of Determination (R²):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412B" w14:paraId="72843196" w14:textId="77777777">
        <w:tc>
          <w:tcPr>
            <w:tcW w:w="2340" w:type="dxa"/>
            <w:shd w:val="clear" w:color="auto" w:fill="E2E8F0"/>
          </w:tcPr>
          <w:p w14:paraId="0B1E2CF8" w14:textId="77777777" w:rsidR="0020412B" w:rsidRDefault="00000000">
            <w:r>
              <w:rPr>
                <w:b/>
              </w:rPr>
              <w:t>Model Architecture</w:t>
            </w:r>
          </w:p>
        </w:tc>
        <w:tc>
          <w:tcPr>
            <w:tcW w:w="2340" w:type="dxa"/>
            <w:shd w:val="clear" w:color="auto" w:fill="E2E8F0"/>
          </w:tcPr>
          <w:p w14:paraId="1FAFED94" w14:textId="77777777" w:rsidR="0020412B" w:rsidRDefault="00000000">
            <w:r>
              <w:rPr>
                <w:b/>
              </w:rPr>
              <w:t>MAE (Days)</w:t>
            </w:r>
          </w:p>
        </w:tc>
        <w:tc>
          <w:tcPr>
            <w:tcW w:w="2340" w:type="dxa"/>
            <w:shd w:val="clear" w:color="auto" w:fill="E2E8F0"/>
          </w:tcPr>
          <w:p w14:paraId="3B3A052E" w14:textId="77777777" w:rsidR="0020412B" w:rsidRDefault="00000000">
            <w:r>
              <w:rPr>
                <w:b/>
              </w:rPr>
              <w:t>RMSE (Days)</w:t>
            </w:r>
          </w:p>
        </w:tc>
        <w:tc>
          <w:tcPr>
            <w:tcW w:w="2340" w:type="dxa"/>
            <w:shd w:val="clear" w:color="auto" w:fill="E2E8F0"/>
          </w:tcPr>
          <w:p w14:paraId="3BE59B50" w14:textId="77777777" w:rsidR="0020412B" w:rsidRDefault="00000000">
            <w:r>
              <w:rPr>
                <w:b/>
              </w:rPr>
              <w:t>R² Score</w:t>
            </w:r>
          </w:p>
        </w:tc>
      </w:tr>
      <w:tr w:rsidR="0020412B" w14:paraId="7C7415AB" w14:textId="77777777">
        <w:tc>
          <w:tcPr>
            <w:tcW w:w="2340" w:type="dxa"/>
          </w:tcPr>
          <w:p w14:paraId="546F4C6A" w14:textId="77777777" w:rsidR="0020412B" w:rsidRDefault="00000000">
            <w:r>
              <w:t>Linear Regression (Baseline)</w:t>
            </w:r>
          </w:p>
        </w:tc>
        <w:tc>
          <w:tcPr>
            <w:tcW w:w="2340" w:type="dxa"/>
          </w:tcPr>
          <w:p w14:paraId="4CD36156" w14:textId="77777777" w:rsidR="0020412B" w:rsidRDefault="00000000">
            <w:r>
              <w:t>1.0924</w:t>
            </w:r>
          </w:p>
        </w:tc>
        <w:tc>
          <w:tcPr>
            <w:tcW w:w="2340" w:type="dxa"/>
          </w:tcPr>
          <w:p w14:paraId="644A107C" w14:textId="77777777" w:rsidR="0020412B" w:rsidRDefault="00000000">
            <w:r>
              <w:t>1.3061</w:t>
            </w:r>
          </w:p>
        </w:tc>
        <w:tc>
          <w:tcPr>
            <w:tcW w:w="2340" w:type="dxa"/>
          </w:tcPr>
          <w:p w14:paraId="086742A3" w14:textId="77777777" w:rsidR="0020412B" w:rsidRDefault="00000000">
            <w:r>
              <w:t>0.3541</w:t>
            </w:r>
          </w:p>
        </w:tc>
      </w:tr>
      <w:tr w:rsidR="0020412B" w14:paraId="7E497456" w14:textId="77777777">
        <w:tc>
          <w:tcPr>
            <w:tcW w:w="2340" w:type="dxa"/>
          </w:tcPr>
          <w:p w14:paraId="0C7032A4" w14:textId="77777777" w:rsidR="0020412B" w:rsidRDefault="00000000">
            <w:r>
              <w:lastRenderedPageBreak/>
              <w:t>Decision Tree Regressor</w:t>
            </w:r>
          </w:p>
        </w:tc>
        <w:tc>
          <w:tcPr>
            <w:tcW w:w="2340" w:type="dxa"/>
          </w:tcPr>
          <w:p w14:paraId="4753783F" w14:textId="77777777" w:rsidR="0020412B" w:rsidRDefault="00000000">
            <w:r>
              <w:t>0.8412</w:t>
            </w:r>
          </w:p>
        </w:tc>
        <w:tc>
          <w:tcPr>
            <w:tcW w:w="2340" w:type="dxa"/>
          </w:tcPr>
          <w:p w14:paraId="6838EB57" w14:textId="77777777" w:rsidR="0020412B" w:rsidRDefault="00000000">
            <w:r>
              <w:t>1.0825</w:t>
            </w:r>
          </w:p>
        </w:tc>
        <w:tc>
          <w:tcPr>
            <w:tcW w:w="2340" w:type="dxa"/>
          </w:tcPr>
          <w:p w14:paraId="6AA95C5E" w14:textId="77777777" w:rsidR="0020412B" w:rsidRDefault="00000000">
            <w:r>
              <w:t>0.5562</w:t>
            </w:r>
          </w:p>
        </w:tc>
      </w:tr>
      <w:tr w:rsidR="0020412B" w14:paraId="56E92B19" w14:textId="77777777">
        <w:tc>
          <w:tcPr>
            <w:tcW w:w="2340" w:type="dxa"/>
          </w:tcPr>
          <w:p w14:paraId="6301008D" w14:textId="77777777" w:rsidR="0020412B" w:rsidRDefault="00000000">
            <w:r>
              <w:t>Random Forest Regressor (Ensemble)</w:t>
            </w:r>
          </w:p>
        </w:tc>
        <w:tc>
          <w:tcPr>
            <w:tcW w:w="2340" w:type="dxa"/>
          </w:tcPr>
          <w:p w14:paraId="387EFE0F" w14:textId="77777777" w:rsidR="0020412B" w:rsidRDefault="00000000">
            <w:r>
              <w:t>0.7816</w:t>
            </w:r>
          </w:p>
        </w:tc>
        <w:tc>
          <w:tcPr>
            <w:tcW w:w="2340" w:type="dxa"/>
          </w:tcPr>
          <w:p w14:paraId="7AE5614F" w14:textId="77777777" w:rsidR="0020412B" w:rsidRDefault="00000000">
            <w:r>
              <w:t>1.0142</w:t>
            </w:r>
          </w:p>
        </w:tc>
        <w:tc>
          <w:tcPr>
            <w:tcW w:w="2340" w:type="dxa"/>
          </w:tcPr>
          <w:p w14:paraId="4CD30810" w14:textId="77777777" w:rsidR="0020412B" w:rsidRDefault="00000000">
            <w:r>
              <w:t>0.6108</w:t>
            </w:r>
          </w:p>
        </w:tc>
      </w:tr>
    </w:tbl>
    <w:p w14:paraId="4A273D64" w14:textId="77777777" w:rsidR="0020412B" w:rsidRDefault="00000000">
      <w:r>
        <w:br/>
        <w:t>Evaluation Insights:</w:t>
      </w:r>
      <w:r>
        <w:br/>
        <w:t>• Random Forest emerged as the superior model, achieving an MAE of 0.7816 days (~18.7 hours), outperforming the baseline linear model by over 28%.</w:t>
      </w:r>
      <w:r>
        <w:br/>
        <w:t>• An R² score of 0.6108 demonstrates that ensemble tree architectures successfully explain over 61% of total shipping duration variance using dispatch and regional indicators.</w:t>
      </w:r>
    </w:p>
    <w:p w14:paraId="5E6B00F7" w14:textId="77777777" w:rsidR="0020412B" w:rsidRDefault="00000000">
      <w:pPr>
        <w:pStyle w:val="Heading1"/>
      </w:pPr>
      <w:r>
        <w:t>4. Visual Analytics &amp; Residual Diagnostics (Screenshots)</w:t>
      </w:r>
    </w:p>
    <w:p w14:paraId="4A10E330" w14:textId="77777777" w:rsidR="0020412B" w:rsidRDefault="00000000">
      <w:pPr>
        <w:pStyle w:val="Heading2"/>
      </w:pPr>
      <w:r>
        <w:t>4.1 Model Benchmark Error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20412B" w14:paraId="6936544E" w14:textId="77777777">
        <w:trPr>
          <w:jc w:val="center"/>
        </w:trPr>
        <w:tc>
          <w:tcPr>
            <w:tcW w:w="89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9FA"/>
          </w:tcPr>
          <w:p w14:paraId="04E89204" w14:textId="515E9D5B" w:rsidR="0020412B" w:rsidRDefault="001731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A57AD0" wp14:editId="609F1111">
                  <wp:extent cx="5943600" cy="2919095"/>
                  <wp:effectExtent l="0" t="0" r="0" b="0"/>
                  <wp:docPr id="1376004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D1EA8" w14:textId="77777777" w:rsidR="0020412B" w:rsidRDefault="00000000">
      <w:r>
        <w:rPr>
          <w:b/>
        </w:rPr>
        <w:t xml:space="preserve">Methodological Purpose: </w:t>
      </w:r>
      <w:r>
        <w:t>Contrasts MAE and RMSE metrics side-by-side across all three evaluated architectures.</w:t>
      </w:r>
    </w:p>
    <w:p w14:paraId="7D9E0990" w14:textId="77777777" w:rsidR="0020412B" w:rsidRDefault="00000000">
      <w:r>
        <w:rPr>
          <w:b/>
        </w:rPr>
        <w:t xml:space="preserve">Operational Interpretation: </w:t>
      </w:r>
      <w:r>
        <w:t>Confirms a monotonic reduction in both mean and squared prediction errors as model complexity advances from linear to ensemble trees, proving that logistics fulfillment lead times involve non-linear threshold effects.</w:t>
      </w:r>
    </w:p>
    <w:p w14:paraId="32E1E727" w14:textId="77777777" w:rsidR="0020412B" w:rsidRDefault="00000000">
      <w:pPr>
        <w:pStyle w:val="Heading2"/>
      </w:pPr>
      <w:r>
        <w:lastRenderedPageBreak/>
        <w:t>4.2 Residual Error Distribution (Random Forest)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20412B" w14:paraId="4A4CF17C" w14:textId="77777777">
        <w:trPr>
          <w:jc w:val="center"/>
        </w:trPr>
        <w:tc>
          <w:tcPr>
            <w:tcW w:w="89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9FA"/>
          </w:tcPr>
          <w:p w14:paraId="1F6D972A" w14:textId="608EDCFB" w:rsidR="0020412B" w:rsidRDefault="001731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17DCC8" wp14:editId="171A21C9">
                  <wp:extent cx="5943600" cy="2919095"/>
                  <wp:effectExtent l="0" t="0" r="0" b="0"/>
                  <wp:docPr id="424214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909FA" w14:textId="77777777" w:rsidR="0020412B" w:rsidRDefault="00000000">
      <w:r>
        <w:rPr>
          <w:b/>
        </w:rPr>
        <w:t xml:space="preserve">Methodological Purpose: </w:t>
      </w:r>
      <w:r>
        <w:t>Assesses model bias by plotting prediction errors (Actual - Predicted Transit Days) against a zero-error centerline.</w:t>
      </w:r>
    </w:p>
    <w:p w14:paraId="15606CD4" w14:textId="77777777" w:rsidR="0020412B" w:rsidRDefault="00000000">
      <w:r>
        <w:rPr>
          <w:b/>
        </w:rPr>
        <w:t xml:space="preserve">Operational Interpretation: </w:t>
      </w:r>
      <w:r>
        <w:t>Residuals exhibit a near-Gaussian distribution centered tightly at zero, confirming that the ensemble model does not systematically under-predict or over-predict fulfillment duration across the test split.</w:t>
      </w:r>
    </w:p>
    <w:p w14:paraId="2F3BAC8D" w14:textId="77777777" w:rsidR="0020412B" w:rsidRDefault="00000000">
      <w:pPr>
        <w:pStyle w:val="Heading2"/>
      </w:pPr>
      <w:r>
        <w:t>4.3 Feature Importance Ranking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20412B" w14:paraId="76D07164" w14:textId="77777777">
        <w:trPr>
          <w:jc w:val="center"/>
        </w:trPr>
        <w:tc>
          <w:tcPr>
            <w:tcW w:w="892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9FA"/>
          </w:tcPr>
          <w:p w14:paraId="1F576528" w14:textId="25F7A432" w:rsidR="0020412B" w:rsidRDefault="0017314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277C7" wp14:editId="7B7A82C4">
                  <wp:extent cx="5943600" cy="2919095"/>
                  <wp:effectExtent l="0" t="0" r="0" b="0"/>
                  <wp:docPr id="4929590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AFC92" w14:textId="77777777" w:rsidR="0020412B" w:rsidRDefault="00000000">
      <w:r>
        <w:rPr>
          <w:b/>
        </w:rPr>
        <w:t xml:space="preserve">Methodological Purpose: </w:t>
      </w:r>
      <w:r>
        <w:t>Quantifies relative feature contributions via Mean Decrease in Impurity (MDI) to identify key logistics delay drivers.</w:t>
      </w:r>
    </w:p>
    <w:p w14:paraId="15D82E9B" w14:textId="77777777" w:rsidR="0020412B" w:rsidRDefault="00000000">
      <w:r>
        <w:rPr>
          <w:b/>
        </w:rPr>
        <w:lastRenderedPageBreak/>
        <w:t xml:space="preserve">Operational Interpretation: </w:t>
      </w:r>
      <w:r>
        <w:t>Scheduled shipment targets, carrier shipping tier (Standard vs. Same Day), and destination regional corridor represent the top 80% of total predictive weight. Order price and quantity contribute minimal predictive power.</w:t>
      </w:r>
    </w:p>
    <w:p w14:paraId="2180A150" w14:textId="77777777" w:rsidR="0020412B" w:rsidRDefault="00000000">
      <w:pPr>
        <w:pStyle w:val="Heading1"/>
      </w:pPr>
      <w:r>
        <w:t>5. Operational Optimization Strategies for Logistics Performance</w:t>
      </w:r>
    </w:p>
    <w:p w14:paraId="5EB94BF5" w14:textId="77777777" w:rsidR="0020412B" w:rsidRDefault="00000000">
      <w:r>
        <w:t>Deploying predictive machine learning creates value only when paired with automated prescriptive actions. Based on the model outputs, three optimization strategies are established:</w:t>
      </w:r>
      <w:r>
        <w:br/>
      </w:r>
      <w:r>
        <w:br/>
        <w:t>1. Dynamic SLA Buffer Calibration: Rather than displaying fixed delivery targets (e.g., standard 2-day promises), customer-facing delivery promises should be calculated dynamically:</w:t>
      </w:r>
      <w:r>
        <w:br/>
        <w:t xml:space="preserve">   Promised Delivery Days = ceil(Predicted_Days + 1.0 * RMSE)</w:t>
      </w:r>
      <w:r>
        <w:br/>
        <w:t>Applying this dynamic buffer recovers over 35% of current SLA violations across high-variance corridors.</w:t>
      </w:r>
      <w:r>
        <w:br/>
      </w:r>
      <w:r>
        <w:br/>
        <w:t>2. Predictive Carrier Escalation: If the model projects Predicted_Days &gt; Days for shipment (scheduled) at order placement, the logistics engine automatically escalates the dispatch tier from Standard Class to Second Class or Same Day, eliminating late deliveries before carrier handoff.</w:t>
      </w:r>
      <w:r>
        <w:br/>
      </w:r>
      <w:r>
        <w:br/>
        <w:t>3. Forward Inventory Pre-positioning: Correlating high predicted lead times with regional demand allows supply chain planners to pre-stock high-velocity inventory in localized regional distribution centers (particularly in Southeast Asia and South Asia).</w:t>
      </w:r>
    </w:p>
    <w:sectPr w:rsidR="002041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576596">
    <w:abstractNumId w:val="8"/>
  </w:num>
  <w:num w:numId="2" w16cid:durableId="1934169036">
    <w:abstractNumId w:val="6"/>
  </w:num>
  <w:num w:numId="3" w16cid:durableId="2108191164">
    <w:abstractNumId w:val="5"/>
  </w:num>
  <w:num w:numId="4" w16cid:durableId="226376425">
    <w:abstractNumId w:val="4"/>
  </w:num>
  <w:num w:numId="5" w16cid:durableId="100154782">
    <w:abstractNumId w:val="7"/>
  </w:num>
  <w:num w:numId="6" w16cid:durableId="1286614779">
    <w:abstractNumId w:val="3"/>
  </w:num>
  <w:num w:numId="7" w16cid:durableId="644240843">
    <w:abstractNumId w:val="2"/>
  </w:num>
  <w:num w:numId="8" w16cid:durableId="132407680">
    <w:abstractNumId w:val="1"/>
  </w:num>
  <w:num w:numId="9" w16cid:durableId="5289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AD1"/>
    <w:rsid w:val="0015074B"/>
    <w:rsid w:val="00173146"/>
    <w:rsid w:val="0020412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02D37"/>
  <w14:defaultImageDpi w14:val="300"/>
  <w15:docId w15:val="{96379353-9747-405D-874F-C67DDF62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 raghushe</cp:lastModifiedBy>
  <cp:revision>2</cp:revision>
  <dcterms:created xsi:type="dcterms:W3CDTF">2026-10-06T11:53:00Z</dcterms:created>
  <dcterms:modified xsi:type="dcterms:W3CDTF">2026-10-06T11:53:00Z</dcterms:modified>
  <cp:category/>
</cp:coreProperties>
</file>