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Sponsorship App — Master Test Plan</w:t>
        <w:br/>
      </w:r>
    </w:p>
    <w:p>
      <w:pPr>
        <w:jc w:val="center"/>
      </w:pPr>
      <w:r>
        <w:rPr>
          <w:i/>
          <w:color w:val="595959"/>
          <w:sz w:val="20"/>
        </w:rPr>
        <w:t>Document Version: 3.0   |   Date: June 18, 2026   |   Status: Final</w:t>
        <w:br/>
        <w:t>Project: Sponsorship Platform   |   Prepared By: Quality Assurance Team</w:t>
      </w:r>
    </w:p>
    <w:p>
      <w:pPr>
        <w:jc w:val="center"/>
      </w:pPr>
      <w:r>
        <w:t>================================================================================</w:t>
      </w:r>
    </w:p>
    <w:p>
      <w:pPr>
        <w:spacing w:before="280" w:after="120"/>
      </w:pPr>
      <w:r>
        <w:rPr>
          <w:b/>
          <w:color w:val="1F4E78"/>
          <w:sz w:val="30"/>
        </w:rPr>
        <w:t>1. Overview</w:t>
      </w:r>
    </w:p>
    <w:p>
      <w:r>
        <w:t>This Test Plan describes the testing approach, scope, strategy, schedule, and responsibilities for the Sponsorship App. The Sponsorship App is a comprehensive full-stack digital platform connecting Brands seeking social media promotion with Influencers looking to monetize their social media presence. The application automates the complete campaign lifecycle—from brand-side creation and eligibility verification to proposal submissions, QA content review, simulation of payment processing, and bidirectional profile reviews.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Sponsorship Platform</w:t>
            </w:r>
          </w:p>
        </w:tc>
      </w:tr>
      <w:tr>
        <w:tc>
          <w:tcPr>
            <w:tcW w:type="dxa" w:w="4680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3.0 (Comprehensive FRS Mapping)</w:t>
            </w:r>
          </w:p>
        </w:tc>
      </w:tr>
      <w:tr>
        <w:tc>
          <w:tcPr>
            <w:tcW w:type="dxa" w:w="4680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Application Version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v1.0 (MVP Build)</w:t>
            </w:r>
          </w:p>
        </w:tc>
      </w:tr>
      <w:tr>
        <w:tc>
          <w:tcPr>
            <w:tcW w:type="dxa" w:w="4680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Test Plan Date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June 18, 2026</w:t>
            </w:r>
          </w:p>
        </w:tc>
      </w:tr>
      <w:tr>
        <w:tc>
          <w:tcPr>
            <w:tcW w:type="dxa" w:w="4680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Angular 17 SPA + Spring Boot 3.2 + MySQL 8.0 Engine</w:t>
            </w:r>
          </w:p>
        </w:tc>
      </w:tr>
      <w:tr>
        <w:tc>
          <w:tcPr>
            <w:tcW w:type="dxa" w:w="4680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Multi-Role RBAC (Admin, Brand, Influencer)</w:t>
            </w:r>
          </w:p>
        </w:tc>
      </w:tr>
    </w:tbl>
    <w:p>
      <w:pPr>
        <w:spacing w:before="280" w:after="120"/>
      </w:pPr>
      <w:r>
        <w:rPr>
          <w:b/>
          <w:color w:val="1F4E78"/>
          <w:sz w:val="30"/>
        </w:rPr>
        <w:t>2. Scope</w:t>
      </w:r>
    </w:p>
    <w:p>
      <w:r>
        <w:t>The scope of testing covers all functional aspects of the application based on the FRS, focusing heavily on validation rules, boundaries, and workflow controls across the operational entities.</w:t>
      </w:r>
    </w:p>
    <w:p>
      <w:pPr>
        <w:spacing w:before="280" w:after="120"/>
      </w:pPr>
      <w:r>
        <w:rPr>
          <w:b/>
          <w:color w:val="1F4E78"/>
          <w:sz w:val="30"/>
        </w:rPr>
        <w:t>3. Inclusions</w:t>
      </w:r>
    </w:p>
    <w:p>
      <w:pPr>
        <w:pStyle w:val="ListBullet"/>
      </w:pPr>
      <w:r>
        <w:t>Functional Matrix Validation (Positive, Negative, Boundaries)</w:t>
      </w:r>
    </w:p>
    <w:p>
      <w:pPr>
        <w:pStyle w:val="ListBullet"/>
      </w:pPr>
      <w:r>
        <w:t>UI/UX Workflow &amp; Verification</w:t>
      </w:r>
    </w:p>
    <w:p>
      <w:pPr>
        <w:pStyle w:val="ListBullet"/>
      </w:pPr>
      <w:r>
        <w:t>Security-Based Isolation &amp; Role Restrictions</w:t>
      </w:r>
    </w:p>
    <w:p>
      <w:pPr>
        <w:pStyle w:val="ListBullet"/>
      </w:pPr>
      <w:r>
        <w:t>Cross-Browser &amp; Responsive Compatibility Profiles</w:t>
      </w:r>
    </w:p>
    <w:p>
      <w:pPr>
        <w:spacing w:before="280" w:after="120"/>
      </w:pPr>
      <w:r>
        <w:rPr>
          <w:b/>
          <w:color w:val="1F4E78"/>
          <w:sz w:val="30"/>
        </w:rPr>
        <w:t>4. Test Environments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Frontend Server URL</w:t>
            </w:r>
          </w:p>
        </w:tc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Backend &amp; Database Target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Development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localhost:4200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localhost:7070 (Embedded Tomcat + Local MySQL)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QA / Testing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qa-sponsorship.internal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Standalone Spring Boot JAR + Isolated MySQL Instance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Staging / UAT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sponsorship.platform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Production-Mirror Database with Anonymized Datasets</w:t>
            </w:r>
          </w:p>
        </w:tc>
      </w:tr>
    </w:tbl>
    <w:p>
      <w:pPr>
        <w:spacing w:before="280" w:after="120"/>
      </w:pPr>
      <w:r>
        <w:rPr>
          <w:b/>
          <w:color w:val="1F4E78"/>
          <w:sz w:val="30"/>
        </w:rPr>
        <w:t>5. Exclusions</w:t>
      </w:r>
    </w:p>
    <w:p>
      <w:pPr>
        <w:pStyle w:val="ListBullet"/>
      </w:pPr>
      <w:r>
        <w:t>Direct JSON Web Token (JWT) protocol or signature manipulation attacks</w:t>
      </w:r>
    </w:p>
    <w:p>
      <w:pPr>
        <w:pStyle w:val="ListBullet"/>
      </w:pPr>
      <w:r>
        <w:t>Automated script collections running validation loops directly on the REST API</w:t>
      </w:r>
    </w:p>
    <w:p>
      <w:pPr>
        <w:pStyle w:val="ListBullet"/>
      </w:pPr>
      <w:r>
        <w:t>High throughput performance or stress testing (&gt;100 req/sec)</w:t>
      </w:r>
    </w:p>
    <w:p>
      <w:pPr>
        <w:pStyle w:val="ListBullet"/>
      </w:pPr>
      <w:r>
        <w:t>Real external financial network or gateway integrations</w:t>
      </w:r>
    </w:p>
    <w:p>
      <w:pPr>
        <w:pStyle w:val="ListBullet"/>
      </w:pPr>
      <w:r>
        <w:t>Email or SMS messaging loops (Slated for Phase 2 implementation)</w:t>
      </w:r>
    </w:p>
    <w:p>
      <w:pPr>
        <w:pStyle w:val="ListBullet"/>
      </w:pPr>
      <w:r>
        <w:t>Rich media content or high-bitrate video streaming delivery analysis</w:t>
      </w:r>
    </w:p>
    <w:p>
      <w:pPr>
        <w:spacing w:before="280" w:after="120"/>
      </w:pPr>
      <w:r>
        <w:rPr>
          <w:b/>
          <w:color w:val="1F4E78"/>
          <w:sz w:val="30"/>
        </w:rPr>
        <w:t>6. Test Strategy</w:t>
      </w:r>
    </w:p>
    <w:p>
      <w:r>
        <w:t>Testing uses equivalence partitioning, boundary value checks, and role matrix configurations across all functional blocks to assure structural compliance without relying on pure API script triggers.</w:t>
      </w:r>
    </w:p>
    <w:p>
      <w:pPr>
        <w:spacing w:before="280" w:after="120"/>
      </w:pPr>
      <w:r>
        <w:rPr>
          <w:b/>
          <w:color w:val="2E74B5"/>
          <w:sz w:val="24"/>
        </w:rPr>
        <w:t>6.1 Authentication &amp; Registration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TC-AUTH-01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signup with correct alphanumeric values.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Select role.</w:t>
              <w:br/>
              <w:t>2. Input unique email/name.</w:t>
              <w:br/>
              <w:t>3. Input password matching layout criteria.</w:t>
              <w:br/>
              <w:t>4. Click Register.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Account successfully provisioned; user redirected to login view.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TC-AUTH-02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Check password structural constraints.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 Enter password missing numbers or special character.</w:t>
              <w:br/>
              <w:t>2. Attempt signup.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Form catches length/format violation rules, blocking execution.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6.2 Profile Management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TC-PROF-01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user profile updating capabilities.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Modify bio area.</w:t>
              <w:br/>
              <w:t>2. Add valid profile picture.</w:t>
              <w:br/>
              <w:t>3. Save changes.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Data updates render across public view profiles immediately.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TC-PROF-02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Check profile file type upload constraints.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 Attempt to upload a non-image file type.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System safely blocks file processing, printing structural file constraints.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6.3 Brand Campaign Creation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TC-CAMP-01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valid marketing campaign generation.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Log in as Brand.</w:t>
              <w:br/>
              <w:t>2. Input valid title, platform, budget, dates.</w:t>
              <w:br/>
              <w:t>3. Click Save.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Campaign created in ACTIVE status; populated on discovery matrix.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TC-CAMP-02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Check past timeline error catching rules.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 Input campaign start date matching yesterday.</w:t>
              <w:br/>
              <w:t>2. Attempt to save.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Validation blocks generation, forcing current or future dates.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6.4 Campaign Discovery Engine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TC-DISC-01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search filters sorting by platform.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Access discovery views.</w:t>
              <w:br/>
              <w:t>2. Toggle 'Instagram' filter.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Workspace lists active Instagram entries accurately.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TC-DISC-02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Verify search keywords matching filters.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 Input clear keyword criteria.</w:t>
              <w:br/>
              <w:t>2. Apply search query.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Grid isolates matching titles or brand naming lines.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6.5 Sponsorship Applications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TC-APP-01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influencer application submission.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Click Apply.</w:t>
              <w:br/>
              <w:t>2. Input 200-character proposal pitch.</w:t>
              <w:br/>
              <w:t>3. Click Submit.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Application transfers to PENDING state; Brand receives alert.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TC-APP-02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Check duplicate application prevention rules.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 Navigate to applied campaign.</w:t>
              <w:br/>
              <w:t>2. Try to apply again.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Action blocked; system alerts existing proposal records.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6.6 Content QA Review Loops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TC-QA-01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content proof submission steps.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Open accepted campaign workspace.</w:t>
              <w:br/>
              <w:t>2. Enter link proof.</w:t>
              <w:br/>
              <w:t>3. Submit work.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Status updates to WORK_SUBMITTED with persistent log timestamps.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TC-QA-02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Verify Brand modification request workflows.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 Review submission.</w:t>
              <w:br/>
              <w:t>2. Click Request Revision.</w:t>
              <w:br/>
              <w:t>3. Enter text notes.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Status shifts to revision state; influencer receives modification criteria.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6.7 Automated Payment Simulation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TC-PAY-01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auto-billing generation triggers.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Approve submitted content items.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Payment invoice generates automatically matching original budget metrics.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TC-PAY-02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Verify manual payout authorizations.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 Open Outgoing Payments.</w:t>
              <w:br/>
              <w:t>2. Confirm pending lines.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Status updates to COMPLETED; transaction ID registers on grids.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6.8 Bidirectional Profile Evaluations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TC-RATE-01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rating submission controls.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Select completed campaign.</w:t>
              <w:br/>
              <w:t>2. Input 5-star score, 200-char text.</w:t>
              <w:br/>
              <w:t>3. Submit data.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Reviews reflect across public metrics; average calculations update.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TC-RATE-02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Check rating locks before payment completes.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 Try to open rating inputs on a pending line.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Form items remain locked, warning completion criteria must execute first.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6.9 Real-Time System Notifications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TC-NOT-01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alert generation triggers.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Complete campaign status updates.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Target roles receive workspace operational context alerts instantly.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TC-NOT-02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Verify global unread count reset tools.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 Open alert tray.</w:t>
              <w:br/>
              <w:t>2. Click Clear All Unread.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Badge counts clear instantly, resetting layout counts to zero.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6.10 Administrative Oversight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TC-ADMIN-01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system metrics tracking panels.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Open Admin dashboard views.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Global summaries calculate user growth, totals, and balances accurately.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TC-ADMIN-02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Verify Admin user restriction workflows.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 View target workspace profiles.</w:t>
              <w:br/>
              <w:t>2. Set state to BANNED.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Account status sets to inactive; session routing isolates blocks.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6.11 Audit Log Trailing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TC-AUD-01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audit line persistence tracking.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Complete admin actions.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The system logs the step, admin user, and changed targets securely.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6.12 Financial Analytics Reporting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TC-REP-01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ROI dashboard graph generation.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Access Brand statistics panels.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Analytics load spending data, calculating exact metrics accurately.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6.13 Application Dispute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TC-DISP-01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complaint tracking workflows.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File user complaint records.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Entries populate inside admin queues for structured investigation views.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6.14 Form Navigation Guard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TC-GRD-01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direct URL routing intercept boundaries.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Attempt role views using secondary links.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Security routing captures requests, routing views to a 403 error page.</w:t>
            </w:r>
          </w:p>
        </w:tc>
      </w:tr>
    </w:tbl>
    <w:p>
      <w:pPr>
        <w:spacing w:before="280" w:after="120"/>
      </w:pPr>
      <w:r>
        <w:rPr>
          <w:b/>
          <w:color w:val="2E74B5"/>
          <w:sz w:val="24"/>
        </w:rPr>
        <w:t>6.15 Session Expiration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val="clear" w:color="auto" w:fill="2E74B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TC-SESS-01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Verify interface locks matching logout events.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1. Trigger system logouts manually.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Workspaces invalidate completely, forcing views back to login forms.</w:t>
            </w:r>
          </w:p>
        </w:tc>
      </w:tr>
    </w:tbl>
    <w:p>
      <w:pPr>
        <w:spacing w:before="280" w:after="120"/>
      </w:pPr>
      <w:r>
        <w:rPr>
          <w:b/>
          <w:color w:val="1F4E78"/>
          <w:sz w:val="30"/>
        </w:rPr>
        <w:t>7. Defect Reporting Procedure</w:t>
      </w:r>
    </w:p>
    <w:p>
      <w:r>
        <w:t>Defects are logged with unique tracking tags (e.g., SPON-BUG-001). Lifecycle states strictly follow standard execution vectors: New -&gt; Open -&gt; In Progress -&gt; Fixed -&gt; Re-test -&gt; Closed. Severities range from Critical (S1) system crashes down to Low (S4) minor typographical or cosmetic bugs.</w:t>
      </w:r>
    </w:p>
    <w:p>
      <w:pPr>
        <w:spacing w:before="280" w:after="120"/>
      </w:pPr>
      <w:r>
        <w:rPr>
          <w:b/>
          <w:color w:val="1F4E78"/>
          <w:sz w:val="30"/>
        </w:rPr>
        <w:t>8. Roles / Responsibilities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QA Lead / Team Manager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Owns master test documentation, manages testing loops, tracks bugs, and confirms final sign-offs.</w:t>
            </w:r>
          </w:p>
        </w:tc>
      </w:tr>
      <w:tr>
        <w:tc>
          <w:tcPr>
            <w:tcW w:type="dxa" w:w="4680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QA Verification Engineers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Builds precise test scenarios, prepares mock data files, executes test passes, and logs issues.</w:t>
            </w:r>
          </w:p>
        </w:tc>
      </w:tr>
      <w:tr>
        <w:tc>
          <w:tcPr>
            <w:tcW w:type="dxa" w:w="4680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Development Engineers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Maintains database integrity, fixes confirmed functional code bugs, and updates staging lines.</w:t>
            </w:r>
          </w:p>
        </w:tc>
      </w:tr>
      <w:tr>
        <w:tc>
          <w:tcPr>
            <w:tcW w:type="dxa" w:w="4680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Product Owner / Stakeholders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Reviews business requirements, evaluates open deferrals, and provides product launch release sign-offs.</w:t>
            </w:r>
          </w:p>
        </w:tc>
      </w:tr>
    </w:tbl>
    <w:p>
      <w:pPr>
        <w:spacing w:before="280" w:after="120"/>
      </w:pPr>
      <w:r>
        <w:rPr>
          <w:b/>
          <w:color w:val="1F4E78"/>
          <w:sz w:val="30"/>
        </w:rPr>
        <w:t>9. Test Schedule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Testing Phase</w:t>
            </w:r>
          </w:p>
        </w:tc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Start Date</w:t>
            </w:r>
          </w:p>
        </w:tc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End Date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Strategy Blueprint &amp; Approval Sprints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2026-06-09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2026-06-12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Functional Test Pass Execution (Modules 1-15)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2026-06-15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2026-06-29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Regression Sprint &amp; Bug Fix Cycles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2026-06-29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2026-07-03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User Acceptance Testing (UAT) &amp; Launch Sign-off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2026-07-03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2026-07-09</w:t>
            </w:r>
          </w:p>
        </w:tc>
      </w:tr>
    </w:tbl>
    <w:p>
      <w:pPr>
        <w:spacing w:before="280" w:after="120"/>
      </w:pPr>
      <w:r>
        <w:rPr>
          <w:b/>
          <w:color w:val="1F4E78"/>
          <w:sz w:val="30"/>
        </w:rPr>
        <w:t>10. Test Deliverables</w:t>
      </w:r>
    </w:p>
    <w:p>
      <w:pPr>
        <w:pStyle w:val="ListBullet"/>
      </w:pPr>
      <w:r>
        <w:t>Master Test Plan Specifications</w:t>
      </w:r>
    </w:p>
    <w:p>
      <w:pPr>
        <w:pStyle w:val="ListBullet"/>
      </w:pPr>
      <w:r>
        <w:t>Functional Test Suite Case Sheets</w:t>
      </w:r>
    </w:p>
    <w:p>
      <w:pPr>
        <w:pStyle w:val="ListBullet"/>
      </w:pPr>
      <w:r>
        <w:t>Daily Defect Tracking Logs &amp; Metrics</w:t>
      </w:r>
    </w:p>
    <w:p>
      <w:pPr>
        <w:pStyle w:val="ListBullet"/>
      </w:pPr>
      <w:r>
        <w:t>Final QA Verification Release Notes Summary</w:t>
      </w:r>
    </w:p>
    <w:p>
      <w:pPr>
        <w:spacing w:before="280" w:after="120"/>
      </w:pPr>
      <w:r>
        <w:rPr>
          <w:b/>
          <w:color w:val="1F4E78"/>
          <w:sz w:val="30"/>
        </w:rPr>
        <w:t>11. Entry and Exit Criteria</w:t>
      </w:r>
    </w:p>
    <w:p>
      <w:pPr>
        <w:spacing w:before="280" w:after="120"/>
      </w:pPr>
      <w:r>
        <w:rPr>
          <w:b/>
          <w:color w:val="2E74B5"/>
          <w:sz w:val="24"/>
        </w:rPr>
        <w:t>11.1 Entry Criteria</w:t>
      </w:r>
    </w:p>
    <w:p>
      <w:pPr>
        <w:pStyle w:val="ListBullet"/>
      </w:pPr>
      <w:r>
        <w:t>Test plan documentation formally signed off.</w:t>
      </w:r>
    </w:p>
    <w:p>
      <w:pPr>
        <w:pStyle w:val="ListBullet"/>
      </w:pPr>
      <w:r>
        <w:t>QA environments deployed and fully available.</w:t>
      </w:r>
    </w:p>
    <w:p>
      <w:pPr>
        <w:pStyle w:val="ListBullet"/>
      </w:pPr>
      <w:r>
        <w:t>Test data baselines successfully configured inside tables.</w:t>
      </w:r>
    </w:p>
    <w:p>
      <w:pPr>
        <w:spacing w:before="280" w:after="120"/>
      </w:pPr>
      <w:r>
        <w:rPr>
          <w:b/>
          <w:color w:val="2E74B5"/>
          <w:sz w:val="24"/>
        </w:rPr>
        <w:t>11.2 Exit Criteria</w:t>
      </w:r>
    </w:p>
    <w:p>
      <w:pPr>
        <w:pStyle w:val="ListBullet"/>
      </w:pPr>
      <w:r>
        <w:t>100% of planned test sequences executed.</w:t>
      </w:r>
    </w:p>
    <w:p>
      <w:pPr>
        <w:pStyle w:val="ListBullet"/>
      </w:pPr>
      <w:r>
        <w:t>Overall testing success rate reaches &gt;= 95%.</w:t>
      </w:r>
    </w:p>
    <w:p>
      <w:pPr>
        <w:pStyle w:val="ListBullet"/>
      </w:pPr>
      <w:r>
        <w:t>Zero open S1 or S2 operational blocker bugs remain open.</w:t>
      </w:r>
    </w:p>
    <w:p>
      <w:pPr>
        <w:spacing w:before="280" w:after="120"/>
      </w:pPr>
      <w:r>
        <w:rPr>
          <w:b/>
          <w:color w:val="1F4E78"/>
          <w:sz w:val="30"/>
        </w:rPr>
        <w:t>12. Suspension and Resumption Criteria</w:t>
      </w:r>
    </w:p>
    <w:p>
      <w:r>
        <w:t>Suspension triggers if an S1 issue breaks over 40% of standard user test tracking paths or if database connections fail continuously for over 4 business hours. Resumption activates only when verified resolution code patch packages deploy and pass initial verification smoke checks.</w:t>
      </w:r>
    </w:p>
    <w:p>
      <w:pPr>
        <w:spacing w:before="280" w:after="120"/>
      </w:pPr>
      <w:r>
        <w:rPr>
          <w:b/>
          <w:color w:val="1F4E78"/>
          <w:sz w:val="30"/>
        </w:rPr>
        <w:t>13. Tools</w:t>
      </w:r>
    </w:p>
    <w:p>
      <w:pPr>
        <w:pStyle w:val="ListBullet"/>
      </w:pPr>
      <w:r>
        <w:t>Jira / GitHub Issues (Defect logs and progression tracking)</w:t>
      </w:r>
    </w:p>
    <w:p>
      <w:pPr>
        <w:pStyle w:val="ListBullet"/>
      </w:pPr>
      <w:r>
        <w:t>Confluence (Test document repositories and central planning)</w:t>
      </w:r>
    </w:p>
    <w:p>
      <w:pPr>
        <w:pStyle w:val="ListBullet"/>
      </w:pPr>
      <w:r>
        <w:t>BrowserStack (Cross-device views and layout rendering)</w:t>
      </w:r>
    </w:p>
    <w:p>
      <w:pPr>
        <w:spacing w:before="280" w:after="120"/>
      </w:pPr>
      <w:r>
        <w:rPr>
          <w:b/>
          <w:color w:val="1F4E78"/>
          <w:sz w:val="30"/>
        </w:rPr>
        <w:t>14. Risks and Mitigations</w:t>
      </w:r>
    </w:p>
    <w:p>
      <w:r>
        <w:t>Risks include environment environment configuration blockers (Mitigation: localized independent container images), and shifting scope lines mid-pass (Mitigation: freeze system change requirements 48 hours before testing sprints begin).</w:t>
      </w:r>
    </w:p>
    <w:p>
      <w:pPr>
        <w:spacing w:before="280" w:after="120"/>
      </w:pPr>
      <w:r>
        <w:rPr>
          <w:b/>
          <w:color w:val="1F4E78"/>
          <w:sz w:val="30"/>
        </w:rPr>
        <w:t>15. Approvals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Role Profile</w:t>
            </w:r>
          </w:p>
        </w:tc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Signature Block</w:t>
            </w:r>
          </w:p>
        </w:tc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Date Signed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Quality Assurance Lead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Product Operations Manager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Engineering Director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