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60"/>
        <w:jc w:val="center"/>
      </w:pPr>
      <w:r>
        <w:rPr>
          <w:rFonts w:ascii="Calibri" w:cs="Calibri" w:eastAsia="Calibri" w:hAnsi="Calibri"/>
          <w:b/>
          <w:bCs/>
          <w:color w:val="1F3864"/>
          <w:sz w:val="52"/>
          <w:szCs w:val="52"/>
        </w:rPr>
        <w:t xml:space="preserve">SUPPLIER VISIT REPORT</w:t>
      </w:r>
    </w:p>
    <w:p>
      <w:pPr>
        <w:pBdr>
          <w:bottom w:val="single" w:color="2E5496" w:sz="12" w:space="8"/>
        </w:pBdr>
        <w:spacing w:after="40"/>
        <w:jc w:val="center"/>
      </w:pPr>
      <w:r>
        <w:rPr>
          <w:rFonts w:ascii="Calibri" w:cs="Calibri" w:eastAsia="Calibri" w:hAnsi="Calibri"/>
          <w:i/>
          <w:iCs/>
          <w:color w:val="2E5496"/>
          <w:sz w:val="28"/>
          <w:szCs w:val="28"/>
        </w:rPr>
        <w:t xml:space="preserve">Investigation of PVC Sealer Nozzle Choking &amp; Filter Contamination</w:t>
      </w:r>
    </w:p>
    <w:p>
      <w:pPr>
        <w:spacing w:after="40" w:before="260"/>
        <w:jc w:val="center"/>
      </w:pPr>
      <w:r>
        <w:rPr>
          <w:rFonts w:ascii="Calibri" w:cs="Calibri" w:eastAsia="Calibri" w:hAnsi="Calibri"/>
          <w:b/>
          <w:bCs/>
          <w:sz w:val="24"/>
          <w:szCs w:val="24"/>
        </w:rPr>
        <w:t xml:space="preserve">Supplier: Kansai Nerolac Paints Ltd</w:t>
      </w:r>
    </w:p>
    <w:p>
      <w:pPr>
        <w:spacing w:after="40"/>
        <w:jc w:val="center"/>
      </w:pPr>
      <w:r>
        <w:rPr>
          <w:rFonts w:ascii="Calibri" w:cs="Calibri" w:eastAsia="Calibri" w:hAnsi="Calibri"/>
          <w:sz w:val="22"/>
          <w:szCs w:val="22"/>
        </w:rPr>
        <w:t xml:space="preserve">Product: PVC Sole Sealer / PVC Seam Sealer &amp; PVC UBB</w:t>
      </w:r>
    </w:p>
    <w:p>
      <w:pPr>
        <w:spacing w:after="40"/>
        <w:jc w:val="center"/>
      </w:pPr>
      <w:r>
        <w:rPr>
          <w:rFonts w:ascii="Calibri" w:cs="Calibri" w:eastAsia="Calibri" w:hAnsi="Calibri"/>
          <w:color w:val="555555"/>
          <w:sz w:val="22"/>
          <w:szCs w:val="22"/>
        </w:rPr>
        <w:t xml:space="preserve">Process Flow No. PFC/PNT/16</w:t>
      </w:r>
    </w:p>
    <w:p>
      <w:pPr>
        <w:spacing w:before="500"/>
        <w:jc w:val="center"/>
      </w:pPr>
      <w:r>
        <w:rPr>
          <w:rFonts w:ascii="Calibri" w:cs="Calibri" w:eastAsia="Calibri" w:hAnsi="Calibri"/>
          <w:i/>
          <w:iCs/>
          <w:color w:val="888888"/>
          <w:sz w:val="18"/>
          <w:szCs w:val="18"/>
        </w:rPr>
        <w:t xml:space="preserve">Confidential — For Internal Quality Use</w:t>
      </w:r>
    </w:p>
    <w:p>
      <w:r>
        <w:br w:type="page"/>
      </w:r>
    </w:p>
    <w:p>
      <w:pPr>
        <w:pStyle w:val="Heading1"/>
        <w:pBdr>
          <w:bottom w:val="single" w:color="2E5496" w:sz="8" w:space="4"/>
        </w:pBdr>
        <w:spacing w:after="140" w:before="280"/>
      </w:pPr>
      <w:r>
        <w:rPr>
          <w:rFonts w:ascii="Calibri" w:cs="Calibri" w:eastAsia="Calibri" w:hAnsi="Calibri"/>
          <w:b/>
          <w:bCs/>
          <w:color w:val="1F3864"/>
          <w:sz w:val="26"/>
          <w:szCs w:val="26"/>
        </w:rPr>
        <w:t xml:space="preserve">Document Control</w:t>
      </w:r>
    </w:p>
    <w:tbl>
      <w:tblPr>
        <w:tblW w:type="dxa" w:w="9026"/>
        <w:tblBorders>
          <w:top w:val="single" w:color="9BA6B8" w:sz="4"/>
          <w:left w:val="single" w:color="9BA6B8" w:sz="4"/>
          <w:bottom w:val="single" w:color="9BA6B8" w:sz="4"/>
          <w:right w:val="single" w:color="9BA6B8" w:sz="4"/>
          <w:insideH w:val="single" w:color="C9D1DE" w:sz="4"/>
          <w:insideV w:val="single" w:color="C9D1DE" w:sz="4"/>
        </w:tblBorders>
      </w:tblPr>
      <w:tblGrid>
        <w:gridCol w:w="2600"/>
        <w:gridCol w:w="6426"/>
      </w:tblGrid>
      <w:tr>
        <w:tc>
          <w:tcPr>
            <w:tcW w:type="dxa" w:w="2600"/>
            <w:shd w:fill="D6DCE5"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000000"/>
                <w:sz w:val="19"/>
                <w:szCs w:val="19"/>
              </w:rPr>
              <w:t xml:space="preserve">Report No.</w:t>
            </w:r>
          </w:p>
        </w:tc>
        <w:tc>
          <w:tcPr>
            <w:tcW w:type="dxa" w:w="6426"/>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SVR / PVC-SEALER / 2026-07 — [confirm reference]</w:t>
            </w:r>
          </w:p>
        </w:tc>
      </w:tr>
      <w:tr>
        <w:tc>
          <w:tcPr>
            <w:tcW w:type="dxa" w:w="2600"/>
            <w:shd w:fill="D6DCE5"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000000"/>
                <w:sz w:val="19"/>
                <w:szCs w:val="19"/>
              </w:rPr>
              <w:t xml:space="preserve">Report Date</w:t>
            </w:r>
          </w:p>
        </w:tc>
        <w:tc>
          <w:tcPr>
            <w:tcW w:type="dxa" w:w="6426"/>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27 July 2026</w:t>
            </w:r>
          </w:p>
        </w:tc>
      </w:tr>
      <w:tr>
        <w:tc>
          <w:tcPr>
            <w:tcW w:type="dxa" w:w="2600"/>
            <w:shd w:fill="D6DCE5"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000000"/>
                <w:sz w:val="19"/>
                <w:szCs w:val="19"/>
              </w:rPr>
              <w:t xml:space="preserve">Date of Visit</w:t>
            </w:r>
          </w:p>
        </w:tc>
        <w:tc>
          <w:tcPr>
            <w:tcW w:type="dxa" w:w="6426"/>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[to be filled]</w:t>
            </w:r>
          </w:p>
        </w:tc>
      </w:tr>
      <w:tr>
        <w:tc>
          <w:tcPr>
            <w:tcW w:type="dxa" w:w="2600"/>
            <w:shd w:fill="D6DCE5"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000000"/>
                <w:sz w:val="19"/>
                <w:szCs w:val="19"/>
              </w:rPr>
              <w:t xml:space="preserve">Supplier / Vendor</w:t>
            </w:r>
          </w:p>
        </w:tc>
        <w:tc>
          <w:tcPr>
            <w:tcW w:type="dxa" w:w="6426"/>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Kansai Nerolac Paints Ltd — [plant / location]</w:t>
            </w:r>
          </w:p>
        </w:tc>
      </w:tr>
      <w:tr>
        <w:tc>
          <w:tcPr>
            <w:tcW w:type="dxa" w:w="2600"/>
            <w:shd w:fill="D6DCE5"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000000"/>
                <w:sz w:val="19"/>
                <w:szCs w:val="19"/>
              </w:rPr>
              <w:t xml:space="preserve">Product</w:t>
            </w:r>
          </w:p>
        </w:tc>
        <w:tc>
          <w:tcPr>
            <w:tcW w:type="dxa" w:w="6426"/>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PVC Sole Sealer, PVC Seam Sealer &amp; PVC UBB (Process Flow No. PFC/PNT/16)</w:t>
            </w:r>
          </w:p>
        </w:tc>
      </w:tr>
      <w:tr>
        <w:tc>
          <w:tcPr>
            <w:tcW w:type="dxa" w:w="2600"/>
            <w:shd w:fill="D6DCE5"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000000"/>
                <w:sz w:val="19"/>
                <w:szCs w:val="19"/>
              </w:rPr>
              <w:t xml:space="preserve">Application</w:t>
            </w:r>
          </w:p>
        </w:tc>
        <w:tc>
          <w:tcPr>
            <w:tcW w:type="dxa" w:w="6426"/>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Automotive body sealing in paint shop — robotic applicators (1 mm nozzle) + manual guns</w:t>
            </w:r>
          </w:p>
        </w:tc>
      </w:tr>
      <w:tr>
        <w:tc>
          <w:tcPr>
            <w:tcW w:type="dxa" w:w="2600"/>
            <w:shd w:fill="D6DCE5"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000000"/>
                <w:sz w:val="19"/>
                <w:szCs w:val="19"/>
              </w:rPr>
              <w:t xml:space="preserve">Subject / Concern</w:t>
            </w:r>
          </w:p>
        </w:tc>
        <w:tc>
          <w:tcPr>
            <w:tcW w:type="dxa" w:w="6426"/>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Recurring choking of 1 mm robotic applicator nozzles; contaminant flakes retained on filters</w:t>
            </w:r>
          </w:p>
        </w:tc>
      </w:tr>
      <w:tr>
        <w:tc>
          <w:tcPr>
            <w:tcW w:type="dxa" w:w="2600"/>
            <w:shd w:fill="D6DCE5"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000000"/>
                <w:sz w:val="19"/>
                <w:szCs w:val="19"/>
              </w:rPr>
              <w:t xml:space="preserve">Visit Team</w:t>
            </w:r>
          </w:p>
        </w:tc>
        <w:tc>
          <w:tcPr>
            <w:tcW w:type="dxa" w:w="6426"/>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[names / functions — Customer Quality, SQA, Process Engineering]</w:t>
            </w:r>
          </w:p>
        </w:tc>
      </w:tr>
      <w:tr>
        <w:tc>
          <w:tcPr>
            <w:tcW w:type="dxa" w:w="2600"/>
            <w:shd w:fill="D6DCE5"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000000"/>
                <w:sz w:val="19"/>
                <w:szCs w:val="19"/>
              </w:rPr>
              <w:t xml:space="preserve">Supplier Representatives</w:t>
            </w:r>
          </w:p>
        </w:tc>
        <w:tc>
          <w:tcPr>
            <w:tcW w:type="dxa" w:w="6426"/>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[names / functions — Production, QA/QC, PE]</w:t>
            </w:r>
          </w:p>
        </w:tc>
      </w:tr>
      <w:tr>
        <w:tc>
          <w:tcPr>
            <w:tcW w:type="dxa" w:w="2600"/>
            <w:shd w:fill="D6DCE5"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000000"/>
                <w:sz w:val="19"/>
                <w:szCs w:val="19"/>
              </w:rPr>
              <w:t xml:space="preserve">Prepared By</w:t>
            </w:r>
          </w:p>
        </w:tc>
        <w:tc>
          <w:tcPr>
            <w:tcW w:type="dxa" w:w="6426"/>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[name / designation]</w:t>
            </w:r>
          </w:p>
        </w:tc>
      </w:tr>
      <w:tr>
        <w:tc>
          <w:tcPr>
            <w:tcW w:type="dxa" w:w="2600"/>
            <w:shd w:fill="D6DCE5"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000000"/>
                <w:sz w:val="19"/>
                <w:szCs w:val="19"/>
              </w:rPr>
              <w:t xml:space="preserve">Distribution</w:t>
            </w:r>
          </w:p>
        </w:tc>
        <w:tc>
          <w:tcPr>
            <w:tcW w:type="dxa" w:w="6426"/>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Customer Quality • SQA • Paint Shop • Supplier QA</w:t>
            </w:r>
          </w:p>
        </w:tc>
      </w:tr>
    </w:tbl>
    <w:p>
      <w:r>
        <w:br w:type="page"/>
      </w:r>
    </w:p>
    <w:p>
      <w:pPr>
        <w:pStyle w:val="Heading1"/>
        <w:pBdr>
          <w:bottom w:val="single" w:color="2E5496" w:sz="8" w:space="4"/>
        </w:pBdr>
        <w:spacing w:after="140" w:before="280"/>
      </w:pPr>
      <w:r>
        <w:rPr>
          <w:rFonts w:ascii="Calibri" w:cs="Calibri" w:eastAsia="Calibri" w:hAnsi="Calibri"/>
          <w:b/>
          <w:bCs/>
          <w:color w:val="1F3864"/>
          <w:sz w:val="26"/>
          <w:szCs w:val="2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2E5496" w:sz="8" w:space="4"/>
        </w:pBdr>
        <w:spacing w:after="140" w:before="280"/>
      </w:pPr>
      <w:r>
        <w:rPr>
          <w:rFonts w:ascii="Calibri" w:cs="Calibri" w:eastAsia="Calibri" w:hAnsi="Calibri"/>
          <w:b/>
          <w:bCs/>
          <w:color w:val="1F3864"/>
          <w:sz w:val="26"/>
          <w:szCs w:val="26"/>
        </w:rPr>
        <w:t xml:space="preserve">1.  Purpose &amp; Scope</w:t>
      </w:r>
    </w:p>
    <w:p>
      <w:pPr>
        <w:spacing w:after="120" w:line="276"/>
      </w:pPr>
      <w:r>
        <w:rPr>
          <w:rFonts w:ascii="Calibri" w:cs="Calibri" w:eastAsia="Calibri" w:hAnsi="Calibri"/>
          <w:sz w:val="20"/>
          <w:szCs w:val="20"/>
        </w:rPr>
        <w:t xml:space="preserve">This report documents a supplier visit and joint investigation carried out at the premises of the PVC sealer supplier, Kansai Nerolac Paints Ltd, to establish the root cause of recurring robotic applicator nozzle choking observed during sealer application in the vehicle paint shop, and to agree corrective and preventive actions with the supplier.</w:t>
      </w:r>
    </w:p>
    <w:p>
      <w:pPr>
        <w:spacing w:after="120" w:line="276"/>
      </w:pPr>
      <w:r>
        <w:rPr>
          <w:rFonts w:ascii="Calibri" w:cs="Calibri" w:eastAsia="Calibri" w:hAnsi="Calibri"/>
          <w:sz w:val="20"/>
          <w:szCs w:val="20"/>
        </w:rPr>
        <w:t xml:space="preserve">Scope of the visit covered: review of the sealer manufacturing process (raw material to dispatch), direct shop-floor observation of contamination-prone operations, structured sampling across those operations, and FTIR analysis of the choke material against the collected source samples.</w:t>
      </w:r>
    </w:p>
    <w:p>
      <w:pPr>
        <w:pStyle w:val="Heading1"/>
        <w:pBdr>
          <w:bottom w:val="single" w:color="2E5496" w:sz="8" w:space="4"/>
        </w:pBdr>
        <w:spacing w:after="140" w:before="280"/>
      </w:pPr>
      <w:r>
        <w:rPr>
          <w:rFonts w:ascii="Calibri" w:cs="Calibri" w:eastAsia="Calibri" w:hAnsi="Calibri"/>
          <w:b/>
          <w:bCs/>
          <w:color w:val="1F3864"/>
          <w:sz w:val="26"/>
          <w:szCs w:val="26"/>
        </w:rPr>
        <w:t xml:space="preserve">2.  Background &amp; Problem Statement</w:t>
      </w:r>
    </w:p>
    <w:p>
      <w:pPr>
        <w:spacing w:after="120" w:line="276"/>
      </w:pPr>
      <w:r>
        <w:rPr>
          <w:rFonts w:ascii="Calibri" w:cs="Calibri" w:eastAsia="Calibri" w:hAnsi="Calibri"/>
          <w:sz w:val="20"/>
          <w:szCs w:val="20"/>
        </w:rPr>
        <w:t xml:space="preserve">PVC sealer supplied in drums is applied to vehicle bodies in the paint shop through robotic applicators with a nozzle bore of 1 mm and, at some stations, manual application guns. Reliable, uninterrupted flow through the 1 mm orifice is critical to cycle time and seal quality.</w:t>
      </w:r>
    </w:p>
    <w:p>
      <w:pPr>
        <w:spacing w:after="120" w:line="276"/>
      </w:pPr>
      <w:r>
        <w:rPr>
          <w:rFonts w:ascii="Calibri" w:cs="Calibri" w:eastAsia="Calibri" w:hAnsi="Calibri"/>
          <w:sz w:val="20"/>
          <w:szCs w:val="20"/>
        </w:rPr>
        <w:t xml:space="preserve">A recurring problem has been observed: the 1 mm robotic nozzles choke intermittently, and the supply-line / applicator filters retain reddish-brown, flaky, skin-like particles. Physical examination of the retained material showed thin layered flakes, some carrying embedded textile fibres and an occasional foreign coloured speck. The consequences are line stoppages, nozzle cleaning / rework, increased filter change frequency and a risk to seal integrity.</w:t>
      </w:r>
    </w:p>
    <w:p>
      <w:pPr>
        <w:pStyle w:val="Heading2"/>
        <w:spacing w:after="100" w:before="180"/>
      </w:pPr>
      <w:r>
        <w:rPr>
          <w:rFonts w:ascii="Calibri" w:cs="Calibri" w:eastAsia="Calibri" w:hAnsi="Calibri"/>
          <w:b/>
          <w:bCs/>
          <w:color w:val="2E5496"/>
          <w:sz w:val="22"/>
          <w:szCs w:val="22"/>
        </w:rPr>
        <w:t xml:space="preserve">Physical evidence observed</w:t>
      </w:r>
    </w:p>
    <w:p>
      <w:pPr>
        <w:pStyle w:val="ListParagraph"/>
        <w:numPr>
          <w:ilvl w:val="0"/>
          <w:numId w:val="2"/>
        </w:numPr>
        <w:spacing w:after="80" w:line="264"/>
      </w:pPr>
      <w:r>
        <w:rPr>
          <w:rFonts w:ascii="Calibri" w:cs="Calibri" w:eastAsia="Calibri" w:hAnsi="Calibri"/>
          <w:sz w:val="20"/>
          <w:szCs w:val="20"/>
        </w:rPr>
        <w:t xml:space="preserve">Contaminant is reddish-brown and flaky / skin-like, distinct from the bulk sealer colour.</w:t>
      </w:r>
    </w:p>
    <w:p>
      <w:pPr>
        <w:pStyle w:val="ListParagraph"/>
        <w:numPr>
          <w:ilvl w:val="0"/>
          <w:numId w:val="2"/>
        </w:numPr>
        <w:spacing w:after="80" w:line="264"/>
      </w:pPr>
      <w:r>
        <w:rPr>
          <w:rFonts w:ascii="Calibri" w:cs="Calibri" w:eastAsia="Calibri" w:hAnsi="Calibri"/>
          <w:sz w:val="20"/>
          <w:szCs w:val="20"/>
        </w:rPr>
        <w:t xml:space="preserve">Flakes are thin and layered — able to pass a coarse mesh edge-on and then bridge the 1 mm nozzle.</w:t>
      </w:r>
    </w:p>
    <w:p>
      <w:pPr>
        <w:pStyle w:val="ListParagraph"/>
        <w:numPr>
          <w:ilvl w:val="0"/>
          <w:numId w:val="2"/>
        </w:numPr>
        <w:spacing w:after="80" w:line="264"/>
      </w:pPr>
      <w:r>
        <w:rPr>
          <w:rFonts w:ascii="Calibri" w:cs="Calibri" w:eastAsia="Calibri" w:hAnsi="Calibri"/>
          <w:sz w:val="20"/>
          <w:szCs w:val="20"/>
        </w:rPr>
        <w:t xml:space="preserve">Embedded fibres and a foreign coloured speck were present on the filter media — indicating ingress of external matter, not sealer alone.</w:t>
      </w:r>
    </w:p>
    <w:p>
      <w:pPr>
        <w:pStyle w:val="Heading1"/>
        <w:pBdr>
          <w:bottom w:val="single" w:color="2E5496" w:sz="8" w:space="4"/>
        </w:pBdr>
        <w:spacing w:after="140" w:before="280"/>
      </w:pPr>
      <w:r>
        <w:rPr>
          <w:rFonts w:ascii="Calibri" w:cs="Calibri" w:eastAsia="Calibri" w:hAnsi="Calibri"/>
          <w:b/>
          <w:bCs/>
          <w:color w:val="1F3864"/>
          <w:sz w:val="26"/>
          <w:szCs w:val="26"/>
        </w:rPr>
        <w:t xml:space="preserve">3.  Product &amp; Manufacturing Process Overview</w:t>
      </w:r>
    </w:p>
    <w:p>
      <w:pPr>
        <w:spacing w:after="120" w:line="276"/>
      </w:pPr>
      <w:r>
        <w:rPr>
          <w:rFonts w:ascii="Calibri" w:cs="Calibri" w:eastAsia="Calibri" w:hAnsi="Calibri"/>
          <w:sz w:val="20"/>
          <w:szCs w:val="20"/>
        </w:rPr>
        <w:t xml:space="preserve">The sealer is a PVC plastisol produced from PVC (paste) resin, plasticizer, mineral fillers (calcium carbonate), rheology modifier and additives. The supplier's process (Process Flow No. PFC/PNT/16) proceeds from raw-material receipt through mixing, maturation, vacuuming, viscosity correction, filtration (60# mesh), filling into drums, testing and dispatch. Key stages relevant to the concern are summarised below.</w:t>
      </w:r>
    </w:p>
    <w:tbl>
      <w:tblPr>
        <w:tblW w:type="dxa" w:w="9026"/>
        <w:tblBorders>
          <w:top w:val="single" w:color="9BA6B8" w:sz="4"/>
          <w:left w:val="single" w:color="9BA6B8" w:sz="4"/>
          <w:bottom w:val="single" w:color="9BA6B8" w:sz="4"/>
          <w:right w:val="single" w:color="9BA6B8" w:sz="4"/>
          <w:insideH w:val="single" w:color="C9D1DE" w:sz="4"/>
          <w:insideV w:val="single" w:color="C9D1DE" w:sz="4"/>
        </w:tblBorders>
      </w:tblPr>
      <w:tblGrid>
        <w:gridCol w:w="1100"/>
        <w:gridCol w:w="2650"/>
        <w:gridCol w:w="3376"/>
        <w:gridCol w:w="1900"/>
      </w:tblGrid>
      <w:tr>
        <w:trPr>
          <w:tblHeader/>
        </w:trPr>
        <w:tc>
          <w:tcPr>
            <w:tcW w:type="dxa" w:w="1100"/>
            <w:shd w:fill="1F3864"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FFFFFF"/>
                <w:sz w:val="19"/>
                <w:szCs w:val="19"/>
              </w:rPr>
              <w:t xml:space="preserve">Op. No.</w:t>
            </w:r>
          </w:p>
        </w:tc>
        <w:tc>
          <w:tcPr>
            <w:tcW w:type="dxa" w:w="2650"/>
            <w:shd w:fill="1F3864"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FFFFFF"/>
                <w:sz w:val="19"/>
                <w:szCs w:val="19"/>
              </w:rPr>
              <w:t xml:space="preserve">Machine / Facility</w:t>
            </w:r>
          </w:p>
        </w:tc>
        <w:tc>
          <w:tcPr>
            <w:tcW w:type="dxa" w:w="3376"/>
            <w:shd w:fill="1F3864"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FFFFFF"/>
                <w:sz w:val="19"/>
                <w:szCs w:val="19"/>
              </w:rPr>
              <w:t xml:space="preserve">Process Description</w:t>
            </w:r>
          </w:p>
        </w:tc>
        <w:tc>
          <w:tcPr>
            <w:tcW w:type="dxa" w:w="1900"/>
            <w:shd w:fill="1F3864"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FFFFFF"/>
                <w:sz w:val="19"/>
                <w:szCs w:val="19"/>
              </w:rPr>
              <w:t xml:space="preserve">Key Parameter</w:t>
            </w:r>
          </w:p>
        </w:tc>
      </w:tr>
      <w:tr>
        <w:tc>
          <w:tcPr>
            <w:tcW w:type="dxa" w:w="11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10</w:t>
            </w:r>
          </w:p>
        </w:tc>
        <w:tc>
          <w:tcPr>
            <w:tcW w:type="dxa" w:w="265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Brookfield Viscometer, Oven &amp; Balance</w:t>
            </w:r>
          </w:p>
        </w:tc>
        <w:tc>
          <w:tcPr>
            <w:tcW w:type="dxa" w:w="3376"/>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Received Inspection of incoming raw material</w:t>
            </w:r>
          </w:p>
        </w:tc>
        <w:tc>
          <w:tcPr>
            <w:tcW w:type="dxa" w:w="19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Per RM control plan</w:t>
            </w:r>
          </w:p>
        </w:tc>
      </w:tr>
      <w:tr>
        <w:tc>
          <w:tcPr>
            <w:tcW w:type="dxa" w:w="11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20</w:t>
            </w:r>
          </w:p>
        </w:tc>
        <w:tc>
          <w:tcPr>
            <w:tcW w:type="dxa" w:w="265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Weighing Balance</w:t>
            </w:r>
          </w:p>
        </w:tc>
        <w:tc>
          <w:tcPr>
            <w:tcW w:type="dxa" w:w="3376"/>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Prebatching &amp; issue of raw material</w:t>
            </w:r>
          </w:p>
        </w:tc>
        <w:tc>
          <w:tcPr>
            <w:tcW w:type="dxa" w:w="19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Per RM requisition</w:t>
            </w:r>
          </w:p>
        </w:tc>
      </w:tr>
      <w:tr>
        <w:tc>
          <w:tcPr>
            <w:tcW w:type="dxa" w:w="11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30</w:t>
            </w:r>
          </w:p>
        </w:tc>
        <w:tc>
          <w:tcPr>
            <w:tcW w:type="dxa" w:w="265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Fork Lift</w:t>
            </w:r>
          </w:p>
        </w:tc>
        <w:tc>
          <w:tcPr>
            <w:tcW w:type="dxa" w:w="3376"/>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Move to production line</w:t>
            </w:r>
          </w:p>
        </w:tc>
        <w:tc>
          <w:tcPr>
            <w:tcW w:type="dxa" w:w="19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Per work instruction</w:t>
            </w:r>
          </w:p>
        </w:tc>
      </w:tr>
      <w:tr>
        <w:tc>
          <w:tcPr>
            <w:tcW w:type="dxa" w:w="11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50</w:t>
            </w:r>
          </w:p>
        </w:tc>
        <w:tc>
          <w:tcPr>
            <w:tcW w:type="dxa" w:w="265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Twin Shaft Mixer (TSM)</w:t>
            </w:r>
          </w:p>
        </w:tc>
        <w:tc>
          <w:tcPr>
            <w:tcW w:type="dxa" w:w="3376"/>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Mixing</w:t>
            </w:r>
          </w:p>
        </w:tc>
        <w:tc>
          <w:tcPr>
            <w:tcW w:type="dxa" w:w="19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Temp &lt; 35 °C; RPM/HSD per PIV</w:t>
            </w:r>
          </w:p>
        </w:tc>
      </w:tr>
      <w:tr>
        <w:tc>
          <w:tcPr>
            <w:tcW w:type="dxa" w:w="11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60</w:t>
            </w:r>
          </w:p>
        </w:tc>
        <w:tc>
          <w:tcPr>
            <w:tcW w:type="dxa" w:w="265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TSM</w:t>
            </w:r>
          </w:p>
        </w:tc>
        <w:tc>
          <w:tcPr>
            <w:tcW w:type="dxa" w:w="3376"/>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Ageing / Maturation</w:t>
            </w:r>
          </w:p>
        </w:tc>
        <w:tc>
          <w:tcPr>
            <w:tcW w:type="dxa" w:w="19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Maturation 8 hrs</w:t>
            </w:r>
          </w:p>
        </w:tc>
      </w:tr>
      <w:tr>
        <w:tc>
          <w:tcPr>
            <w:tcW w:type="dxa" w:w="11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70</w:t>
            </w:r>
          </w:p>
        </w:tc>
        <w:tc>
          <w:tcPr>
            <w:tcW w:type="dxa" w:w="265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Brookfield Viscometer</w:t>
            </w:r>
          </w:p>
        </w:tc>
        <w:tc>
          <w:tcPr>
            <w:tcW w:type="dxa" w:w="3376"/>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Inspection &amp; correction</w:t>
            </w:r>
          </w:p>
        </w:tc>
        <w:tc>
          <w:tcPr>
            <w:tcW w:type="dxa" w:w="19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Viscosity to spec</w:t>
            </w:r>
          </w:p>
        </w:tc>
      </w:tr>
      <w:tr>
        <w:tc>
          <w:tcPr>
            <w:tcW w:type="dxa" w:w="11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80</w:t>
            </w:r>
          </w:p>
        </w:tc>
        <w:tc>
          <w:tcPr>
            <w:tcW w:type="dxa" w:w="265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TSM</w:t>
            </w:r>
          </w:p>
        </w:tc>
        <w:tc>
          <w:tcPr>
            <w:tcW w:type="dxa" w:w="3376"/>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Vacuuming &amp; mixing</w:t>
            </w:r>
          </w:p>
        </w:tc>
        <w:tc>
          <w:tcPr>
            <w:tcW w:type="dxa" w:w="19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Vacuum 700 mmHg, 60 min</w:t>
            </w:r>
          </w:p>
        </w:tc>
      </w:tr>
      <w:tr>
        <w:tc>
          <w:tcPr>
            <w:tcW w:type="dxa" w:w="11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90</w:t>
            </w:r>
          </w:p>
        </w:tc>
        <w:tc>
          <w:tcPr>
            <w:tcW w:type="dxa" w:w="265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Brookfield Viscometer</w:t>
            </w:r>
          </w:p>
        </w:tc>
        <w:tc>
          <w:tcPr>
            <w:tcW w:type="dxa" w:w="3376"/>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Final viscosity adjustment</w:t>
            </w:r>
          </w:p>
        </w:tc>
        <w:tc>
          <w:tcPr>
            <w:tcW w:type="dxa" w:w="19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Viscosity to spec</w:t>
            </w:r>
          </w:p>
        </w:tc>
      </w:tr>
      <w:tr>
        <w:tc>
          <w:tcPr>
            <w:tcW w:type="dxa" w:w="11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100</w:t>
            </w:r>
          </w:p>
        </w:tc>
        <w:tc>
          <w:tcPr>
            <w:tcW w:type="dxa" w:w="265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Self-cleaning Filtration Unit</w:t>
            </w:r>
          </w:p>
        </w:tc>
        <w:tc>
          <w:tcPr>
            <w:tcW w:type="dxa" w:w="3376"/>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Filtration</w:t>
            </w:r>
          </w:p>
        </w:tc>
        <w:tc>
          <w:tcPr>
            <w:tcW w:type="dxa" w:w="19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Mesh 60# ; no foreign matter</w:t>
            </w:r>
          </w:p>
        </w:tc>
      </w:tr>
      <w:tr>
        <w:tc>
          <w:tcPr>
            <w:tcW w:type="dxa" w:w="11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110</w:t>
            </w:r>
          </w:p>
        </w:tc>
        <w:tc>
          <w:tcPr>
            <w:tcW w:type="dxa" w:w="265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Weighing scale</w:t>
            </w:r>
          </w:p>
        </w:tc>
        <w:tc>
          <w:tcPr>
            <w:tcW w:type="dxa" w:w="3376"/>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Filling &amp; packing</w:t>
            </w:r>
          </w:p>
        </w:tc>
        <w:tc>
          <w:tcPr>
            <w:tcW w:type="dxa" w:w="19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Appropriate drum per PIV</w:t>
            </w:r>
          </w:p>
        </w:tc>
      </w:tr>
      <w:tr>
        <w:tc>
          <w:tcPr>
            <w:tcW w:type="dxa" w:w="11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120</w:t>
            </w:r>
          </w:p>
        </w:tc>
        <w:tc>
          <w:tcPr>
            <w:tcW w:type="dxa" w:w="265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Viscometer, Oven, Panels</w:t>
            </w:r>
          </w:p>
        </w:tc>
        <w:tc>
          <w:tcPr>
            <w:tcW w:type="dxa" w:w="3376"/>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Finished product testing</w:t>
            </w:r>
          </w:p>
        </w:tc>
        <w:tc>
          <w:tcPr>
            <w:tcW w:type="dxa" w:w="19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All parameters within spec</w:t>
            </w:r>
          </w:p>
        </w:tc>
      </w:tr>
      <w:tr>
        <w:tc>
          <w:tcPr>
            <w:tcW w:type="dxa" w:w="11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130</w:t>
            </w:r>
          </w:p>
        </w:tc>
        <w:tc>
          <w:tcPr>
            <w:tcW w:type="dxa" w:w="265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Sticker Pasting</w:t>
            </w:r>
          </w:p>
        </w:tc>
        <w:tc>
          <w:tcPr>
            <w:tcW w:type="dxa" w:w="3376"/>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Labelling</w:t>
            </w:r>
          </w:p>
        </w:tc>
        <w:tc>
          <w:tcPr>
            <w:tcW w:type="dxa" w:w="19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Batch / part / mfg. date</w:t>
            </w:r>
          </w:p>
        </w:tc>
      </w:tr>
      <w:tr>
        <w:tc>
          <w:tcPr>
            <w:tcW w:type="dxa" w:w="11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140</w:t>
            </w:r>
          </w:p>
        </w:tc>
        <w:tc>
          <w:tcPr>
            <w:tcW w:type="dxa" w:w="265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Stacker</w:t>
            </w:r>
          </w:p>
        </w:tc>
        <w:tc>
          <w:tcPr>
            <w:tcW w:type="dxa" w:w="3376"/>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Dispatch / delivery</w:t>
            </w:r>
          </w:p>
        </w:tc>
        <w:tc>
          <w:tcPr>
            <w:tcW w:type="dxa" w:w="19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Loading to truck</w:t>
            </w:r>
          </w:p>
        </w:tc>
      </w:tr>
    </w:tbl>
    <w:p>
      <w:pPr>
        <w:spacing w:after="60"/>
      </w:pPr>
    </w:p>
    <w:p>
      <w:pPr>
        <w:spacing w:after="120" w:line="276"/>
      </w:pPr>
      <w:r>
        <w:rPr>
          <w:rFonts w:ascii="Calibri" w:cs="Calibri" w:eastAsia="Calibri" w:hAnsi="Calibri"/>
          <w:i/>
          <w:iCs/>
          <w:color w:val="555555"/>
          <w:sz w:val="20"/>
          <w:szCs w:val="20"/>
        </w:rPr>
        <w:t xml:space="preserve">Note: The current in-line filtration is 60 mesh (≈ 250 µm). The application nozzle is 1 mm (1000 µm). A flat flake finer than 250 µm can pass the mesh yet still bridge and block the 1 mm orifice — hence choking can occur even when in-line filtration is nominally in place.</w:t>
      </w:r>
    </w:p>
    <w:p>
      <w:pPr>
        <w:pStyle w:val="Heading1"/>
        <w:pBdr>
          <w:bottom w:val="single" w:color="2E5496" w:sz="8" w:space="4"/>
        </w:pBdr>
        <w:spacing w:after="140" w:before="280"/>
      </w:pPr>
      <w:r>
        <w:rPr>
          <w:rFonts w:ascii="Calibri" w:cs="Calibri" w:eastAsia="Calibri" w:hAnsi="Calibri"/>
          <w:b/>
          <w:bCs/>
          <w:color w:val="1F3864"/>
          <w:sz w:val="26"/>
          <w:szCs w:val="26"/>
        </w:rPr>
        <w:t xml:space="preserve">4.  Observations During Visit</w:t>
      </w:r>
    </w:p>
    <w:p>
      <w:pPr>
        <w:spacing w:after="120" w:line="276"/>
      </w:pPr>
      <w:r>
        <w:rPr>
          <w:rFonts w:ascii="Calibri" w:cs="Calibri" w:eastAsia="Calibri" w:hAnsi="Calibri"/>
          <w:sz w:val="20"/>
          <w:szCs w:val="20"/>
        </w:rPr>
        <w:t xml:space="preserve">The following observations were made at the supplier's shop floor at operations where contamination or product ageing could occur:</w:t>
      </w:r>
    </w:p>
    <w:p>
      <w:pPr>
        <w:pStyle w:val="ListParagraph"/>
        <w:numPr>
          <w:ilvl w:val="0"/>
          <w:numId w:val="2"/>
        </w:numPr>
        <w:spacing w:after="80" w:line="264"/>
      </w:pPr>
      <w:r>
        <w:rPr>
          <w:rFonts w:ascii="Calibri" w:cs="Calibri" w:eastAsia="Calibri" w:hAnsi="Calibri"/>
          <w:sz w:val="20"/>
          <w:szCs w:val="20"/>
        </w:rPr>
        <w:t xml:space="preserve">Open transfer points (mixer hopper, drum filling) present opportunity for airborne dust and fibre ingress into the product.</w:t>
      </w:r>
    </w:p>
    <w:p>
      <w:pPr>
        <w:pStyle w:val="ListParagraph"/>
        <w:numPr>
          <w:ilvl w:val="0"/>
          <w:numId w:val="2"/>
        </w:numPr>
        <w:spacing w:after="80" w:line="264"/>
      </w:pPr>
      <w:r>
        <w:rPr>
          <w:rFonts w:ascii="Calibri" w:cs="Calibri" w:eastAsia="Calibri" w:hAnsi="Calibri"/>
          <w:sz w:val="20"/>
          <w:szCs w:val="20"/>
        </w:rPr>
        <w:t xml:space="preserve">Hopper cleaning between batches was identified as a required control (residue build-up noted on the process documentation).</w:t>
      </w:r>
    </w:p>
    <w:p>
      <w:pPr>
        <w:pStyle w:val="ListParagraph"/>
        <w:numPr>
          <w:ilvl w:val="0"/>
          <w:numId w:val="2"/>
        </w:numPr>
        <w:spacing w:after="80" w:line="264"/>
      </w:pPr>
      <w:r>
        <w:rPr>
          <w:rFonts w:ascii="Calibri" w:cs="Calibri" w:eastAsia="Calibri" w:hAnsi="Calibri"/>
          <w:sz w:val="20"/>
          <w:szCs w:val="20"/>
        </w:rPr>
        <w:t xml:space="preserve">Surface skinning can form wherever plastisol is exposed to air — drum headspace, hopper surface and stagnant / dead-leg lines; oxidised skin is darker (reddish-brown) and flakes off.</w:t>
      </w:r>
    </w:p>
    <w:p>
      <w:pPr>
        <w:pStyle w:val="ListParagraph"/>
        <w:numPr>
          <w:ilvl w:val="0"/>
          <w:numId w:val="2"/>
        </w:numPr>
        <w:spacing w:after="80" w:line="264"/>
      </w:pPr>
      <w:r>
        <w:rPr>
          <w:rFonts w:ascii="Calibri" w:cs="Calibri" w:eastAsia="Calibri" w:hAnsi="Calibri"/>
          <w:sz w:val="20"/>
          <w:szCs w:val="20"/>
        </w:rPr>
        <w:t xml:space="preserve">Packing / drum-liner material appears capable of shedding textile fibres, consistent with the fibres seen on the filter media.</w:t>
      </w:r>
    </w:p>
    <w:p>
      <w:pPr>
        <w:pStyle w:val="ListParagraph"/>
        <w:numPr>
          <w:ilvl w:val="0"/>
          <w:numId w:val="2"/>
        </w:numPr>
        <w:spacing w:after="80" w:line="264"/>
      </w:pPr>
      <w:r>
        <w:rPr>
          <w:rFonts w:ascii="Calibri" w:cs="Calibri" w:eastAsia="Calibri" w:hAnsi="Calibri"/>
          <w:sz w:val="20"/>
          <w:szCs w:val="20"/>
        </w:rPr>
        <w:t xml:space="preserve">Dust was present on drum exteriors, drum lids and inside empty drums — a route for mineral dust to enter the product during filling / handling.</w:t>
      </w:r>
    </w:p>
    <w:p>
      <w:pPr>
        <w:pStyle w:val="ListParagraph"/>
        <w:numPr>
          <w:ilvl w:val="0"/>
          <w:numId w:val="2"/>
        </w:numPr>
        <w:spacing w:after="80" w:line="264"/>
      </w:pPr>
      <w:r>
        <w:rPr>
          <w:rFonts w:ascii="Calibri" w:cs="Calibri" w:eastAsia="Calibri" w:hAnsi="Calibri"/>
          <w:sz w:val="20"/>
          <w:szCs w:val="20"/>
        </w:rPr>
        <w:t xml:space="preserve">Mixing temperature control (&lt; 35 °C) and maturation time are critical; any excursion during processing, storage or transport can drive partial pre-gelation.</w:t>
      </w:r>
    </w:p>
    <w:p>
      <w:pPr>
        <w:pStyle w:val="ListParagraph"/>
        <w:numPr>
          <w:ilvl w:val="0"/>
          <w:numId w:val="2"/>
        </w:numPr>
        <w:spacing w:after="80" w:line="264"/>
      </w:pPr>
      <w:r>
        <w:rPr>
          <w:rFonts w:ascii="Calibri" w:cs="Calibri" w:eastAsia="Calibri" w:hAnsi="Calibri"/>
          <w:sz w:val="20"/>
          <w:szCs w:val="20"/>
        </w:rPr>
        <w:t xml:space="preserve">Rheology-modifier addition sequence and dispersion were under review by the supplier — relevant to potential filler / modifier agglomerates.</w:t>
      </w:r>
    </w:p>
    <w:p>
      <w:pPr>
        <w:pStyle w:val="Heading1"/>
        <w:pBdr>
          <w:bottom w:val="single" w:color="2E5496" w:sz="8" w:space="4"/>
        </w:pBdr>
        <w:spacing w:after="140" w:before="280"/>
      </w:pPr>
      <w:r>
        <w:rPr>
          <w:rFonts w:ascii="Calibri" w:cs="Calibri" w:eastAsia="Calibri" w:hAnsi="Calibri"/>
          <w:b/>
          <w:bCs/>
          <w:color w:val="1F3864"/>
          <w:sz w:val="26"/>
          <w:szCs w:val="26"/>
        </w:rPr>
        <w:t xml:space="preserve">5.  Sampling Plan</w:t>
      </w:r>
    </w:p>
    <w:p>
      <w:pPr>
        <w:spacing w:after="120" w:line="276"/>
      </w:pPr>
      <w:r>
        <w:rPr>
          <w:rFonts w:ascii="Calibri" w:cs="Calibri" w:eastAsia="Calibri" w:hAnsi="Calibri"/>
          <w:sz w:val="20"/>
          <w:szCs w:val="20"/>
        </w:rPr>
        <w:t xml:space="preserve">To trace the origin of the choke material, samples were collected from the supplier's operations that represent possible contamination sources, alongside the choke material itself. FTIR fingerprints of each source were then compared against the reference choke sample.</w:t>
      </w:r>
    </w:p>
    <w:tbl>
      <w:tblPr>
        <w:tblW w:type="dxa" w:w="9026"/>
        <w:tblBorders>
          <w:top w:val="single" w:color="9BA6B8" w:sz="4"/>
          <w:left w:val="single" w:color="9BA6B8" w:sz="4"/>
          <w:bottom w:val="single" w:color="9BA6B8" w:sz="4"/>
          <w:right w:val="single" w:color="9BA6B8" w:sz="4"/>
          <w:insideH w:val="single" w:color="C9D1DE" w:sz="4"/>
          <w:insideV w:val="single" w:color="C9D1DE" w:sz="4"/>
        </w:tblBorders>
      </w:tblPr>
      <w:tblGrid>
        <w:gridCol w:w="3200"/>
        <w:gridCol w:w="5826"/>
      </w:tblGrid>
      <w:tr>
        <w:trPr>
          <w:tblHeader/>
        </w:trPr>
        <w:tc>
          <w:tcPr>
            <w:tcW w:type="dxa" w:w="3200"/>
            <w:shd w:fill="1F3864"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FFFFFF"/>
                <w:sz w:val="19"/>
                <w:szCs w:val="19"/>
              </w:rPr>
              <w:t xml:space="preserve">Sample</w:t>
            </w:r>
          </w:p>
        </w:tc>
        <w:tc>
          <w:tcPr>
            <w:tcW w:type="dxa" w:w="5826"/>
            <w:shd w:fill="1F3864"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FFFFFF"/>
                <w:sz w:val="19"/>
                <w:szCs w:val="19"/>
              </w:rPr>
              <w:t xml:space="preserve">Location / Purpose</w:t>
            </w:r>
          </w:p>
        </w:tc>
      </w:tr>
      <w:tr>
        <w:tc>
          <w:tcPr>
            <w:tcW w:type="dxa" w:w="32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Nozzle Choking Sample ✓ (reference)</w:t>
            </w:r>
          </w:p>
        </w:tc>
        <w:tc>
          <w:tcPr>
            <w:tcW w:type="dxa" w:w="5826"/>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The actual choke material recovered from the applicator — the fingerprint to be matched</w:t>
            </w:r>
          </w:p>
        </w:tc>
      </w:tr>
      <w:tr>
        <w:tc>
          <w:tcPr>
            <w:tcW w:type="dxa" w:w="32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Nozzle Choking Sample — Barrel Clamping</w:t>
            </w:r>
          </w:p>
        </w:tc>
        <w:tc>
          <w:tcPr>
            <w:tcW w:type="dxa" w:w="5826"/>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Choke material variant / second recovery point for comparison</w:t>
            </w:r>
          </w:p>
        </w:tc>
      </w:tr>
      <w:tr>
        <w:tc>
          <w:tcPr>
            <w:tcW w:type="dxa" w:w="32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Hopper Inside</w:t>
            </w:r>
          </w:p>
        </w:tc>
        <w:tc>
          <w:tcPr>
            <w:tcW w:type="dxa" w:w="5826"/>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Residue / skin from the mixer hopper interior</w:t>
            </w:r>
          </w:p>
        </w:tc>
      </w:tr>
      <w:tr>
        <w:tc>
          <w:tcPr>
            <w:tcW w:type="dxa" w:w="32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Dust on Drum</w:t>
            </w:r>
          </w:p>
        </w:tc>
        <w:tc>
          <w:tcPr>
            <w:tcW w:type="dxa" w:w="5826"/>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Dust from the drum exterior surface</w:t>
            </w:r>
          </w:p>
        </w:tc>
      </w:tr>
      <w:tr>
        <w:tc>
          <w:tcPr>
            <w:tcW w:type="dxa" w:w="32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Drum Inside Dust</w:t>
            </w:r>
          </w:p>
        </w:tc>
        <w:tc>
          <w:tcPr>
            <w:tcW w:type="dxa" w:w="5826"/>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Dust from inside the (empty) drum prior to filling</w:t>
            </w:r>
          </w:p>
        </w:tc>
      </w:tr>
      <w:tr>
        <w:tc>
          <w:tcPr>
            <w:tcW w:type="dxa" w:w="32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Drum Lid — Clean</w:t>
            </w:r>
          </w:p>
        </w:tc>
        <w:tc>
          <w:tcPr>
            <w:tcW w:type="dxa" w:w="5826"/>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Reference from a cleaned drum lid</w:t>
            </w:r>
          </w:p>
        </w:tc>
      </w:tr>
      <w:tr>
        <w:tc>
          <w:tcPr>
            <w:tcW w:type="dxa" w:w="32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Packing Bag Part</w:t>
            </w:r>
          </w:p>
        </w:tc>
        <w:tc>
          <w:tcPr>
            <w:tcW w:type="dxa" w:w="5826"/>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Material from the packing / liner (fibre source check)</w:t>
            </w:r>
          </w:p>
        </w:tc>
      </w:tr>
    </w:tbl>
    <w:p>
      <w:pPr>
        <w:pStyle w:val="Heading1"/>
        <w:pBdr>
          <w:bottom w:val="single" w:color="2E5496" w:sz="8" w:space="4"/>
        </w:pBdr>
        <w:spacing w:after="140" w:before="280"/>
      </w:pPr>
      <w:r>
        <w:rPr>
          <w:rFonts w:ascii="Calibri" w:cs="Calibri" w:eastAsia="Calibri" w:hAnsi="Calibri"/>
          <w:b/>
          <w:bCs/>
          <w:color w:val="1F3864"/>
          <w:sz w:val="26"/>
          <w:szCs w:val="26"/>
        </w:rPr>
        <w:t xml:space="preserve">6.  Analytical Results — FTIR</w:t>
      </w:r>
    </w:p>
    <w:p>
      <w:pPr>
        <w:spacing w:after="120" w:line="276"/>
      </w:pPr>
      <w:r>
        <w:rPr>
          <w:rFonts w:ascii="Calibri" w:cs="Calibri" w:eastAsia="Calibri" w:hAnsi="Calibri"/>
          <w:sz w:val="20"/>
          <w:szCs w:val="20"/>
        </w:rPr>
        <w:t xml:space="preserve">An overlay FTIR (transmittance) study was performed on all samples. The principal absorption bands and their assignments are given below.</w:t>
      </w:r>
    </w:p>
    <w:tbl>
      <w:tblPr>
        <w:tblW w:type="dxa" w:w="9026"/>
        <w:tblBorders>
          <w:top w:val="single" w:color="9BA6B8" w:sz="4"/>
          <w:left w:val="single" w:color="9BA6B8" w:sz="4"/>
          <w:bottom w:val="single" w:color="9BA6B8" w:sz="4"/>
          <w:right w:val="single" w:color="9BA6B8" w:sz="4"/>
          <w:insideH w:val="single" w:color="C9D1DE" w:sz="4"/>
          <w:insideV w:val="single" w:color="C9D1DE" w:sz="4"/>
        </w:tblBorders>
      </w:tblPr>
      <w:tblGrid>
        <w:gridCol w:w="1900"/>
        <w:gridCol w:w="3200"/>
        <w:gridCol w:w="3926"/>
      </w:tblGrid>
      <w:tr>
        <w:trPr>
          <w:tblHeader/>
        </w:trPr>
        <w:tc>
          <w:tcPr>
            <w:tcW w:type="dxa" w:w="1900"/>
            <w:shd w:fill="1F3864"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FFFFFF"/>
                <w:sz w:val="19"/>
                <w:szCs w:val="19"/>
              </w:rPr>
              <w:t xml:space="preserve">Band (cm⁻¹)</w:t>
            </w:r>
          </w:p>
        </w:tc>
        <w:tc>
          <w:tcPr>
            <w:tcW w:type="dxa" w:w="3200"/>
            <w:shd w:fill="1F3864"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FFFFFF"/>
                <w:sz w:val="19"/>
                <w:szCs w:val="19"/>
              </w:rPr>
              <w:t xml:space="preserve">Assignment</w:t>
            </w:r>
          </w:p>
        </w:tc>
        <w:tc>
          <w:tcPr>
            <w:tcW w:type="dxa" w:w="3926"/>
            <w:shd w:fill="1F3864"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FFFFFF"/>
                <w:sz w:val="19"/>
                <w:szCs w:val="19"/>
              </w:rPr>
              <w:t xml:space="preserve">Indicates</w:t>
            </w:r>
          </w:p>
        </w:tc>
      </w:tr>
      <w:tr>
        <w:tc>
          <w:tcPr>
            <w:tcW w:type="dxa" w:w="19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~3300–3400 (broad)</w:t>
            </w:r>
          </w:p>
        </w:tc>
        <w:tc>
          <w:tcPr>
            <w:tcW w:type="dxa" w:w="32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O–H / N–H stretch</w:t>
            </w:r>
          </w:p>
        </w:tc>
        <w:tc>
          <w:tcPr>
            <w:tcW w:type="dxa" w:w="3926"/>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Moisture / hydroxyl and cellulose (packing-bag fibre / paper)</w:t>
            </w:r>
          </w:p>
        </w:tc>
      </w:tr>
      <w:tr>
        <w:tc>
          <w:tcPr>
            <w:tcW w:type="dxa" w:w="19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~2920 / 2850</w:t>
            </w:r>
          </w:p>
        </w:tc>
        <w:tc>
          <w:tcPr>
            <w:tcW w:type="dxa" w:w="32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Aliphatic C–H stretch</w:t>
            </w:r>
          </w:p>
        </w:tc>
        <w:tc>
          <w:tcPr>
            <w:tcW w:type="dxa" w:w="3926"/>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Plasticizer + PVC + hydrocarbon</w:t>
            </w:r>
          </w:p>
        </w:tc>
      </w:tr>
      <w:tr>
        <w:tc>
          <w:tcPr>
            <w:tcW w:type="dxa" w:w="19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~1720 (if present)</w:t>
            </w:r>
          </w:p>
        </w:tc>
        <w:tc>
          <w:tcPr>
            <w:tcW w:type="dxa" w:w="32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Ester C=O</w:t>
            </w:r>
          </w:p>
        </w:tc>
        <w:tc>
          <w:tcPr>
            <w:tcW w:type="dxa" w:w="3926"/>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Phthalate plasticizer (product signature)</w:t>
            </w:r>
          </w:p>
        </w:tc>
      </w:tr>
      <w:tr>
        <w:tc>
          <w:tcPr>
            <w:tcW w:type="dxa" w:w="19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~1420–1450 (deep, broad)</w:t>
            </w:r>
          </w:p>
        </w:tc>
        <w:tc>
          <w:tcPr>
            <w:tcW w:type="dxa" w:w="32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Carbonate ν₃</w:t>
            </w:r>
          </w:p>
        </w:tc>
        <w:tc>
          <w:tcPr>
            <w:tcW w:type="dxa" w:w="3926"/>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Calcium carbonate (CaCO₃) filler</w:t>
            </w:r>
          </w:p>
        </w:tc>
      </w:tr>
      <w:tr>
        <w:tc>
          <w:tcPr>
            <w:tcW w:type="dxa" w:w="19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~1000–1100 (deep)</w:t>
            </w:r>
          </w:p>
        </w:tc>
        <w:tc>
          <w:tcPr>
            <w:tcW w:type="dxa" w:w="32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Si–O–Si stretch</w:t>
            </w:r>
          </w:p>
        </w:tc>
        <w:tc>
          <w:tcPr>
            <w:tcW w:type="dxa" w:w="3926"/>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Silica / silicate / talc / clay (rheology modifier or mineral dust)</w:t>
            </w:r>
          </w:p>
        </w:tc>
      </w:tr>
      <w:tr>
        <w:tc>
          <w:tcPr>
            <w:tcW w:type="dxa" w:w="19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~875 (sharp)</w:t>
            </w:r>
          </w:p>
        </w:tc>
        <w:tc>
          <w:tcPr>
            <w:tcW w:type="dxa" w:w="32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Carbonate ν₂</w:t>
            </w:r>
          </w:p>
        </w:tc>
        <w:tc>
          <w:tcPr>
            <w:tcW w:type="dxa" w:w="3926"/>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CaCO₃</w:t>
            </w:r>
          </w:p>
        </w:tc>
      </w:tr>
      <w:tr>
        <w:tc>
          <w:tcPr>
            <w:tcW w:type="dxa" w:w="19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~712 (sharp)</w:t>
            </w:r>
          </w:p>
        </w:tc>
        <w:tc>
          <w:tcPr>
            <w:tcW w:type="dxa" w:w="32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Carbonate ν₄</w:t>
            </w:r>
          </w:p>
        </w:tc>
        <w:tc>
          <w:tcPr>
            <w:tcW w:type="dxa" w:w="3926"/>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CaCO₃ (calcite)</w:t>
            </w:r>
          </w:p>
        </w:tc>
      </w:tr>
      <w:tr>
        <w:tc>
          <w:tcPr>
            <w:tcW w:type="dxa" w:w="19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~600–690</w:t>
            </w:r>
          </w:p>
        </w:tc>
        <w:tc>
          <w:tcPr>
            <w:tcW w:type="dxa" w:w="32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C–Cl stretch</w:t>
            </w:r>
          </w:p>
        </w:tc>
        <w:tc>
          <w:tcPr>
            <w:tcW w:type="dxa" w:w="3926"/>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PVC</w:t>
            </w:r>
          </w:p>
        </w:tc>
      </w:tr>
    </w:tbl>
    <w:p>
      <w:pPr>
        <w:spacing w:after="60"/>
      </w:pPr>
    </w:p>
    <w:p>
      <w:pPr>
        <w:pStyle w:val="Heading2"/>
        <w:spacing w:after="100" w:before="180"/>
      </w:pPr>
      <w:r>
        <w:rPr>
          <w:rFonts w:ascii="Calibri" w:cs="Calibri" w:eastAsia="Calibri" w:hAnsi="Calibri"/>
          <w:b/>
          <w:bCs/>
          <w:color w:val="2E5496"/>
          <w:sz w:val="22"/>
          <w:szCs w:val="22"/>
        </w:rPr>
        <w:t xml:space="preserve">Interpretation</w:t>
      </w:r>
    </w:p>
    <w:p>
      <w:pPr>
        <w:pStyle w:val="ListParagraph"/>
        <w:numPr>
          <w:ilvl w:val="0"/>
          <w:numId w:val="2"/>
        </w:numPr>
        <w:spacing w:after="80" w:line="264"/>
      </w:pPr>
      <w:r>
        <w:rPr>
          <w:rFonts w:ascii="Calibri" w:cs="Calibri" w:eastAsia="Calibri" w:hAnsi="Calibri"/>
          <w:sz w:val="20"/>
          <w:szCs w:val="20"/>
        </w:rPr>
        <w:t xml:space="preserve">The choke-material fingerprint is dominated by carbonate (≈1420 / 875 / 712 cm⁻¹) and silicate (≈1000–1100 cm⁻¹) bands on a PVC / plasticizer / hydrocarbon backbone, with an O–H band on top — i.e. product blended with inorganic mineral dust and (likely) cellulosic fibre, rather than the clean fingerprint of a purely gelled product.</w:t>
      </w:r>
    </w:p>
    <w:p>
      <w:pPr>
        <w:pStyle w:val="ListParagraph"/>
        <w:numPr>
          <w:ilvl w:val="0"/>
          <w:numId w:val="2"/>
        </w:numPr>
        <w:spacing w:after="80" w:line="264"/>
      </w:pPr>
      <w:r>
        <w:rPr>
          <w:rFonts w:ascii="Calibri" w:cs="Calibri" w:eastAsia="Calibri" w:hAnsi="Calibri"/>
          <w:sz w:val="20"/>
          <w:szCs w:val="20"/>
        </w:rPr>
        <w:t xml:space="preserve">This is consistent with the physical evidence: reddish-brown flakes carrying embedded fibres and a foreign speck, and the requirement noted for hopper cleaning.</w:t>
      </w:r>
    </w:p>
    <w:p>
      <w:pPr>
        <w:pStyle w:val="ListParagraph"/>
        <w:numPr>
          <w:ilvl w:val="0"/>
          <w:numId w:val="2"/>
        </w:numPr>
        <w:spacing w:after="80" w:line="264"/>
      </w:pPr>
      <w:r>
        <w:rPr>
          <w:rFonts w:ascii="Calibri" w:cs="Calibri" w:eastAsia="Calibri" w:hAnsi="Calibri"/>
          <w:sz w:val="20"/>
          <w:szCs w:val="20"/>
        </w:rPr>
        <w:t xml:space="preserve">The study is fundamentally a source-tracing (fingerprint-matching) exercise: whichever source spectrum overlays best on the reference choke sample identifies where the contaminant originates.</w:t>
      </w:r>
    </w:p>
    <w:p>
      <w:pPr>
        <w:pStyle w:val="Heading2"/>
        <w:spacing w:after="100" w:before="180"/>
      </w:pPr>
      <w:r>
        <w:rPr>
          <w:rFonts w:ascii="Calibri" w:cs="Calibri" w:eastAsia="Calibri" w:hAnsi="Calibri"/>
          <w:b/>
          <w:bCs/>
          <w:color w:val="2E5496"/>
          <w:sz w:val="22"/>
          <w:szCs w:val="22"/>
        </w:rPr>
        <w:t xml:space="preserve">Recommended confirmation (to name the source unambiguously)</w:t>
      </w:r>
    </w:p>
    <w:p>
      <w:pPr>
        <w:pStyle w:val="ListParagraph"/>
        <w:numPr>
          <w:ilvl w:val="0"/>
          <w:numId w:val="2"/>
        </w:numPr>
        <w:spacing w:after="80" w:line="264"/>
      </w:pPr>
      <w:r>
        <w:rPr>
          <w:rFonts w:ascii="Calibri" w:cs="Calibri" w:eastAsia="Calibri" w:hAnsi="Calibri"/>
          <w:sz w:val="20"/>
          <w:szCs w:val="20"/>
        </w:rPr>
        <w:t xml:space="preserve">Pairwise overlay + spectral match / correlation index of the reference choke sample against each source individually (report % match) — the highest match names the source.</w:t>
      </w:r>
    </w:p>
    <w:p>
      <w:pPr>
        <w:pStyle w:val="ListParagraph"/>
        <w:numPr>
          <w:ilvl w:val="0"/>
          <w:numId w:val="2"/>
        </w:numPr>
        <w:spacing w:after="80" w:line="264"/>
      </w:pPr>
      <w:r>
        <w:rPr>
          <w:rFonts w:ascii="Calibri" w:cs="Calibri" w:eastAsia="Calibri" w:hAnsi="Calibri"/>
          <w:sz w:val="20"/>
          <w:szCs w:val="20"/>
        </w:rPr>
        <w:t xml:space="preserve">Difference spectrum (choke sample − clean product): the residual peaks are the contaminant. Carbonate / silicate / O–H residuals → mineral dust + fibre; carbonyl shift / broadening only → surface skin / oxidation.</w:t>
      </w:r>
    </w:p>
    <w:p>
      <w:pPr>
        <w:pStyle w:val="ListParagraph"/>
        <w:numPr>
          <w:ilvl w:val="0"/>
          <w:numId w:val="2"/>
        </w:numPr>
        <w:spacing w:after="80" w:line="264"/>
      </w:pPr>
      <w:r>
        <w:rPr>
          <w:rFonts w:ascii="Calibri" w:cs="Calibri" w:eastAsia="Calibri" w:hAnsi="Calibri"/>
          <w:sz w:val="20"/>
          <w:szCs w:val="20"/>
        </w:rPr>
        <w:t xml:space="preserve">Complementary techniques, since FTIR is weak on pure inorganics / metals: EDS or XRF on the flakes (confirms silica / clay / CaCO₃ and flags any Fe / rust), and TGA / ash for actual filler loading versus specification.</w:t>
      </w:r>
    </w:p>
    <w:p>
      <w:pPr>
        <w:pStyle w:val="Heading1"/>
        <w:pBdr>
          <w:bottom w:val="single" w:color="2E5496" w:sz="8" w:space="4"/>
        </w:pBdr>
        <w:spacing w:after="140" w:before="280"/>
      </w:pPr>
      <w:r>
        <w:rPr>
          <w:rFonts w:ascii="Calibri" w:cs="Calibri" w:eastAsia="Calibri" w:hAnsi="Calibri"/>
          <w:b/>
          <w:bCs/>
          <w:color w:val="1F3864"/>
          <w:sz w:val="26"/>
          <w:szCs w:val="26"/>
        </w:rPr>
        <w:t xml:space="preserve">7.  Root Cause Analysis</w:t>
      </w:r>
    </w:p>
    <w:p>
      <w:pPr>
        <w:spacing w:after="120" w:line="276"/>
      </w:pPr>
      <w:r>
        <w:rPr>
          <w:rFonts w:ascii="Calibri" w:cs="Calibri" w:eastAsia="Calibri" w:hAnsi="Calibri"/>
          <w:sz w:val="20"/>
          <w:szCs w:val="20"/>
        </w:rPr>
        <w:t xml:space="preserve">Based on the physical evidence, shop-floor observations and FTIR interpretation, the candidate root causes are ranked below.</w:t>
      </w:r>
    </w:p>
    <w:tbl>
      <w:tblPr>
        <w:tblW w:type="dxa" w:w="9026"/>
        <w:tblBorders>
          <w:top w:val="single" w:color="9BA6B8" w:sz="4"/>
          <w:left w:val="single" w:color="9BA6B8" w:sz="4"/>
          <w:bottom w:val="single" w:color="9BA6B8" w:sz="4"/>
          <w:right w:val="single" w:color="9BA6B8" w:sz="4"/>
          <w:insideH w:val="single" w:color="C9D1DE" w:sz="4"/>
          <w:insideV w:val="single" w:color="C9D1DE" w:sz="4"/>
        </w:tblBorders>
      </w:tblPr>
      <w:tblGrid>
        <w:gridCol w:w="520"/>
        <w:gridCol w:w="4300"/>
        <w:gridCol w:w="2400"/>
        <w:gridCol w:w="1806"/>
      </w:tblGrid>
      <w:tr>
        <w:trPr>
          <w:tblHeader/>
        </w:trPr>
        <w:tc>
          <w:tcPr>
            <w:tcW w:type="dxa" w:w="520"/>
            <w:shd w:fill="1F3864"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FFFFFF"/>
                <w:sz w:val="19"/>
                <w:szCs w:val="19"/>
              </w:rPr>
              <w:t xml:space="preserve">#</w:t>
            </w:r>
          </w:p>
        </w:tc>
        <w:tc>
          <w:tcPr>
            <w:tcW w:type="dxa" w:w="4300"/>
            <w:shd w:fill="1F3864"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FFFFFF"/>
                <w:sz w:val="19"/>
                <w:szCs w:val="19"/>
              </w:rPr>
              <w:t xml:space="preserve">Root-cause hypothesis</w:t>
            </w:r>
          </w:p>
        </w:tc>
        <w:tc>
          <w:tcPr>
            <w:tcW w:type="dxa" w:w="2400"/>
            <w:shd w:fill="1F3864"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FFFFFF"/>
                <w:sz w:val="19"/>
                <w:szCs w:val="19"/>
              </w:rPr>
              <w:t xml:space="preserve">Supporting evidence</w:t>
            </w:r>
          </w:p>
        </w:tc>
        <w:tc>
          <w:tcPr>
            <w:tcW w:type="dxa" w:w="1806"/>
            <w:shd w:fill="1F3864"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FFFFFF"/>
                <w:sz w:val="19"/>
                <w:szCs w:val="19"/>
              </w:rPr>
              <w:t xml:space="preserve">Assessment</w:t>
            </w:r>
          </w:p>
        </w:tc>
      </w:tr>
      <w:tr>
        <w:tc>
          <w:tcPr>
            <w:tcW w:type="dxa" w:w="52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000000"/>
                <w:sz w:val="19"/>
                <w:szCs w:val="19"/>
              </w:rPr>
              <w:t xml:space="preserve">1</w:t>
            </w:r>
          </w:p>
        </w:tc>
        <w:tc>
          <w:tcPr>
            <w:tcW w:type="dxa" w:w="43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Contamination ingress — mineral dust (silicate / carbonate) + packing-bag fibre entering product at open hopper / drum / packing stages, agglomerating with product into flakes</w:t>
            </w:r>
          </w:p>
        </w:tc>
        <w:tc>
          <w:tcPr>
            <w:tcW w:type="dxa" w:w="24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FTIR carbonate + silicate + O–H; fibres &amp; speck on filter; drum / lid / hopper dust</w:t>
            </w:r>
          </w:p>
        </w:tc>
        <w:tc>
          <w:tcPr>
            <w:tcW w:type="dxa" w:w="1806"/>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C00000"/>
                <w:sz w:val="19"/>
                <w:szCs w:val="19"/>
              </w:rPr>
              <w:t xml:space="preserve">Most probable</w:t>
            </w:r>
          </w:p>
        </w:tc>
      </w:tr>
      <w:tr>
        <w:tc>
          <w:tcPr>
            <w:tcW w:type="dxa" w:w="52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2</w:t>
            </w:r>
          </w:p>
        </w:tc>
        <w:tc>
          <w:tcPr>
            <w:tcW w:type="dxa" w:w="43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Surface skinning — oxidised skin from air exposure at drum headspace, hopper surface, dead-leg lines and nozzle tip flaking into the material</w:t>
            </w:r>
          </w:p>
        </w:tc>
        <w:tc>
          <w:tcPr>
            <w:tcW w:type="dxa" w:w="24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Flaky reddish-brown layered morphology; open surfaces observed</w:t>
            </w:r>
          </w:p>
        </w:tc>
        <w:tc>
          <w:tcPr>
            <w:tcW w:type="dxa" w:w="1806"/>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7F5F00"/>
                <w:sz w:val="19"/>
                <w:szCs w:val="19"/>
              </w:rPr>
              <w:t xml:space="preserve">Contributing</w:t>
            </w:r>
          </w:p>
        </w:tc>
      </w:tr>
      <w:tr>
        <w:tc>
          <w:tcPr>
            <w:tcW w:type="dxa" w:w="52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3</w:t>
            </w:r>
          </w:p>
        </w:tc>
        <w:tc>
          <w:tcPr>
            <w:tcW w:type="dxa" w:w="43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Pre-gelation — partial gelation from temperature / time excursion during processing, storage or transport (spec: mixing &lt; 35 °C)</w:t>
            </w:r>
          </w:p>
        </w:tc>
        <w:tc>
          <w:tcPr>
            <w:tcW w:type="dxa" w:w="24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Temperature-sensitive plastisol; ambient / transport heat</w:t>
            </w:r>
          </w:p>
        </w:tc>
        <w:tc>
          <w:tcPr>
            <w:tcW w:type="dxa" w:w="1806"/>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7F5F00"/>
                <w:sz w:val="19"/>
                <w:szCs w:val="19"/>
              </w:rPr>
              <w:t xml:space="preserve">To rule out</w:t>
            </w:r>
          </w:p>
        </w:tc>
      </w:tr>
      <w:tr>
        <w:tc>
          <w:tcPr>
            <w:tcW w:type="dxa" w:w="52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4</w:t>
            </w:r>
          </w:p>
        </w:tc>
        <w:tc>
          <w:tcPr>
            <w:tcW w:type="dxa" w:w="43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Filler / rheology-modifier agglomerates — poorly dispersed CaCO₃ or silicate lumps</w:t>
            </w:r>
          </w:p>
        </w:tc>
        <w:tc>
          <w:tcPr>
            <w:tcW w:type="dxa" w:w="24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Silicate band; dispersion / addition sequence under review</w:t>
            </w:r>
          </w:p>
        </w:tc>
        <w:tc>
          <w:tcPr>
            <w:tcW w:type="dxa" w:w="1806"/>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555555"/>
                <w:sz w:val="19"/>
                <w:szCs w:val="19"/>
              </w:rPr>
              <w:t xml:space="preserve">Secondary</w:t>
            </w:r>
          </w:p>
        </w:tc>
      </w:tr>
    </w:tbl>
    <w:p>
      <w:pPr>
        <w:spacing w:after="60"/>
      </w:pPr>
    </w:p>
    <w:p>
      <w:pPr>
        <w:spacing w:after="120" w:line="276"/>
      </w:pPr>
      <w:r>
        <w:rPr>
          <w:rFonts w:ascii="Calibri" w:cs="Calibri" w:eastAsia="Calibri" w:hAnsi="Calibri"/>
          <w:b/>
          <w:bCs/>
          <w:sz w:val="20"/>
          <w:szCs w:val="20"/>
        </w:rPr>
        <w:t xml:space="preserve">Overall indication: the concern is driven principally by contamination ingress and surface skinning at the supplier's open handling / packing stages — a containment and housekeeping issue — rather than a formulation defect. Pre-gelation should be positively ruled out via the confirmation tests before it is discounted.</w:t>
      </w:r>
    </w:p>
    <w:p>
      <w:pPr>
        <w:pStyle w:val="Heading1"/>
        <w:pBdr>
          <w:bottom w:val="single" w:color="2E5496" w:sz="8" w:space="4"/>
        </w:pBdr>
        <w:spacing w:after="140" w:before="280"/>
      </w:pPr>
      <w:r>
        <w:rPr>
          <w:rFonts w:ascii="Calibri" w:cs="Calibri" w:eastAsia="Calibri" w:hAnsi="Calibri"/>
          <w:b/>
          <w:bCs/>
          <w:color w:val="1F3864"/>
          <w:sz w:val="26"/>
          <w:szCs w:val="26"/>
        </w:rPr>
        <w:t xml:space="preserve">8.  Corrective &amp; Preventive Actions (CAPA)</w:t>
      </w:r>
    </w:p>
    <w:p>
      <w:pPr>
        <w:spacing w:after="120" w:line="276"/>
      </w:pPr>
      <w:r>
        <w:rPr>
          <w:rFonts w:ascii="Calibri" w:cs="Calibri" w:eastAsia="Calibri" w:hAnsi="Calibri"/>
          <w:sz w:val="20"/>
          <w:szCs w:val="20"/>
        </w:rPr>
        <w:t xml:space="preserve">The following actions were agreed. Responsibilities and target dates to be confirmed and tracked to closure.</w:t>
      </w:r>
    </w:p>
    <w:tbl>
      <w:tblPr>
        <w:tblW w:type="dxa" w:w="9026"/>
        <w:tblBorders>
          <w:top w:val="single" w:color="9BA6B8" w:sz="4"/>
          <w:left w:val="single" w:color="9BA6B8" w:sz="4"/>
          <w:bottom w:val="single" w:color="9BA6B8" w:sz="4"/>
          <w:right w:val="single" w:color="9BA6B8" w:sz="4"/>
          <w:insideH w:val="single" w:color="C9D1DE" w:sz="4"/>
          <w:insideV w:val="single" w:color="C9D1DE" w:sz="4"/>
        </w:tblBorders>
      </w:tblPr>
      <w:tblGrid>
        <w:gridCol w:w="430"/>
        <w:gridCol w:w="3650"/>
        <w:gridCol w:w="1650"/>
        <w:gridCol w:w="1500"/>
        <w:gridCol w:w="1796"/>
      </w:tblGrid>
      <w:tr>
        <w:trPr>
          <w:tblHeader/>
        </w:trPr>
        <w:tc>
          <w:tcPr>
            <w:tcW w:type="dxa" w:w="430"/>
            <w:shd w:fill="1F3864"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FFFFFF"/>
                <w:sz w:val="19"/>
                <w:szCs w:val="19"/>
              </w:rPr>
              <w:t xml:space="preserve">#</w:t>
            </w:r>
          </w:p>
        </w:tc>
        <w:tc>
          <w:tcPr>
            <w:tcW w:type="dxa" w:w="3650"/>
            <w:shd w:fill="1F3864"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FFFFFF"/>
                <w:sz w:val="19"/>
                <w:szCs w:val="19"/>
              </w:rPr>
              <w:t xml:space="preserve">Action</w:t>
            </w:r>
          </w:p>
        </w:tc>
        <w:tc>
          <w:tcPr>
            <w:tcW w:type="dxa" w:w="1650"/>
            <w:shd w:fill="1F3864"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FFFFFF"/>
                <w:sz w:val="19"/>
                <w:szCs w:val="19"/>
              </w:rPr>
              <w:t xml:space="preserve">Responsibility</w:t>
            </w:r>
          </w:p>
        </w:tc>
        <w:tc>
          <w:tcPr>
            <w:tcW w:type="dxa" w:w="1500"/>
            <w:shd w:fill="1F3864"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FFFFFF"/>
                <w:sz w:val="19"/>
                <w:szCs w:val="19"/>
              </w:rPr>
              <w:t xml:space="preserve">Target</w:t>
            </w:r>
          </w:p>
        </w:tc>
        <w:tc>
          <w:tcPr>
            <w:tcW w:type="dxa" w:w="1796"/>
            <w:shd w:fill="1F3864"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FFFFFF"/>
                <w:sz w:val="19"/>
                <w:szCs w:val="19"/>
              </w:rPr>
              <w:t xml:space="preserve">Status</w:t>
            </w:r>
          </w:p>
        </w:tc>
      </w:tr>
      <w:tr>
        <w:tc>
          <w:tcPr>
            <w:tcW w:type="dxa" w:w="43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1</w:t>
            </w:r>
          </w:p>
        </w:tc>
        <w:tc>
          <w:tcPr>
            <w:tcW w:type="dxa" w:w="365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Seal and clean the mixer hopper between batches; cover open transfer points to prevent airborne dust / fibre ingress</w:t>
            </w:r>
          </w:p>
        </w:tc>
        <w:tc>
          <w:tcPr>
            <w:tcW w:type="dxa" w:w="165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Supplier — Prod.</w:t>
            </w:r>
          </w:p>
        </w:tc>
        <w:tc>
          <w:tcPr>
            <w:tcW w:type="dxa" w:w="15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[date]</w:t>
            </w:r>
          </w:p>
        </w:tc>
        <w:tc>
          <w:tcPr>
            <w:tcW w:type="dxa" w:w="1796"/>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Open</w:t>
            </w:r>
          </w:p>
        </w:tc>
      </w:tr>
      <w:tr>
        <w:tc>
          <w:tcPr>
            <w:tcW w:type="dxa" w:w="43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2</w:t>
            </w:r>
          </w:p>
        </w:tc>
        <w:tc>
          <w:tcPr>
            <w:tcW w:type="dxa" w:w="365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De-dust drums and lids before filling; store empty drums covered; verify drum-interior cleanliness at filling</w:t>
            </w:r>
          </w:p>
        </w:tc>
        <w:tc>
          <w:tcPr>
            <w:tcW w:type="dxa" w:w="165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Supplier — Prod.</w:t>
            </w:r>
          </w:p>
        </w:tc>
        <w:tc>
          <w:tcPr>
            <w:tcW w:type="dxa" w:w="15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[date]</w:t>
            </w:r>
          </w:p>
        </w:tc>
        <w:tc>
          <w:tcPr>
            <w:tcW w:type="dxa" w:w="1796"/>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Open</w:t>
            </w:r>
          </w:p>
        </w:tc>
      </w:tr>
      <w:tr>
        <w:tc>
          <w:tcPr>
            <w:tcW w:type="dxa" w:w="43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3</w:t>
            </w:r>
          </w:p>
        </w:tc>
        <w:tc>
          <w:tcPr>
            <w:tcW w:type="dxa" w:w="365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Replace fibre-shedding packing / liner with a non-shedding liner; verify no fibre release</w:t>
            </w:r>
          </w:p>
        </w:tc>
        <w:tc>
          <w:tcPr>
            <w:tcW w:type="dxa" w:w="165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Supplier — QA</w:t>
            </w:r>
          </w:p>
        </w:tc>
        <w:tc>
          <w:tcPr>
            <w:tcW w:type="dxa" w:w="15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[date]</w:t>
            </w:r>
          </w:p>
        </w:tc>
        <w:tc>
          <w:tcPr>
            <w:tcW w:type="dxa" w:w="1796"/>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Open</w:t>
            </w:r>
          </w:p>
        </w:tc>
      </w:tr>
      <w:tr>
        <w:tc>
          <w:tcPr>
            <w:tcW w:type="dxa" w:w="43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4</w:t>
            </w:r>
          </w:p>
        </w:tc>
        <w:tc>
          <w:tcPr>
            <w:tcW w:type="dxa" w:w="365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Minimise drum headspace and eliminate dead-legs in transfer lines; control surface skinning (sealed lids / follower plate)</w:t>
            </w:r>
          </w:p>
        </w:tc>
        <w:tc>
          <w:tcPr>
            <w:tcW w:type="dxa" w:w="165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Supplier — PE</w:t>
            </w:r>
          </w:p>
        </w:tc>
        <w:tc>
          <w:tcPr>
            <w:tcW w:type="dxa" w:w="15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[date]</w:t>
            </w:r>
          </w:p>
        </w:tc>
        <w:tc>
          <w:tcPr>
            <w:tcW w:type="dxa" w:w="1796"/>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Open</w:t>
            </w:r>
          </w:p>
        </w:tc>
      </w:tr>
      <w:tr>
        <w:tc>
          <w:tcPr>
            <w:tcW w:type="dxa" w:w="43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5</w:t>
            </w:r>
          </w:p>
        </w:tc>
        <w:tc>
          <w:tcPr>
            <w:tcW w:type="dxa" w:w="365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Enforce mixing temperature &lt; 35 °C and control storage / transport temperature; FIFO on stock to limit ageing</w:t>
            </w:r>
          </w:p>
        </w:tc>
        <w:tc>
          <w:tcPr>
            <w:tcW w:type="dxa" w:w="165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Supplier — Prod.</w:t>
            </w:r>
          </w:p>
        </w:tc>
        <w:tc>
          <w:tcPr>
            <w:tcW w:type="dxa" w:w="15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[date]</w:t>
            </w:r>
          </w:p>
        </w:tc>
        <w:tc>
          <w:tcPr>
            <w:tcW w:type="dxa" w:w="1796"/>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Open</w:t>
            </w:r>
          </w:p>
        </w:tc>
      </w:tr>
      <w:tr>
        <w:tc>
          <w:tcPr>
            <w:tcW w:type="dxa" w:w="43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6</w:t>
            </w:r>
          </w:p>
        </w:tc>
        <w:tc>
          <w:tcPr>
            <w:tcW w:type="dxa" w:w="365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Confirm root cause: pairwise FTIR match index + difference spectrum; EDS/XRF and TGA/ash on choke flakes</w:t>
            </w:r>
          </w:p>
        </w:tc>
        <w:tc>
          <w:tcPr>
            <w:tcW w:type="dxa" w:w="165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Supplier QA + Customer</w:t>
            </w:r>
          </w:p>
        </w:tc>
        <w:tc>
          <w:tcPr>
            <w:tcW w:type="dxa" w:w="15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[date]</w:t>
            </w:r>
          </w:p>
        </w:tc>
        <w:tc>
          <w:tcPr>
            <w:tcW w:type="dxa" w:w="1796"/>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Open</w:t>
            </w:r>
          </w:p>
        </w:tc>
      </w:tr>
      <w:tr>
        <w:tc>
          <w:tcPr>
            <w:tcW w:type="dxa" w:w="43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7</w:t>
            </w:r>
          </w:p>
        </w:tc>
        <w:tc>
          <w:tcPr>
            <w:tcW w:type="dxa" w:w="365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Review filler / rheology-modifier dispersion &amp; addition sequence to prevent agglomerates</w:t>
            </w:r>
          </w:p>
        </w:tc>
        <w:tc>
          <w:tcPr>
            <w:tcW w:type="dxa" w:w="165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Supplier — PE</w:t>
            </w:r>
          </w:p>
        </w:tc>
        <w:tc>
          <w:tcPr>
            <w:tcW w:type="dxa" w:w="15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[date]</w:t>
            </w:r>
          </w:p>
        </w:tc>
        <w:tc>
          <w:tcPr>
            <w:tcW w:type="dxa" w:w="1796"/>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Open</w:t>
            </w:r>
          </w:p>
        </w:tc>
      </w:tr>
      <w:tr>
        <w:tc>
          <w:tcPr>
            <w:tcW w:type="dxa" w:w="43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8</w:t>
            </w:r>
          </w:p>
        </w:tc>
        <w:tc>
          <w:tcPr>
            <w:tcW w:type="dxa" w:w="365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Step final filtration finer than 60# and add point-of-use (last-chance) filter before the robot nozzle (80–100 mesh)</w:t>
            </w:r>
          </w:p>
        </w:tc>
        <w:tc>
          <w:tcPr>
            <w:tcW w:type="dxa" w:w="165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Supplier + Paint Shop</w:t>
            </w:r>
          </w:p>
        </w:tc>
        <w:tc>
          <w:tcPr>
            <w:tcW w:type="dxa" w:w="1500"/>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[date]</w:t>
            </w:r>
          </w:p>
        </w:tc>
        <w:tc>
          <w:tcPr>
            <w:tcW w:type="dxa" w:w="1796"/>
            <w:shd w:fill="F2F5FA"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Open</w:t>
            </w:r>
          </w:p>
        </w:tc>
      </w:tr>
      <w:tr>
        <w:tc>
          <w:tcPr>
            <w:tcW w:type="dxa" w:w="43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9</w:t>
            </w:r>
          </w:p>
        </w:tc>
        <w:tc>
          <w:tcPr>
            <w:tcW w:type="dxa" w:w="365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Introduce incoming / receiving filtration &amp; cleanliness check at paint shop; monitor filter-retained matter as a KPI</w:t>
            </w:r>
          </w:p>
        </w:tc>
        <w:tc>
          <w:tcPr>
            <w:tcW w:type="dxa" w:w="165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Customer — Paint Shop</w:t>
            </w:r>
          </w:p>
        </w:tc>
        <w:tc>
          <w:tcPr>
            <w:tcW w:type="dxa" w:w="1500"/>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[date]</w:t>
            </w:r>
          </w:p>
        </w:tc>
        <w:tc>
          <w:tcPr>
            <w:tcW w:type="dxa" w:w="1796"/>
            <w:shd w:fill="FFFFFF"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val="false"/>
                <w:bCs w:val="false"/>
                <w:color w:val="000000"/>
                <w:sz w:val="19"/>
                <w:szCs w:val="19"/>
              </w:rPr>
              <w:t xml:space="preserve">Open</w:t>
            </w:r>
          </w:p>
        </w:tc>
      </w:tr>
    </w:tbl>
    <w:p>
      <w:pPr>
        <w:pStyle w:val="Heading1"/>
        <w:pBdr>
          <w:bottom w:val="single" w:color="2E5496" w:sz="8" w:space="4"/>
        </w:pBdr>
        <w:spacing w:after="140" w:before="280"/>
      </w:pPr>
      <w:r>
        <w:rPr>
          <w:rFonts w:ascii="Calibri" w:cs="Calibri" w:eastAsia="Calibri" w:hAnsi="Calibri"/>
          <w:b/>
          <w:bCs/>
          <w:color w:val="1F3864"/>
          <w:sz w:val="26"/>
          <w:szCs w:val="26"/>
        </w:rPr>
        <w:t xml:space="preserve">9.  Conclusion</w:t>
      </w:r>
    </w:p>
    <w:p>
      <w:pPr>
        <w:spacing w:after="120" w:line="276"/>
      </w:pPr>
      <w:r>
        <w:rPr>
          <w:rFonts w:ascii="Calibri" w:cs="Calibri" w:eastAsia="Calibri" w:hAnsi="Calibri"/>
          <w:sz w:val="20"/>
          <w:szCs w:val="20"/>
        </w:rPr>
        <w:t xml:space="preserve">The recurring choking of the 1 mm robotic nozzles is attributed principally to contamination ingress (mineral dust and packing fibre) combined with surface skinning at the supplier's open hopper, drum and packing operations, forming reddish-brown flakes that pass coarse filtration and bridge the nozzle. FTIR supports a mineral-dust / fibre-laden fingerprint rather than a clean gelled-product fingerprint.</w:t>
      </w:r>
    </w:p>
    <w:p>
      <w:pPr>
        <w:spacing w:after="120" w:line="276"/>
      </w:pPr>
      <w:r>
        <w:rPr>
          <w:rFonts w:ascii="Calibri" w:cs="Calibri" w:eastAsia="Calibri" w:hAnsi="Calibri"/>
          <w:sz w:val="20"/>
          <w:szCs w:val="20"/>
        </w:rPr>
        <w:t xml:space="preserve">The corrective direction is therefore weighted towards containment, cleanliness and filtration control at the supplier end, supported by point-of-use filtration at the paint shop — not a reformulation. Pre-gelation from thermal history should be positively excluded through the recommended confirmation tests.</w:t>
      </w:r>
    </w:p>
    <w:p>
      <w:pPr>
        <w:pStyle w:val="Heading1"/>
        <w:pBdr>
          <w:bottom w:val="single" w:color="2E5496" w:sz="8" w:space="4"/>
        </w:pBdr>
        <w:spacing w:after="140" w:before="280"/>
      </w:pPr>
      <w:r>
        <w:rPr>
          <w:rFonts w:ascii="Calibri" w:cs="Calibri" w:eastAsia="Calibri" w:hAnsi="Calibri"/>
          <w:b/>
          <w:bCs/>
          <w:color w:val="1F3864"/>
          <w:sz w:val="26"/>
          <w:szCs w:val="26"/>
        </w:rPr>
        <w:t xml:space="preserve">10.  Next Steps &amp; Follow-up</w:t>
      </w:r>
    </w:p>
    <w:p>
      <w:pPr>
        <w:pStyle w:val="ListParagraph"/>
        <w:numPr>
          <w:ilvl w:val="0"/>
          <w:numId w:val="2"/>
        </w:numPr>
        <w:spacing w:after="80" w:line="264"/>
      </w:pPr>
      <w:r>
        <w:rPr>
          <w:rFonts w:ascii="Calibri" w:cs="Calibri" w:eastAsia="Calibri" w:hAnsi="Calibri"/>
          <w:sz w:val="20"/>
          <w:szCs w:val="20"/>
        </w:rPr>
        <w:t xml:space="preserve">Supplier to submit a formal 8D / CAPA with the confirmation analysis (pairwise FTIR match index + difference spectrum, EDS/XRF, TGA/ash) naming the exact source.</w:t>
      </w:r>
    </w:p>
    <w:p>
      <w:pPr>
        <w:pStyle w:val="ListParagraph"/>
        <w:numPr>
          <w:ilvl w:val="0"/>
          <w:numId w:val="2"/>
        </w:numPr>
        <w:spacing w:after="80" w:line="264"/>
      </w:pPr>
      <w:r>
        <w:rPr>
          <w:rFonts w:ascii="Calibri" w:cs="Calibri" w:eastAsia="Calibri" w:hAnsi="Calibri"/>
          <w:sz w:val="20"/>
          <w:szCs w:val="20"/>
        </w:rPr>
        <w:t xml:space="preserve">Agree target dates and owners for each CAPA item; track to closure with effectiveness verification.</w:t>
      </w:r>
    </w:p>
    <w:p>
      <w:pPr>
        <w:pStyle w:val="ListParagraph"/>
        <w:numPr>
          <w:ilvl w:val="0"/>
          <w:numId w:val="2"/>
        </w:numPr>
        <w:spacing w:after="80" w:line="264"/>
      </w:pPr>
      <w:r>
        <w:rPr>
          <w:rFonts w:ascii="Calibri" w:cs="Calibri" w:eastAsia="Calibri" w:hAnsi="Calibri"/>
          <w:sz w:val="20"/>
          <w:szCs w:val="20"/>
        </w:rPr>
        <w:t xml:space="preserve">Trial batch after containment actions; monitor nozzle-choking frequency and filter-retained matter at the paint shop as the effectiveness KPI.</w:t>
      </w:r>
    </w:p>
    <w:p>
      <w:pPr>
        <w:pStyle w:val="ListParagraph"/>
        <w:numPr>
          <w:ilvl w:val="0"/>
          <w:numId w:val="2"/>
        </w:numPr>
        <w:spacing w:after="80" w:line="264"/>
      </w:pPr>
      <w:r>
        <w:rPr>
          <w:rFonts w:ascii="Calibri" w:cs="Calibri" w:eastAsia="Calibri" w:hAnsi="Calibri"/>
          <w:sz w:val="20"/>
          <w:szCs w:val="20"/>
        </w:rPr>
        <w:t xml:space="preserve">Schedule a follow-up review / re-audit of the supplier's housekeeping and packing controls.</w:t>
      </w:r>
    </w:p>
    <w:p>
      <w:pPr>
        <w:spacing w:before="260"/>
      </w:pPr>
    </w:p>
    <w:p>
      <w:pPr>
        <w:pStyle w:val="Heading2"/>
        <w:spacing w:after="100" w:before="180"/>
      </w:pPr>
      <w:r>
        <w:rPr>
          <w:rFonts w:ascii="Calibri" w:cs="Calibri" w:eastAsia="Calibri" w:hAnsi="Calibri"/>
          <w:b/>
          <w:bCs/>
          <w:color w:val="2E5496"/>
          <w:sz w:val="22"/>
          <w:szCs w:val="22"/>
        </w:rPr>
        <w:t xml:space="preserve">Acknowledgement / Sign-off</w:t>
      </w:r>
    </w:p>
    <w:tbl>
      <w:tblPr>
        <w:tblW w:type="dxa" w:w="9026"/>
        <w:tblBorders>
          <w:top w:val="single" w:color="9BA6B8" w:sz="4"/>
          <w:left w:val="single" w:color="9BA6B8" w:sz="4"/>
          <w:bottom w:val="single" w:color="9BA6B8" w:sz="4"/>
          <w:right w:val="single" w:color="9BA6B8" w:sz="4"/>
          <w:insideH w:val="single" w:color="C9D1DE" w:sz="4"/>
          <w:insideV w:val="single" w:color="C9D1DE" w:sz="4"/>
        </w:tblBorders>
      </w:tblPr>
      <w:tblGrid>
        <w:gridCol w:w="3009"/>
        <w:gridCol w:w="3008"/>
        <w:gridCol w:w="3009"/>
      </w:tblGrid>
      <w:tr>
        <w:tc>
          <w:tcPr>
            <w:tcW w:type="dxa" w:w="3009"/>
            <w:shd w:fill="D6DCE5"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000000"/>
                <w:sz w:val="19"/>
                <w:szCs w:val="19"/>
              </w:rPr>
              <w:t xml:space="preserve">Prepared by (Visit Team)</w:t>
            </w:r>
          </w:p>
        </w:tc>
        <w:tc>
          <w:tcPr>
            <w:tcW w:type="dxa" w:w="3008"/>
            <w:shd w:fill="D6DCE5"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000000"/>
                <w:sz w:val="19"/>
                <w:szCs w:val="19"/>
              </w:rPr>
              <w:t xml:space="preserve">Reviewed by (Customer Quality)</w:t>
            </w:r>
          </w:p>
        </w:tc>
        <w:tc>
          <w:tcPr>
            <w:tcW w:type="dxa" w:w="3009"/>
            <w:shd w:fill="D6DCE5" w:color="auto" w:val="clear"/>
            <w:tcMar>
              <w:top w:type="dxa" w:w="60"/>
              <w:left w:type="dxa" w:w="90"/>
              <w:bottom w:type="dxa" w:w="60"/>
              <w:right w:type="dxa" w:w="90"/>
            </w:tcMar>
            <w:vAlign w:val="center"/>
          </w:tcPr>
          <w:p>
            <w:pPr>
              <w:spacing w:after="0" w:before="0" w:line="252"/>
              <w:jc w:val="left"/>
            </w:pPr>
            <w:r>
              <w:rPr>
                <w:rFonts w:ascii="Calibri" w:cs="Calibri" w:eastAsia="Calibri" w:hAnsi="Calibri"/>
                <w:b/>
                <w:bCs/>
                <w:color w:val="000000"/>
                <w:sz w:val="19"/>
                <w:szCs w:val="19"/>
              </w:rPr>
              <w:t xml:space="preserve">Acknowledged by (Supplier)</w:t>
            </w:r>
          </w:p>
        </w:tc>
      </w:tr>
      <w:tr>
        <w:tc>
          <w:tcPr>
            <w:tcW w:type="dxa" w:w="3009"/>
            <w:tcMar>
              <w:top w:type="dxa" w:w="60"/>
              <w:left w:type="dxa" w:w="90"/>
              <w:bottom w:type="dxa" w:w="60"/>
              <w:right w:type="dxa" w:w="90"/>
            </w:tcMar>
            <w:vAlign w:val="top"/>
          </w:tcPr>
          <w:p>
            <w:pPr>
              <w:spacing w:before="380"/>
            </w:pPr>
            <w:r>
              <w:rPr>
                <w:rFonts w:ascii="Calibri" w:cs="Calibri" w:eastAsia="Calibri" w:hAnsi="Calibri"/>
                <w:sz w:val="20"/>
                <w:szCs w:val="20"/>
              </w:rPr>
              <w:t xml:space="preserve"/>
            </w:r>
          </w:p>
          <w:p>
            <w:r>
              <w:rPr>
                <w:rFonts w:ascii="Calibri" w:cs="Calibri" w:eastAsia="Calibri" w:hAnsi="Calibri"/>
                <w:sz w:val="18"/>
                <w:szCs w:val="18"/>
              </w:rPr>
              <w:t xml:space="preserve">Name: ______________________</w:t>
            </w:r>
          </w:p>
          <w:p>
            <w:r>
              <w:rPr>
                <w:rFonts w:ascii="Calibri" w:cs="Calibri" w:eastAsia="Calibri" w:hAnsi="Calibri"/>
                <w:sz w:val="18"/>
                <w:szCs w:val="18"/>
              </w:rPr>
              <w:t xml:space="preserve">Designation: ________________</w:t>
            </w:r>
          </w:p>
          <w:p>
            <w:r>
              <w:rPr>
                <w:rFonts w:ascii="Calibri" w:cs="Calibri" w:eastAsia="Calibri" w:hAnsi="Calibri"/>
                <w:sz w:val="18"/>
                <w:szCs w:val="18"/>
              </w:rPr>
              <w:t xml:space="preserve">Signature / Date: ___________</w:t>
            </w:r>
          </w:p>
        </w:tc>
        <w:tc>
          <w:tcPr>
            <w:tcW w:type="dxa" w:w="3008"/>
            <w:tcMar>
              <w:top w:type="dxa" w:w="60"/>
              <w:left w:type="dxa" w:w="90"/>
              <w:bottom w:type="dxa" w:w="60"/>
              <w:right w:type="dxa" w:w="90"/>
            </w:tcMar>
            <w:vAlign w:val="top"/>
          </w:tcPr>
          <w:p>
            <w:pPr>
              <w:spacing w:before="380"/>
            </w:pPr>
            <w:r>
              <w:rPr>
                <w:rFonts w:ascii="Calibri" w:cs="Calibri" w:eastAsia="Calibri" w:hAnsi="Calibri"/>
                <w:sz w:val="20"/>
                <w:szCs w:val="20"/>
              </w:rPr>
              <w:t xml:space="preserve"/>
            </w:r>
          </w:p>
          <w:p>
            <w:r>
              <w:rPr>
                <w:rFonts w:ascii="Calibri" w:cs="Calibri" w:eastAsia="Calibri" w:hAnsi="Calibri"/>
                <w:sz w:val="18"/>
                <w:szCs w:val="18"/>
              </w:rPr>
              <w:t xml:space="preserve">Name: ______________________</w:t>
            </w:r>
          </w:p>
          <w:p>
            <w:r>
              <w:rPr>
                <w:rFonts w:ascii="Calibri" w:cs="Calibri" w:eastAsia="Calibri" w:hAnsi="Calibri"/>
                <w:sz w:val="18"/>
                <w:szCs w:val="18"/>
              </w:rPr>
              <w:t xml:space="preserve">Designation: ________________</w:t>
            </w:r>
          </w:p>
          <w:p>
            <w:r>
              <w:rPr>
                <w:rFonts w:ascii="Calibri" w:cs="Calibri" w:eastAsia="Calibri" w:hAnsi="Calibri"/>
                <w:sz w:val="18"/>
                <w:szCs w:val="18"/>
              </w:rPr>
              <w:t xml:space="preserve">Signature / Date: ___________</w:t>
            </w:r>
          </w:p>
        </w:tc>
        <w:tc>
          <w:tcPr>
            <w:tcW w:type="dxa" w:w="3009"/>
            <w:tcMar>
              <w:top w:type="dxa" w:w="60"/>
              <w:left w:type="dxa" w:w="90"/>
              <w:bottom w:type="dxa" w:w="60"/>
              <w:right w:type="dxa" w:w="90"/>
            </w:tcMar>
            <w:vAlign w:val="top"/>
          </w:tcPr>
          <w:p>
            <w:pPr>
              <w:spacing w:before="380"/>
            </w:pPr>
            <w:r>
              <w:rPr>
                <w:rFonts w:ascii="Calibri" w:cs="Calibri" w:eastAsia="Calibri" w:hAnsi="Calibri"/>
                <w:sz w:val="20"/>
                <w:szCs w:val="20"/>
              </w:rPr>
              <w:t xml:space="preserve"/>
            </w:r>
          </w:p>
          <w:p>
            <w:r>
              <w:rPr>
                <w:rFonts w:ascii="Calibri" w:cs="Calibri" w:eastAsia="Calibri" w:hAnsi="Calibri"/>
                <w:sz w:val="18"/>
                <w:szCs w:val="18"/>
              </w:rPr>
              <w:t xml:space="preserve">Name: ______________________</w:t>
            </w:r>
          </w:p>
          <w:p>
            <w:r>
              <w:rPr>
                <w:rFonts w:ascii="Calibri" w:cs="Calibri" w:eastAsia="Calibri" w:hAnsi="Calibri"/>
                <w:sz w:val="18"/>
                <w:szCs w:val="18"/>
              </w:rPr>
              <w:t xml:space="preserve">Designation: ________________</w:t>
            </w:r>
          </w:p>
          <w:p>
            <w:r>
              <w:rPr>
                <w:rFonts w:ascii="Calibri" w:cs="Calibri" w:eastAsia="Calibri" w:hAnsi="Calibri"/>
                <w:sz w:val="18"/>
                <w:szCs w:val="18"/>
              </w:rPr>
              <w:t xml:space="preserve">Signature / Date: ___________</w:t>
            </w:r>
          </w:p>
        </w:tc>
      </w:tr>
    </w:tbl>
    <w:p>
      <w:pPr>
        <w:spacing w:before="300"/>
      </w:pPr>
    </w:p>
    <w:p>
      <w:pPr>
        <w:spacing w:after="120" w:line="276"/>
      </w:pPr>
      <w:r>
        <w:rPr>
          <w:rFonts w:ascii="Calibri" w:cs="Calibri" w:eastAsia="Calibri" w:hAnsi="Calibri"/>
          <w:i/>
          <w:iCs/>
          <w:color w:val="888888"/>
          <w:sz w:val="17"/>
          <w:szCs w:val="17"/>
        </w:rPr>
        <w:t xml:space="preserve">Prepared from shop-floor observations and FTIR overlay data reviewed during the supplier visit. Bracketed [ ] fields are to be completed with visit-specific details. FTIR band interpretations reflect the visible overlay; the pairwise match index / difference spectrum and complementary EDS-XRF / TGA results are required to confirm the exact contamination source.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1DE" w:sz="4" w:space="2"/>
      </w:pBdr>
      <w:jc w:val="center"/>
    </w:pPr>
    <w:r>
      <w:rPr>
        <w:rFonts w:ascii="Calibri" w:cs="Calibri" w:eastAsia="Calibri" w:hAnsi="Calibri"/>
        <w:color w:val="888888"/>
        <w:sz w:val="16"/>
        <w:szCs w:val="16"/>
      </w:rPr>
      <w:t xml:space="preserve">Confidential  •  Page </w:t>
    </w:r>
    <w:r>
      <w:rPr>
        <w:rFonts w:ascii="Calibri" w:cs="Calibri" w:eastAsia="Calibri" w:hAnsi="Calibri"/>
        <w:color w:val="888888"/>
        <w:sz w:val="16"/>
        <w:szCs w:val="16"/>
      </w:rPr>
      <w:fldChar w:fldCharType="begin"/>
      <w:instrText xml:space="preserve">PAGE</w:instrText>
      <w:fldChar w:fldCharType="separate"/>
      <w:fldChar w:fldCharType="end"/>
    </w:r>
    <w:r>
      <w:rPr>
        <w:rFonts w:ascii="Calibri" w:cs="Calibri" w:eastAsia="Calibri" w:hAnsi="Calibri"/>
        <w:color w:val="888888"/>
        <w:sz w:val="16"/>
        <w:szCs w:val="16"/>
      </w:rPr>
      <w:t xml:space="preserve"> of </w:t>
    </w:r>
    <w:r>
      <w:rPr>
        <w:rFonts w:ascii="Calibri" w:cs="Calibri" w:eastAsia="Calibri" w:hAnsi="Calibri"/>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E" w:sz="4" w:space="2"/>
      </w:pBdr>
      <w:jc w:val="right"/>
    </w:pPr>
    <w:r>
      <w:rPr>
        <w:rFonts w:ascii="Calibri" w:cs="Calibri" w:eastAsia="Calibri" w:hAnsi="Calibri"/>
        <w:color w:val="888888"/>
        <w:sz w:val="16"/>
        <w:szCs w:val="16"/>
      </w:rPr>
      <w:t xml:space="preserve">Supplier Visit Report — PVC Sealer Nozzle Choking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2E549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3864"/>
      <w:sz w:val="26"/>
      <w:szCs w:val="26"/>
    </w:rPr>
  </w:style>
  <w:style w:type="paragraph" w:styleId="Heading2">
    <w:name w:val="Heading 2"/>
    <w:basedOn w:val="Normal"/>
    <w:next w:val="Normal"/>
    <w:qFormat/>
    <w:rPr>
      <w:rFonts w:ascii="Calibri" w:cs="Calibri" w:eastAsia="Calibri" w:hAnsi="Calibri"/>
      <w:b/>
      <w:bCs/>
      <w:color w:val="2E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Supplier Visit Report — PVC Sealer Nozzle Choking</dc:title>
  <dc:creator>Supplier Quality</dc:creator>
  <dc:description>Supplier visit and root-cause investigation report</dc:description>
  <cp:lastModifiedBy>Un-named</cp:lastModifiedBy>
  <cp:revision>1</cp:revision>
  <dcterms:created xsi:type="dcterms:W3CDTF">2026-07-27T13:58:51.092Z</dcterms:created>
  <dcterms:modified xsi:type="dcterms:W3CDTF">2026-07-27T13:58:51.093Z</dcterms:modified>
</cp:coreProperties>
</file>

<file path=docProps/custom.xml><?xml version="1.0" encoding="utf-8"?>
<Properties xmlns="http://schemas.openxmlformats.org/officeDocument/2006/custom-properties" xmlns:vt="http://schemas.openxmlformats.org/officeDocument/2006/docPropsVTypes"/>
</file>