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00"/>
      </w:pP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3864"/>
          <w:sz w:val="52"/>
          <w:szCs w:val="52"/>
        </w:rPr>
        <w:t xml:space="preserve">SUPPLIER VISIT REPORT</w:t>
      </w:r>
    </w:p>
    <w:p>
      <w:pPr>
        <w:pBdr>
          <w:bottom w:val="single" w:color="2E5496" w:sz="12" w:space="8"/>
        </w:pBdr>
        <w:spacing w:after="40"/>
        <w:jc w:val="center"/>
      </w:pPr>
      <w:r>
        <w:rPr>
          <w:rFonts w:ascii="Calibri" w:cs="Calibri" w:eastAsia="Calibri" w:hAnsi="Calibri"/>
          <w:i/>
          <w:iCs/>
          <w:color w:val="2E5496"/>
          <w:sz w:val="28"/>
          <w:szCs w:val="28"/>
        </w:rPr>
        <w:t xml:space="preserve">Investigation of PVC Sealer Nozzle Choking &amp; Filter Contamination</w:t>
      </w:r>
    </w:p>
    <w:p>
      <w:pPr>
        <w:spacing w:after="40" w:before="260"/>
        <w:jc w:val="center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Supplier: Kansai Nerolac Paints Ltd</w:t>
      </w:r>
    </w:p>
    <w:p>
      <w:pPr>
        <w:spacing w:after="40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Product: PVC Sole Sealer / PVC Seam Sealer &amp; PVC UBB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555555"/>
          <w:sz w:val="22"/>
          <w:szCs w:val="22"/>
        </w:rPr>
        <w:t xml:space="preserve">Process Flow No. PFC/PNT/16</w:t>
      </w:r>
    </w:p>
    <w:p>
      <w:pPr>
        <w:spacing w:before="500"/>
        <w:jc w:val="center"/>
      </w:pPr>
      <w:r>
        <w:rPr>
          <w:rFonts w:ascii="Calibri" w:cs="Calibri" w:eastAsia="Calibri" w:hAnsi="Calibri"/>
          <w:i/>
          <w:iCs/>
          <w:color w:val="888888"/>
          <w:sz w:val="18"/>
          <w:szCs w:val="18"/>
        </w:rPr>
        <w:t xml:space="preserve">Confidential — For Internal Quality Use</w:t>
      </w:r>
    </w:p>
    <w:p>
      <w:r>
        <w:br w:type="page"/>
      </w:r>
    </w:p>
    <w:p>
      <w:pPr>
        <w:pStyle w:val="Heading1"/>
        <w:pBdr>
          <w:bottom w:val="single" w:color="2E5496" w:sz="8" w:space="4"/>
        </w:pBdr>
        <w:spacing w:after="140" w:before="28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Document Control</w:t>
      </w:r>
    </w:p>
    <w:tbl>
      <w:tblPr>
        <w:tblW w:type="dxa" w:w="9026"/>
        <w:tblBorders>
          <w:top w:val="single" w:color="9BA6B8" w:sz="4"/>
          <w:left w:val="single" w:color="9BA6B8" w:sz="4"/>
          <w:bottom w:val="single" w:color="9BA6B8" w:sz="4"/>
          <w:right w:val="single" w:color="9BA6B8" w:sz="4"/>
          <w:insideH w:val="single" w:color="C9D1DE" w:sz="4"/>
          <w:insideV w:val="single" w:color="C9D1DE" w:sz="4"/>
        </w:tblBorders>
      </w:tblPr>
      <w:tblGrid>
        <w:gridCol w:w="2600"/>
        <w:gridCol w:w="6426"/>
      </w:tblGrid>
      <w:tr>
        <w:tc>
          <w:tcPr>
            <w:tcW w:type="dxa" w:w="2600"/>
            <w:shd w:fill="D6DCE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Report No.</w:t>
            </w:r>
          </w:p>
        </w:tc>
        <w:tc>
          <w:tcPr>
            <w:tcW w:type="dxa" w:w="642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SVR / PVC-SEALER / 2026-07 — [confirm reference]</w:t>
            </w:r>
          </w:p>
        </w:tc>
      </w:tr>
      <w:tr>
        <w:tc>
          <w:tcPr>
            <w:tcW w:type="dxa" w:w="2600"/>
            <w:shd w:fill="D6DCE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Report Date</w:t>
            </w:r>
          </w:p>
        </w:tc>
        <w:tc>
          <w:tcPr>
            <w:tcW w:type="dxa" w:w="6426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27 July 2026</w:t>
            </w:r>
          </w:p>
        </w:tc>
      </w:tr>
      <w:tr>
        <w:tc>
          <w:tcPr>
            <w:tcW w:type="dxa" w:w="2600"/>
            <w:shd w:fill="D6DCE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Date of Visit</w:t>
            </w:r>
          </w:p>
        </w:tc>
        <w:tc>
          <w:tcPr>
            <w:tcW w:type="dxa" w:w="642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[to be filled]</w:t>
            </w:r>
          </w:p>
        </w:tc>
      </w:tr>
      <w:tr>
        <w:tc>
          <w:tcPr>
            <w:tcW w:type="dxa" w:w="2600"/>
            <w:shd w:fill="D6DCE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Supplier / Vendor</w:t>
            </w:r>
          </w:p>
        </w:tc>
        <w:tc>
          <w:tcPr>
            <w:tcW w:type="dxa" w:w="6426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Kansai Nerolac Paints Ltd — [plant / location]</w:t>
            </w:r>
          </w:p>
        </w:tc>
      </w:tr>
      <w:tr>
        <w:tc>
          <w:tcPr>
            <w:tcW w:type="dxa" w:w="2600"/>
            <w:shd w:fill="D6DCE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Product</w:t>
            </w:r>
          </w:p>
        </w:tc>
        <w:tc>
          <w:tcPr>
            <w:tcW w:type="dxa" w:w="642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PVC Sole Sealer, PVC Seam Sealer &amp; PVC UBB (Process Flow No. PFC/PNT/16)</w:t>
            </w:r>
          </w:p>
        </w:tc>
      </w:tr>
      <w:tr>
        <w:tc>
          <w:tcPr>
            <w:tcW w:type="dxa" w:w="2600"/>
            <w:shd w:fill="D6DCE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Application</w:t>
            </w:r>
          </w:p>
        </w:tc>
        <w:tc>
          <w:tcPr>
            <w:tcW w:type="dxa" w:w="6426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Automotive body sealing in paint shop — robotic applicators (1 mm nozzle) + manual guns</w:t>
            </w:r>
          </w:p>
        </w:tc>
      </w:tr>
      <w:tr>
        <w:tc>
          <w:tcPr>
            <w:tcW w:type="dxa" w:w="2600"/>
            <w:shd w:fill="D6DCE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Subject / Concern</w:t>
            </w:r>
          </w:p>
        </w:tc>
        <w:tc>
          <w:tcPr>
            <w:tcW w:type="dxa" w:w="642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Recurring choking of 1 mm robotic applicator nozzles; contaminant flakes retained on filters</w:t>
            </w:r>
          </w:p>
        </w:tc>
      </w:tr>
      <w:tr>
        <w:tc>
          <w:tcPr>
            <w:tcW w:type="dxa" w:w="2600"/>
            <w:shd w:fill="D6DCE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Visit Team</w:t>
            </w:r>
          </w:p>
        </w:tc>
        <w:tc>
          <w:tcPr>
            <w:tcW w:type="dxa" w:w="6426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[names / functions — Customer Quality, SQA, Process Engineering]</w:t>
            </w:r>
          </w:p>
        </w:tc>
      </w:tr>
      <w:tr>
        <w:tc>
          <w:tcPr>
            <w:tcW w:type="dxa" w:w="2600"/>
            <w:shd w:fill="D6DCE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Supplier Representatives</w:t>
            </w:r>
          </w:p>
        </w:tc>
        <w:tc>
          <w:tcPr>
            <w:tcW w:type="dxa" w:w="642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[names / functions — Production, QA/QC, PE]</w:t>
            </w:r>
          </w:p>
        </w:tc>
      </w:tr>
      <w:tr>
        <w:tc>
          <w:tcPr>
            <w:tcW w:type="dxa" w:w="2600"/>
            <w:shd w:fill="D6DCE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Prepared By</w:t>
            </w:r>
          </w:p>
        </w:tc>
        <w:tc>
          <w:tcPr>
            <w:tcW w:type="dxa" w:w="6426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[name / designation]</w:t>
            </w:r>
          </w:p>
        </w:tc>
      </w:tr>
      <w:tr>
        <w:tc>
          <w:tcPr>
            <w:tcW w:type="dxa" w:w="2600"/>
            <w:shd w:fill="D6DCE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Distribution</w:t>
            </w:r>
          </w:p>
        </w:tc>
        <w:tc>
          <w:tcPr>
            <w:tcW w:type="dxa" w:w="642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Customer Quality • SQA • Paint Shop • Supplier QA</w:t>
            </w:r>
          </w:p>
        </w:tc>
      </w:tr>
    </w:tbl>
    <w:p>
      <w:pPr>
        <w:spacing w:after="120"/>
      </w:pPr>
    </w:p>
    <w:p>
      <w:pPr>
        <w:pStyle w:val="Heading1"/>
        <w:pBdr>
          <w:bottom w:val="single" w:color="2E5496" w:sz="8" w:space="4"/>
        </w:pBdr>
        <w:spacing w:after="140" w:before="28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1.  Purpose &amp; Scope</w:t>
      </w:r>
    </w:p>
    <w:p>
      <w:pPr>
        <w:spacing w:after="120" w:line="276"/>
      </w:pPr>
      <w:r>
        <w:rPr>
          <w:rFonts w:ascii="Calibri" w:cs="Calibri" w:eastAsia="Calibri" w:hAnsi="Calibri"/>
          <w:sz w:val="20"/>
          <w:szCs w:val="20"/>
        </w:rPr>
        <w:t xml:space="preserve">Establishes the root cause of recurring 1 mm robotic nozzle choking during paint-shop sealer application and agrees corrective actions with the supplier, Kansai Nerolac Paints Ltd. Scope: process review (raw material to dispatch), shop-floor observation, sampling across operations, and FTIR of the choke material versus source samples.</w:t>
      </w:r>
    </w:p>
    <w:p>
      <w:pPr>
        <w:pStyle w:val="Heading1"/>
        <w:pBdr>
          <w:bottom w:val="single" w:color="2E5496" w:sz="8" w:space="4"/>
        </w:pBdr>
        <w:spacing w:after="140" w:before="28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2.  Background &amp; Problem Statement</w:t>
      </w:r>
    </w:p>
    <w:p>
      <w:pPr>
        <w:spacing w:after="120" w:line="276"/>
      </w:pPr>
      <w:r>
        <w:rPr>
          <w:rFonts w:ascii="Calibri" w:cs="Calibri" w:eastAsia="Calibri" w:hAnsi="Calibri"/>
          <w:sz w:val="20"/>
          <w:szCs w:val="20"/>
        </w:rPr>
        <w:t xml:space="preserve">Drum-supplied PVC sealer is applied to vehicle bodies via 1 mm robotic nozzles and manual guns. The nozzles choke intermittently and the filters retain reddish-brown, thin, layered flakes — some with embedded fibres and a foreign speck. Impact: line stoppages, nozzle cleaning, higher filter-change frequency and seal-quality risk.</w:t>
      </w:r>
    </w:p>
    <w:p>
      <w:pPr>
        <w:pStyle w:val="Heading2"/>
        <w:spacing w:after="100" w:before="180"/>
      </w:pPr>
      <w:r>
        <w:rPr>
          <w:rFonts w:ascii="Calibri" w:cs="Calibri" w:eastAsia="Calibri" w:hAnsi="Calibri"/>
          <w:b/>
          <w:bCs/>
          <w:color w:val="2E5496"/>
          <w:sz w:val="22"/>
          <w:szCs w:val="22"/>
        </w:rPr>
        <w:t xml:space="preserve">Physical evidence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  <w:sz w:val="20"/>
          <w:szCs w:val="20"/>
        </w:rPr>
        <w:t xml:space="preserve">Reddish-brown, flaky / skin-like — distinct from the bulk sealer colour.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  <w:sz w:val="20"/>
          <w:szCs w:val="20"/>
        </w:rPr>
        <w:t xml:space="preserve">Thin and layered — passes a coarse mesh edge-on, then bridges the 1 mm orifice.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  <w:sz w:val="20"/>
          <w:szCs w:val="20"/>
        </w:rPr>
        <w:t xml:space="preserve">Embedded fibres and a foreign speck on the filter — external matter, not sealer alone.</w:t>
      </w:r>
    </w:p>
    <w:p>
      <w:pPr>
        <w:pStyle w:val="Heading1"/>
        <w:pBdr>
          <w:bottom w:val="single" w:color="2E5496" w:sz="8" w:space="4"/>
        </w:pBdr>
        <w:spacing w:after="140" w:before="28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3.  Product &amp; Process Overview</w:t>
      </w:r>
    </w:p>
    <w:p>
      <w:pPr>
        <w:spacing w:after="120" w:line="276"/>
      </w:pPr>
      <w:r>
        <w:rPr>
          <w:rFonts w:ascii="Calibri" w:cs="Calibri" w:eastAsia="Calibri" w:hAnsi="Calibri"/>
          <w:sz w:val="20"/>
          <w:szCs w:val="20"/>
        </w:rPr>
        <w:t xml:space="preserve">The sealer is a PVC plastisol (paste resin, plasticizer, CaCO₃ filler, rheology modifier, additives). Process PFC/PNT/16 runs from RM receipt through mixing, maturation, vacuuming, viscosity correction, filtration (60# mesh), filling, testing and dispatch. Key stages:</w:t>
      </w:r>
    </w:p>
    <w:tbl>
      <w:tblPr>
        <w:tblW w:type="dxa" w:w="9026"/>
        <w:tblBorders>
          <w:top w:val="single" w:color="9BA6B8" w:sz="4"/>
          <w:left w:val="single" w:color="9BA6B8" w:sz="4"/>
          <w:bottom w:val="single" w:color="9BA6B8" w:sz="4"/>
          <w:right w:val="single" w:color="9BA6B8" w:sz="4"/>
          <w:insideH w:val="single" w:color="C9D1DE" w:sz="4"/>
          <w:insideV w:val="single" w:color="C9D1DE" w:sz="4"/>
        </w:tblBorders>
      </w:tblPr>
      <w:tblGrid>
        <w:gridCol w:w="1100"/>
        <w:gridCol w:w="2650"/>
        <w:gridCol w:w="3376"/>
        <w:gridCol w:w="1900"/>
      </w:tblGrid>
      <w:tr>
        <w:trPr>
          <w:tblHeader/>
        </w:trPr>
        <w:tc>
          <w:tcPr>
            <w:tcW w:type="dxa" w:w="11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Op. No.</w:t>
            </w:r>
          </w:p>
        </w:tc>
        <w:tc>
          <w:tcPr>
            <w:tcW w:type="dxa" w:w="265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Machine / Facility</w:t>
            </w:r>
          </w:p>
        </w:tc>
        <w:tc>
          <w:tcPr>
            <w:tcW w:type="dxa" w:w="3376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Process Description</w:t>
            </w:r>
          </w:p>
        </w:tc>
        <w:tc>
          <w:tcPr>
            <w:tcW w:type="dxa" w:w="19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Key Parameter</w:t>
            </w:r>
          </w:p>
        </w:tc>
      </w:tr>
      <w:tr>
        <w:tc>
          <w:tcPr>
            <w:tcW w:type="dxa" w:w="11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10</w:t>
            </w:r>
          </w:p>
        </w:tc>
        <w:tc>
          <w:tcPr>
            <w:tcW w:type="dxa" w:w="26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Brookfield Viscometer, Oven &amp; Balance</w:t>
            </w:r>
          </w:p>
        </w:tc>
        <w:tc>
          <w:tcPr>
            <w:tcW w:type="dxa" w:w="337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Received Inspection of incoming raw material</w:t>
            </w:r>
          </w:p>
        </w:tc>
        <w:tc>
          <w:tcPr>
            <w:tcW w:type="dxa" w:w="19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Per RM control plan</w:t>
            </w:r>
          </w:p>
        </w:tc>
      </w:tr>
      <w:tr>
        <w:tc>
          <w:tcPr>
            <w:tcW w:type="dxa" w:w="110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20</w:t>
            </w:r>
          </w:p>
        </w:tc>
        <w:tc>
          <w:tcPr>
            <w:tcW w:type="dxa" w:w="265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Weighing Balance</w:t>
            </w:r>
          </w:p>
        </w:tc>
        <w:tc>
          <w:tcPr>
            <w:tcW w:type="dxa" w:w="3376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Prebatching &amp; issue of raw material</w:t>
            </w:r>
          </w:p>
        </w:tc>
        <w:tc>
          <w:tcPr>
            <w:tcW w:type="dxa" w:w="190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Per RM requisition</w:t>
            </w:r>
          </w:p>
        </w:tc>
      </w:tr>
      <w:tr>
        <w:tc>
          <w:tcPr>
            <w:tcW w:type="dxa" w:w="11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30</w:t>
            </w:r>
          </w:p>
        </w:tc>
        <w:tc>
          <w:tcPr>
            <w:tcW w:type="dxa" w:w="26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Fork Lift</w:t>
            </w:r>
          </w:p>
        </w:tc>
        <w:tc>
          <w:tcPr>
            <w:tcW w:type="dxa" w:w="337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Move to production line</w:t>
            </w:r>
          </w:p>
        </w:tc>
        <w:tc>
          <w:tcPr>
            <w:tcW w:type="dxa" w:w="19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Per work instruction</w:t>
            </w:r>
          </w:p>
        </w:tc>
      </w:tr>
      <w:tr>
        <w:tc>
          <w:tcPr>
            <w:tcW w:type="dxa" w:w="110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50</w:t>
            </w:r>
          </w:p>
        </w:tc>
        <w:tc>
          <w:tcPr>
            <w:tcW w:type="dxa" w:w="265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Twin Shaft Mixer (TSM)</w:t>
            </w:r>
          </w:p>
        </w:tc>
        <w:tc>
          <w:tcPr>
            <w:tcW w:type="dxa" w:w="3376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Mixing</w:t>
            </w:r>
          </w:p>
        </w:tc>
        <w:tc>
          <w:tcPr>
            <w:tcW w:type="dxa" w:w="190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Temp &lt; 35 °C; RPM/HSD per PIV</w:t>
            </w:r>
          </w:p>
        </w:tc>
      </w:tr>
      <w:tr>
        <w:tc>
          <w:tcPr>
            <w:tcW w:type="dxa" w:w="11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60</w:t>
            </w:r>
          </w:p>
        </w:tc>
        <w:tc>
          <w:tcPr>
            <w:tcW w:type="dxa" w:w="26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TSM</w:t>
            </w:r>
          </w:p>
        </w:tc>
        <w:tc>
          <w:tcPr>
            <w:tcW w:type="dxa" w:w="337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Ageing / Maturation</w:t>
            </w:r>
          </w:p>
        </w:tc>
        <w:tc>
          <w:tcPr>
            <w:tcW w:type="dxa" w:w="19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Maturation 8 hrs</w:t>
            </w:r>
          </w:p>
        </w:tc>
      </w:tr>
      <w:tr>
        <w:tc>
          <w:tcPr>
            <w:tcW w:type="dxa" w:w="110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70</w:t>
            </w:r>
          </w:p>
        </w:tc>
        <w:tc>
          <w:tcPr>
            <w:tcW w:type="dxa" w:w="265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Brookfield Viscometer</w:t>
            </w:r>
          </w:p>
        </w:tc>
        <w:tc>
          <w:tcPr>
            <w:tcW w:type="dxa" w:w="3376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Inspection &amp; correction</w:t>
            </w:r>
          </w:p>
        </w:tc>
        <w:tc>
          <w:tcPr>
            <w:tcW w:type="dxa" w:w="190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Viscosity to spec</w:t>
            </w:r>
          </w:p>
        </w:tc>
      </w:tr>
      <w:tr>
        <w:tc>
          <w:tcPr>
            <w:tcW w:type="dxa" w:w="11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80</w:t>
            </w:r>
          </w:p>
        </w:tc>
        <w:tc>
          <w:tcPr>
            <w:tcW w:type="dxa" w:w="26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TSM</w:t>
            </w:r>
          </w:p>
        </w:tc>
        <w:tc>
          <w:tcPr>
            <w:tcW w:type="dxa" w:w="337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Vacuuming &amp; mixing</w:t>
            </w:r>
          </w:p>
        </w:tc>
        <w:tc>
          <w:tcPr>
            <w:tcW w:type="dxa" w:w="19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Vacuum 700 mmHg, 60 min</w:t>
            </w:r>
          </w:p>
        </w:tc>
      </w:tr>
      <w:tr>
        <w:tc>
          <w:tcPr>
            <w:tcW w:type="dxa" w:w="110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90</w:t>
            </w:r>
          </w:p>
        </w:tc>
        <w:tc>
          <w:tcPr>
            <w:tcW w:type="dxa" w:w="265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Brookfield Viscometer</w:t>
            </w:r>
          </w:p>
        </w:tc>
        <w:tc>
          <w:tcPr>
            <w:tcW w:type="dxa" w:w="3376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Final viscosity adjustment</w:t>
            </w:r>
          </w:p>
        </w:tc>
        <w:tc>
          <w:tcPr>
            <w:tcW w:type="dxa" w:w="190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Viscosity to spec</w:t>
            </w:r>
          </w:p>
        </w:tc>
      </w:tr>
      <w:tr>
        <w:tc>
          <w:tcPr>
            <w:tcW w:type="dxa" w:w="11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100</w:t>
            </w:r>
          </w:p>
        </w:tc>
        <w:tc>
          <w:tcPr>
            <w:tcW w:type="dxa" w:w="26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Self-cleaning Filtration Unit</w:t>
            </w:r>
          </w:p>
        </w:tc>
        <w:tc>
          <w:tcPr>
            <w:tcW w:type="dxa" w:w="337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Filtration</w:t>
            </w:r>
          </w:p>
        </w:tc>
        <w:tc>
          <w:tcPr>
            <w:tcW w:type="dxa" w:w="19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Mesh 60# ; no foreign matter</w:t>
            </w:r>
          </w:p>
        </w:tc>
      </w:tr>
      <w:tr>
        <w:tc>
          <w:tcPr>
            <w:tcW w:type="dxa" w:w="110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110</w:t>
            </w:r>
          </w:p>
        </w:tc>
        <w:tc>
          <w:tcPr>
            <w:tcW w:type="dxa" w:w="265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Weighing scale</w:t>
            </w:r>
          </w:p>
        </w:tc>
        <w:tc>
          <w:tcPr>
            <w:tcW w:type="dxa" w:w="3376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Filling &amp; packing</w:t>
            </w:r>
          </w:p>
        </w:tc>
        <w:tc>
          <w:tcPr>
            <w:tcW w:type="dxa" w:w="190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Appropriate drum per PIV</w:t>
            </w:r>
          </w:p>
        </w:tc>
      </w:tr>
      <w:tr>
        <w:tc>
          <w:tcPr>
            <w:tcW w:type="dxa" w:w="11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120</w:t>
            </w:r>
          </w:p>
        </w:tc>
        <w:tc>
          <w:tcPr>
            <w:tcW w:type="dxa" w:w="26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Viscometer, Oven, Panels</w:t>
            </w:r>
          </w:p>
        </w:tc>
        <w:tc>
          <w:tcPr>
            <w:tcW w:type="dxa" w:w="337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Finished product testing</w:t>
            </w:r>
          </w:p>
        </w:tc>
        <w:tc>
          <w:tcPr>
            <w:tcW w:type="dxa" w:w="19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All parameters within spec</w:t>
            </w:r>
          </w:p>
        </w:tc>
      </w:tr>
      <w:tr>
        <w:tc>
          <w:tcPr>
            <w:tcW w:type="dxa" w:w="110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130</w:t>
            </w:r>
          </w:p>
        </w:tc>
        <w:tc>
          <w:tcPr>
            <w:tcW w:type="dxa" w:w="265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Sticker Pasting</w:t>
            </w:r>
          </w:p>
        </w:tc>
        <w:tc>
          <w:tcPr>
            <w:tcW w:type="dxa" w:w="3376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Labelling</w:t>
            </w:r>
          </w:p>
        </w:tc>
        <w:tc>
          <w:tcPr>
            <w:tcW w:type="dxa" w:w="190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Batch / part / mfg. date</w:t>
            </w:r>
          </w:p>
        </w:tc>
      </w:tr>
      <w:tr>
        <w:tc>
          <w:tcPr>
            <w:tcW w:type="dxa" w:w="11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140</w:t>
            </w:r>
          </w:p>
        </w:tc>
        <w:tc>
          <w:tcPr>
            <w:tcW w:type="dxa" w:w="26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Stacker</w:t>
            </w:r>
          </w:p>
        </w:tc>
        <w:tc>
          <w:tcPr>
            <w:tcW w:type="dxa" w:w="337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Dispatch / delivery</w:t>
            </w:r>
          </w:p>
        </w:tc>
        <w:tc>
          <w:tcPr>
            <w:tcW w:type="dxa" w:w="19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Loading to truck</w:t>
            </w:r>
          </w:p>
        </w:tc>
      </w:tr>
    </w:tbl>
    <w:p>
      <w:pPr>
        <w:spacing w:after="60"/>
      </w:pPr>
    </w:p>
    <w:p>
      <w:pPr>
        <w:spacing w:after="120" w:line="276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Note: in-line filtration is 60# (≈ 250 µm); the nozzle is 1 mm (1000 µm). A flake finer than 250 µm passes the mesh yet still bridges the orifice — so choking occurs despite nominal filtration.</w:t>
      </w:r>
    </w:p>
    <w:p>
      <w:pPr>
        <w:pStyle w:val="Heading1"/>
        <w:pBdr>
          <w:bottom w:val="single" w:color="2E5496" w:sz="8" w:space="4"/>
        </w:pBdr>
        <w:spacing w:after="140" w:before="28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4.  Observations During Visit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  <w:sz w:val="20"/>
          <w:szCs w:val="20"/>
        </w:rPr>
        <w:t xml:space="preserve">Open transfer points (hopper, drum filling) allow airborne dust / fibre ingress.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  <w:sz w:val="20"/>
          <w:szCs w:val="20"/>
        </w:rPr>
        <w:t xml:space="preserve">Hopper cleaning between batches identified as a required control (residue build-up).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  <w:sz w:val="20"/>
          <w:szCs w:val="20"/>
        </w:rPr>
        <w:t xml:space="preserve">Skinning at air-exposed surfaces — drum headspace, hopper, dead-leg lines; oxidised skin is reddish-brown and flakes off.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  <w:sz w:val="20"/>
          <w:szCs w:val="20"/>
        </w:rPr>
        <w:t xml:space="preserve">Packing / liner material sheds textile fibres — matches fibres on the filter.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  <w:sz w:val="20"/>
          <w:szCs w:val="20"/>
        </w:rPr>
        <w:t xml:space="preserve">Dust on drum exteriors, lids and inside empty drums — a mineral-dust ingress route.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  <w:sz w:val="20"/>
          <w:szCs w:val="20"/>
        </w:rPr>
        <w:t xml:space="preserve">Mixing &lt; 35 °C and maturation time critical; excursions in process / storage / transport can pre-gel the plastisol.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  <w:sz w:val="20"/>
          <w:szCs w:val="20"/>
        </w:rPr>
        <w:t xml:space="preserve">Rheology-modifier dispersion / addition sequence under supplier review — relevant to agglomerates.</w:t>
      </w:r>
    </w:p>
    <w:p>
      <w:pPr>
        <w:pStyle w:val="Heading1"/>
        <w:pBdr>
          <w:bottom w:val="single" w:color="2E5496" w:sz="8" w:space="4"/>
        </w:pBdr>
        <w:spacing w:after="140" w:before="28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5.  Sampling Plan</w:t>
      </w:r>
    </w:p>
    <w:p>
      <w:pPr>
        <w:spacing w:after="120" w:line="276"/>
      </w:pPr>
      <w:r>
        <w:rPr>
          <w:rFonts w:ascii="Calibri" w:cs="Calibri" w:eastAsia="Calibri" w:hAnsi="Calibri"/>
          <w:sz w:val="20"/>
          <w:szCs w:val="20"/>
        </w:rPr>
        <w:t xml:space="preserve">Samples were taken from operations representing possible contamination sources plus the choke material itself; each source fingerprint was compared against the reference choke sample by FTIR.</w:t>
      </w:r>
    </w:p>
    <w:tbl>
      <w:tblPr>
        <w:tblW w:type="dxa" w:w="9026"/>
        <w:tblBorders>
          <w:top w:val="single" w:color="9BA6B8" w:sz="4"/>
          <w:left w:val="single" w:color="9BA6B8" w:sz="4"/>
          <w:bottom w:val="single" w:color="9BA6B8" w:sz="4"/>
          <w:right w:val="single" w:color="9BA6B8" w:sz="4"/>
          <w:insideH w:val="single" w:color="C9D1DE" w:sz="4"/>
          <w:insideV w:val="single" w:color="C9D1DE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Sample</w:t>
            </w:r>
          </w:p>
        </w:tc>
        <w:tc>
          <w:tcPr>
            <w:tcW w:type="dxa" w:w="5826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Location / Purpose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Nozzle Choking Sample ✓ (reference)</w:t>
            </w:r>
          </w:p>
        </w:tc>
        <w:tc>
          <w:tcPr>
            <w:tcW w:type="dxa" w:w="582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The actual choke material recovered from the applicator — the fingerprint to be matched</w:t>
            </w:r>
          </w:p>
        </w:tc>
      </w:tr>
      <w:tr>
        <w:tc>
          <w:tcPr>
            <w:tcW w:type="dxa" w:w="320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Nozzle Choking Sample — Barrel Clamping</w:t>
            </w:r>
          </w:p>
        </w:tc>
        <w:tc>
          <w:tcPr>
            <w:tcW w:type="dxa" w:w="5826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Choke material variant / second recovery point for comparison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Hopper Inside</w:t>
            </w:r>
          </w:p>
        </w:tc>
        <w:tc>
          <w:tcPr>
            <w:tcW w:type="dxa" w:w="582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Residue / skin from the mixer hopper interior</w:t>
            </w:r>
          </w:p>
        </w:tc>
      </w:tr>
      <w:tr>
        <w:tc>
          <w:tcPr>
            <w:tcW w:type="dxa" w:w="320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Dust on Drum</w:t>
            </w:r>
          </w:p>
        </w:tc>
        <w:tc>
          <w:tcPr>
            <w:tcW w:type="dxa" w:w="5826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Dust from the drum exterior surface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Drum Inside Dust</w:t>
            </w:r>
          </w:p>
        </w:tc>
        <w:tc>
          <w:tcPr>
            <w:tcW w:type="dxa" w:w="582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Dust from inside the (empty) drum prior to filling</w:t>
            </w:r>
          </w:p>
        </w:tc>
      </w:tr>
      <w:tr>
        <w:tc>
          <w:tcPr>
            <w:tcW w:type="dxa" w:w="320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Drum Lid — Clean</w:t>
            </w:r>
          </w:p>
        </w:tc>
        <w:tc>
          <w:tcPr>
            <w:tcW w:type="dxa" w:w="5826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Reference from a cleaned drum lid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Packing Bag Part</w:t>
            </w:r>
          </w:p>
        </w:tc>
        <w:tc>
          <w:tcPr>
            <w:tcW w:type="dxa" w:w="582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Material from the packing / liner (fibre source check)</w:t>
            </w:r>
          </w:p>
        </w:tc>
      </w:tr>
    </w:tbl>
    <w:p>
      <w:pPr>
        <w:pStyle w:val="Heading1"/>
        <w:pBdr>
          <w:bottom w:val="single" w:color="2E5496" w:sz="8" w:space="4"/>
        </w:pBdr>
        <w:spacing w:after="140" w:before="28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6.  FTIR Results</w:t>
      </w:r>
    </w:p>
    <w:p>
      <w:pPr>
        <w:spacing w:after="120" w:line="276"/>
      </w:pPr>
      <w:r>
        <w:rPr>
          <w:rFonts w:ascii="Calibri" w:cs="Calibri" w:eastAsia="Calibri" w:hAnsi="Calibri"/>
          <w:sz w:val="20"/>
          <w:szCs w:val="20"/>
        </w:rPr>
        <w:t xml:space="preserve">Overlay FTIR (transmittance) was run on all samples. Principal bands:</w:t>
      </w:r>
    </w:p>
    <w:tbl>
      <w:tblPr>
        <w:tblW w:type="dxa" w:w="9026"/>
        <w:tblBorders>
          <w:top w:val="single" w:color="9BA6B8" w:sz="4"/>
          <w:left w:val="single" w:color="9BA6B8" w:sz="4"/>
          <w:bottom w:val="single" w:color="9BA6B8" w:sz="4"/>
          <w:right w:val="single" w:color="9BA6B8" w:sz="4"/>
          <w:insideH w:val="single" w:color="C9D1DE" w:sz="4"/>
          <w:insideV w:val="single" w:color="C9D1DE" w:sz="4"/>
        </w:tblBorders>
      </w:tblPr>
      <w:tblGrid>
        <w:gridCol w:w="1900"/>
        <w:gridCol w:w="3200"/>
        <w:gridCol w:w="3926"/>
      </w:tblGrid>
      <w:tr>
        <w:trPr>
          <w:tblHeader/>
        </w:trPr>
        <w:tc>
          <w:tcPr>
            <w:tcW w:type="dxa" w:w="19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Band (cm⁻¹)</w:t>
            </w:r>
          </w:p>
        </w:tc>
        <w:tc>
          <w:tcPr>
            <w:tcW w:type="dxa" w:w="32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Assignment</w:t>
            </w:r>
          </w:p>
        </w:tc>
        <w:tc>
          <w:tcPr>
            <w:tcW w:type="dxa" w:w="3926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Indicates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~3300–3400 (broad)</w:t>
            </w:r>
          </w:p>
        </w:tc>
        <w:tc>
          <w:tcPr>
            <w:tcW w:type="dxa" w:w="32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O–H / N–H stretch</w:t>
            </w:r>
          </w:p>
        </w:tc>
        <w:tc>
          <w:tcPr>
            <w:tcW w:type="dxa" w:w="392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Moisture / hydroxyl and cellulose (packing-bag fibre / paper)</w:t>
            </w:r>
          </w:p>
        </w:tc>
      </w:tr>
      <w:tr>
        <w:tc>
          <w:tcPr>
            <w:tcW w:type="dxa" w:w="190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~2920 / 2850</w:t>
            </w:r>
          </w:p>
        </w:tc>
        <w:tc>
          <w:tcPr>
            <w:tcW w:type="dxa" w:w="320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Aliphatic C–H stretch</w:t>
            </w:r>
          </w:p>
        </w:tc>
        <w:tc>
          <w:tcPr>
            <w:tcW w:type="dxa" w:w="3926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Plasticizer + PVC + hydrocarbon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~1720 (if present)</w:t>
            </w:r>
          </w:p>
        </w:tc>
        <w:tc>
          <w:tcPr>
            <w:tcW w:type="dxa" w:w="32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Ester C=O</w:t>
            </w:r>
          </w:p>
        </w:tc>
        <w:tc>
          <w:tcPr>
            <w:tcW w:type="dxa" w:w="392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Phthalate plasticizer (product signature)</w:t>
            </w:r>
          </w:p>
        </w:tc>
      </w:tr>
      <w:tr>
        <w:tc>
          <w:tcPr>
            <w:tcW w:type="dxa" w:w="190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~1420–1450 (deep, broad)</w:t>
            </w:r>
          </w:p>
        </w:tc>
        <w:tc>
          <w:tcPr>
            <w:tcW w:type="dxa" w:w="320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Carbonate ν₃</w:t>
            </w:r>
          </w:p>
        </w:tc>
        <w:tc>
          <w:tcPr>
            <w:tcW w:type="dxa" w:w="3926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Calcium carbonate (CaCO₃) filler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~1000–1100 (deep)</w:t>
            </w:r>
          </w:p>
        </w:tc>
        <w:tc>
          <w:tcPr>
            <w:tcW w:type="dxa" w:w="32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Si–O–Si stretch</w:t>
            </w:r>
          </w:p>
        </w:tc>
        <w:tc>
          <w:tcPr>
            <w:tcW w:type="dxa" w:w="392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Silica / silicate / talc / clay (rheology modifier or mineral dust)</w:t>
            </w:r>
          </w:p>
        </w:tc>
      </w:tr>
      <w:tr>
        <w:tc>
          <w:tcPr>
            <w:tcW w:type="dxa" w:w="190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~875 (sharp)</w:t>
            </w:r>
          </w:p>
        </w:tc>
        <w:tc>
          <w:tcPr>
            <w:tcW w:type="dxa" w:w="320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Carbonate ν₂</w:t>
            </w:r>
          </w:p>
        </w:tc>
        <w:tc>
          <w:tcPr>
            <w:tcW w:type="dxa" w:w="3926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CaCO₃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~712 (sharp)</w:t>
            </w:r>
          </w:p>
        </w:tc>
        <w:tc>
          <w:tcPr>
            <w:tcW w:type="dxa" w:w="32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Carbonate ν₄</w:t>
            </w:r>
          </w:p>
        </w:tc>
        <w:tc>
          <w:tcPr>
            <w:tcW w:type="dxa" w:w="392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CaCO₃ (calcite)</w:t>
            </w:r>
          </w:p>
        </w:tc>
      </w:tr>
      <w:tr>
        <w:tc>
          <w:tcPr>
            <w:tcW w:type="dxa" w:w="190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~600–690</w:t>
            </w:r>
          </w:p>
        </w:tc>
        <w:tc>
          <w:tcPr>
            <w:tcW w:type="dxa" w:w="320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C–Cl stretch</w:t>
            </w:r>
          </w:p>
        </w:tc>
        <w:tc>
          <w:tcPr>
            <w:tcW w:type="dxa" w:w="3926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PVC</w:t>
            </w:r>
          </w:p>
        </w:tc>
      </w:tr>
    </w:tbl>
    <w:p>
      <w:pPr>
        <w:spacing w:after="60"/>
      </w:pPr>
    </w:p>
    <w:p>
      <w:pPr>
        <w:pStyle w:val="Heading2"/>
        <w:spacing w:after="100" w:before="180"/>
      </w:pPr>
      <w:r>
        <w:rPr>
          <w:rFonts w:ascii="Calibri" w:cs="Calibri" w:eastAsia="Calibri" w:hAnsi="Calibri"/>
          <w:b/>
          <w:bCs/>
          <w:color w:val="2E5496"/>
          <w:sz w:val="22"/>
          <w:szCs w:val="22"/>
        </w:rPr>
        <w:t xml:space="preserve">Interpretation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  <w:sz w:val="20"/>
          <w:szCs w:val="20"/>
        </w:rPr>
        <w:t xml:space="preserve">Choke fingerprint is dominated by carbonate (≈1420 / 875 / 712) and silicate (≈1000–1100) on a PVC / plasticizer / hydrocarbon backbone, with an O–H band — i.e. product blended with mineral dust and likely fibre, not a cleanly gelled product.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  <w:sz w:val="20"/>
          <w:szCs w:val="20"/>
        </w:rPr>
        <w:t xml:space="preserve">Consistent with the physical evidence (flakes + fibres + speck) and the hopper-cleaning requirement.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  <w:sz w:val="20"/>
          <w:szCs w:val="20"/>
        </w:rPr>
        <w:t xml:space="preserve">This is a source-tracing exercise: the best-overlapping source spectrum names the origin.</w:t>
      </w:r>
    </w:p>
    <w:p>
      <w:pPr>
        <w:pStyle w:val="Heading2"/>
        <w:spacing w:after="100" w:before="180"/>
      </w:pPr>
      <w:r>
        <w:rPr>
          <w:rFonts w:ascii="Calibri" w:cs="Calibri" w:eastAsia="Calibri" w:hAnsi="Calibri"/>
          <w:b/>
          <w:bCs/>
          <w:color w:val="2E5496"/>
          <w:sz w:val="22"/>
          <w:szCs w:val="22"/>
        </w:rPr>
        <w:t xml:space="preserve">Confirmation required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  <w:sz w:val="20"/>
          <w:szCs w:val="20"/>
        </w:rPr>
        <w:t xml:space="preserve">Pairwise match / correlation index of the choke sample vs each source (report % match) — highest names the source.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  <w:sz w:val="20"/>
          <w:szCs w:val="20"/>
        </w:rPr>
        <w:t xml:space="preserve">Difference spectrum (choke − clean product): carbonate / silicate / O–H residuals → dust + fibre; carbonyl shift only → skin / oxidation.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  <w:sz w:val="20"/>
          <w:szCs w:val="20"/>
        </w:rPr>
        <w:t xml:space="preserve">EDS / XRF on flakes (confirms silica / clay / CaCO₃, flags Fe / rust) and TGA / ash for filler loading vs spec.</w:t>
      </w:r>
    </w:p>
    <w:p>
      <w:pPr>
        <w:pStyle w:val="Heading1"/>
        <w:pBdr>
          <w:bottom w:val="single" w:color="2E5496" w:sz="8" w:space="4"/>
        </w:pBdr>
        <w:spacing w:after="140" w:before="28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7.  Root Cause Analysis</w:t>
      </w:r>
    </w:p>
    <w:p>
      <w:pPr>
        <w:spacing w:after="120" w:line="276"/>
      </w:pPr>
      <w:r>
        <w:rPr>
          <w:rFonts w:ascii="Calibri" w:cs="Calibri" w:eastAsia="Calibri" w:hAnsi="Calibri"/>
          <w:sz w:val="20"/>
          <w:szCs w:val="20"/>
        </w:rPr>
        <w:t xml:space="preserve">Candidate causes ranked from the evidence:</w:t>
      </w:r>
    </w:p>
    <w:tbl>
      <w:tblPr>
        <w:tblW w:type="dxa" w:w="9026"/>
        <w:tblBorders>
          <w:top w:val="single" w:color="9BA6B8" w:sz="4"/>
          <w:left w:val="single" w:color="9BA6B8" w:sz="4"/>
          <w:bottom w:val="single" w:color="9BA6B8" w:sz="4"/>
          <w:right w:val="single" w:color="9BA6B8" w:sz="4"/>
          <w:insideH w:val="single" w:color="C9D1DE" w:sz="4"/>
          <w:insideV w:val="single" w:color="C9D1DE" w:sz="4"/>
        </w:tblBorders>
      </w:tblPr>
      <w:tblGrid>
        <w:gridCol w:w="520"/>
        <w:gridCol w:w="4300"/>
        <w:gridCol w:w="2400"/>
        <w:gridCol w:w="1806"/>
      </w:tblGrid>
      <w:tr>
        <w:trPr>
          <w:tblHeader/>
        </w:trPr>
        <w:tc>
          <w:tcPr>
            <w:tcW w:type="dxa" w:w="52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3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Root-cause hypothesis</w:t>
            </w:r>
          </w:p>
        </w:tc>
        <w:tc>
          <w:tcPr>
            <w:tcW w:type="dxa" w:w="24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Supporting evidence</w:t>
            </w:r>
          </w:p>
        </w:tc>
        <w:tc>
          <w:tcPr>
            <w:tcW w:type="dxa" w:w="1806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Assessment</w:t>
            </w:r>
          </w:p>
        </w:tc>
      </w:tr>
      <w:tr>
        <w:tc>
          <w:tcPr>
            <w:tcW w:type="dxa" w:w="52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43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Contamination ingress — mineral dust (silicate / carbonate) + packing-bag fibre entering product at open hopper / drum / packing stages, agglomerating with product into flakes</w:t>
            </w:r>
          </w:p>
        </w:tc>
        <w:tc>
          <w:tcPr>
            <w:tcW w:type="dxa" w:w="24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FTIR carbonate + silicate + O–H; fibres &amp; speck on filter; drum / lid / hopper dust</w:t>
            </w:r>
          </w:p>
        </w:tc>
        <w:tc>
          <w:tcPr>
            <w:tcW w:type="dxa" w:w="180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C00000"/>
                <w:sz w:val="19"/>
                <w:szCs w:val="19"/>
              </w:rPr>
              <w:t xml:space="preserve">Most probable</w:t>
            </w:r>
          </w:p>
        </w:tc>
      </w:tr>
      <w:tr>
        <w:tc>
          <w:tcPr>
            <w:tcW w:type="dxa" w:w="52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430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Surface skinning — oxidised skin from air exposure at drum headspace, hopper surface, dead-leg lines and nozzle tip flaking into the material</w:t>
            </w:r>
          </w:p>
        </w:tc>
        <w:tc>
          <w:tcPr>
            <w:tcW w:type="dxa" w:w="240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Flaky reddish-brown layered morphology; open surfaces observed</w:t>
            </w:r>
          </w:p>
        </w:tc>
        <w:tc>
          <w:tcPr>
            <w:tcW w:type="dxa" w:w="1806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7F5F00"/>
                <w:sz w:val="19"/>
                <w:szCs w:val="19"/>
              </w:rPr>
              <w:t xml:space="preserve">Contributing</w:t>
            </w:r>
          </w:p>
        </w:tc>
      </w:tr>
      <w:tr>
        <w:tc>
          <w:tcPr>
            <w:tcW w:type="dxa" w:w="52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43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Pre-gelation — partial gelation from temperature / time excursion during processing, storage or transport (spec: mixing &lt; 35 °C)</w:t>
            </w:r>
          </w:p>
        </w:tc>
        <w:tc>
          <w:tcPr>
            <w:tcW w:type="dxa" w:w="24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Temperature-sensitive plastisol; ambient / transport heat</w:t>
            </w:r>
          </w:p>
        </w:tc>
        <w:tc>
          <w:tcPr>
            <w:tcW w:type="dxa" w:w="180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7F5F00"/>
                <w:sz w:val="19"/>
                <w:szCs w:val="19"/>
              </w:rPr>
              <w:t xml:space="preserve">To rule out</w:t>
            </w:r>
          </w:p>
        </w:tc>
      </w:tr>
      <w:tr>
        <w:tc>
          <w:tcPr>
            <w:tcW w:type="dxa" w:w="52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430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Filler / rheology-modifier agglomerates — poorly dispersed CaCO₃ or silicate lumps</w:t>
            </w:r>
          </w:p>
        </w:tc>
        <w:tc>
          <w:tcPr>
            <w:tcW w:type="dxa" w:w="240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Silicate band; dispersion / addition sequence under review</w:t>
            </w:r>
          </w:p>
        </w:tc>
        <w:tc>
          <w:tcPr>
            <w:tcW w:type="dxa" w:w="1806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9"/>
                <w:szCs w:val="19"/>
              </w:rPr>
              <w:t xml:space="preserve">Secondary</w:t>
            </w:r>
          </w:p>
        </w:tc>
      </w:tr>
    </w:tbl>
    <w:p>
      <w:pPr>
        <w:spacing w:after="60"/>
      </w:pPr>
    </w:p>
    <w:p>
      <w:pPr>
        <w:spacing w:after="120" w:line="276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Indication: driven principally by contamination ingress and skinning at the supplier's open handling / packing stages — a containment / housekeeping issue, not a formulation defect. Rule out pre-gelation via the confirmation tests.</w:t>
      </w:r>
    </w:p>
    <w:p>
      <w:pPr>
        <w:pStyle w:val="Heading1"/>
        <w:pBdr>
          <w:bottom w:val="single" w:color="2E5496" w:sz="8" w:space="4"/>
        </w:pBdr>
        <w:spacing w:after="140" w:before="28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8.  Corrective &amp; Preventive Actions (CAPA)</w:t>
      </w:r>
    </w:p>
    <w:p>
      <w:pPr>
        <w:spacing w:after="120" w:line="276"/>
      </w:pPr>
      <w:r>
        <w:rPr>
          <w:rFonts w:ascii="Calibri" w:cs="Calibri" w:eastAsia="Calibri" w:hAnsi="Calibri"/>
          <w:sz w:val="20"/>
          <w:szCs w:val="20"/>
        </w:rPr>
        <w:t xml:space="preserve">Agreed actions; owners and target dates to be confirmed and tracked to closure.</w:t>
      </w:r>
    </w:p>
    <w:tbl>
      <w:tblPr>
        <w:tblW w:type="dxa" w:w="9026"/>
        <w:tblBorders>
          <w:top w:val="single" w:color="9BA6B8" w:sz="4"/>
          <w:left w:val="single" w:color="9BA6B8" w:sz="4"/>
          <w:bottom w:val="single" w:color="9BA6B8" w:sz="4"/>
          <w:right w:val="single" w:color="9BA6B8" w:sz="4"/>
          <w:insideH w:val="single" w:color="C9D1DE" w:sz="4"/>
          <w:insideV w:val="single" w:color="C9D1DE" w:sz="4"/>
        </w:tblBorders>
      </w:tblPr>
      <w:tblGrid>
        <w:gridCol w:w="430"/>
        <w:gridCol w:w="3650"/>
        <w:gridCol w:w="1650"/>
        <w:gridCol w:w="1500"/>
        <w:gridCol w:w="1796"/>
      </w:tblGrid>
      <w:tr>
        <w:trPr>
          <w:tblHeader/>
        </w:trPr>
        <w:tc>
          <w:tcPr>
            <w:tcW w:type="dxa" w:w="43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365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  <w:tc>
          <w:tcPr>
            <w:tcW w:type="dxa" w:w="165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Responsibility</w:t>
            </w:r>
          </w:p>
        </w:tc>
        <w:tc>
          <w:tcPr>
            <w:tcW w:type="dxa" w:w="15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Target</w:t>
            </w:r>
          </w:p>
        </w:tc>
        <w:tc>
          <w:tcPr>
            <w:tcW w:type="dxa" w:w="1796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43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36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Seal and clean the mixer hopper between batches; cover open transfer points to prevent airborne dust / fibre ingress</w:t>
            </w:r>
          </w:p>
        </w:tc>
        <w:tc>
          <w:tcPr>
            <w:tcW w:type="dxa" w:w="16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Supplier — Prod.</w:t>
            </w:r>
          </w:p>
        </w:tc>
        <w:tc>
          <w:tcPr>
            <w:tcW w:type="dxa" w:w="15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[date]</w:t>
            </w:r>
          </w:p>
        </w:tc>
        <w:tc>
          <w:tcPr>
            <w:tcW w:type="dxa" w:w="179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Open</w:t>
            </w:r>
          </w:p>
        </w:tc>
      </w:tr>
      <w:tr>
        <w:tc>
          <w:tcPr>
            <w:tcW w:type="dxa" w:w="43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365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De-dust drums and lids before filling; store empty drums covered; verify drum-interior cleanliness at filling</w:t>
            </w:r>
          </w:p>
        </w:tc>
        <w:tc>
          <w:tcPr>
            <w:tcW w:type="dxa" w:w="165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Supplier — Prod.</w:t>
            </w:r>
          </w:p>
        </w:tc>
        <w:tc>
          <w:tcPr>
            <w:tcW w:type="dxa" w:w="150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[date]</w:t>
            </w:r>
          </w:p>
        </w:tc>
        <w:tc>
          <w:tcPr>
            <w:tcW w:type="dxa" w:w="1796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Open</w:t>
            </w:r>
          </w:p>
        </w:tc>
      </w:tr>
      <w:tr>
        <w:tc>
          <w:tcPr>
            <w:tcW w:type="dxa" w:w="43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36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Replace fibre-shedding packing / liner with a non-shedding liner; verify no fibre release</w:t>
            </w:r>
          </w:p>
        </w:tc>
        <w:tc>
          <w:tcPr>
            <w:tcW w:type="dxa" w:w="16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Supplier — QA</w:t>
            </w:r>
          </w:p>
        </w:tc>
        <w:tc>
          <w:tcPr>
            <w:tcW w:type="dxa" w:w="15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[date]</w:t>
            </w:r>
          </w:p>
        </w:tc>
        <w:tc>
          <w:tcPr>
            <w:tcW w:type="dxa" w:w="179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Open</w:t>
            </w:r>
          </w:p>
        </w:tc>
      </w:tr>
      <w:tr>
        <w:tc>
          <w:tcPr>
            <w:tcW w:type="dxa" w:w="43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365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Minimise drum headspace and eliminate dead-legs in transfer lines; control surface skinning (sealed lids / follower plate)</w:t>
            </w:r>
          </w:p>
        </w:tc>
        <w:tc>
          <w:tcPr>
            <w:tcW w:type="dxa" w:w="165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Supplier — PE</w:t>
            </w:r>
          </w:p>
        </w:tc>
        <w:tc>
          <w:tcPr>
            <w:tcW w:type="dxa" w:w="150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[date]</w:t>
            </w:r>
          </w:p>
        </w:tc>
        <w:tc>
          <w:tcPr>
            <w:tcW w:type="dxa" w:w="1796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Open</w:t>
            </w:r>
          </w:p>
        </w:tc>
      </w:tr>
      <w:tr>
        <w:tc>
          <w:tcPr>
            <w:tcW w:type="dxa" w:w="43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dxa" w:w="36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Enforce mixing temperature &lt; 35 °C and control storage / transport temperature; FIFO on stock to limit ageing</w:t>
            </w:r>
          </w:p>
        </w:tc>
        <w:tc>
          <w:tcPr>
            <w:tcW w:type="dxa" w:w="16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Supplier — Prod.</w:t>
            </w:r>
          </w:p>
        </w:tc>
        <w:tc>
          <w:tcPr>
            <w:tcW w:type="dxa" w:w="15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[date]</w:t>
            </w:r>
          </w:p>
        </w:tc>
        <w:tc>
          <w:tcPr>
            <w:tcW w:type="dxa" w:w="179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Open</w:t>
            </w:r>
          </w:p>
        </w:tc>
      </w:tr>
      <w:tr>
        <w:tc>
          <w:tcPr>
            <w:tcW w:type="dxa" w:w="43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6</w:t>
            </w:r>
          </w:p>
        </w:tc>
        <w:tc>
          <w:tcPr>
            <w:tcW w:type="dxa" w:w="365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Confirm root cause: pairwise FTIR match index + difference spectrum; EDS/XRF and TGA/ash on choke flakes</w:t>
            </w:r>
          </w:p>
        </w:tc>
        <w:tc>
          <w:tcPr>
            <w:tcW w:type="dxa" w:w="165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Supplier QA + Customer</w:t>
            </w:r>
          </w:p>
        </w:tc>
        <w:tc>
          <w:tcPr>
            <w:tcW w:type="dxa" w:w="150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[date]</w:t>
            </w:r>
          </w:p>
        </w:tc>
        <w:tc>
          <w:tcPr>
            <w:tcW w:type="dxa" w:w="1796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Open</w:t>
            </w:r>
          </w:p>
        </w:tc>
      </w:tr>
      <w:tr>
        <w:tc>
          <w:tcPr>
            <w:tcW w:type="dxa" w:w="43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7</w:t>
            </w:r>
          </w:p>
        </w:tc>
        <w:tc>
          <w:tcPr>
            <w:tcW w:type="dxa" w:w="36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Review filler / rheology-modifier dispersion &amp; addition sequence to prevent agglomerates</w:t>
            </w:r>
          </w:p>
        </w:tc>
        <w:tc>
          <w:tcPr>
            <w:tcW w:type="dxa" w:w="16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Supplier — PE</w:t>
            </w:r>
          </w:p>
        </w:tc>
        <w:tc>
          <w:tcPr>
            <w:tcW w:type="dxa" w:w="15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[date]</w:t>
            </w:r>
          </w:p>
        </w:tc>
        <w:tc>
          <w:tcPr>
            <w:tcW w:type="dxa" w:w="179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Open</w:t>
            </w:r>
          </w:p>
        </w:tc>
      </w:tr>
      <w:tr>
        <w:tc>
          <w:tcPr>
            <w:tcW w:type="dxa" w:w="43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8</w:t>
            </w:r>
          </w:p>
        </w:tc>
        <w:tc>
          <w:tcPr>
            <w:tcW w:type="dxa" w:w="365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Step final filtration finer than 60# and add point-of-use (last-chance) filter before the robot nozzle (80–100 mesh)</w:t>
            </w:r>
          </w:p>
        </w:tc>
        <w:tc>
          <w:tcPr>
            <w:tcW w:type="dxa" w:w="165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Supplier + Paint Shop</w:t>
            </w:r>
          </w:p>
        </w:tc>
        <w:tc>
          <w:tcPr>
            <w:tcW w:type="dxa" w:w="150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[date]</w:t>
            </w:r>
          </w:p>
        </w:tc>
        <w:tc>
          <w:tcPr>
            <w:tcW w:type="dxa" w:w="1796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Open</w:t>
            </w:r>
          </w:p>
        </w:tc>
      </w:tr>
      <w:tr>
        <w:tc>
          <w:tcPr>
            <w:tcW w:type="dxa" w:w="43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9</w:t>
            </w:r>
          </w:p>
        </w:tc>
        <w:tc>
          <w:tcPr>
            <w:tcW w:type="dxa" w:w="36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Introduce incoming / receiving filtration &amp; cleanliness check at paint shop; monitor filter-retained matter as a KPI</w:t>
            </w:r>
          </w:p>
        </w:tc>
        <w:tc>
          <w:tcPr>
            <w:tcW w:type="dxa" w:w="16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Customer — Paint Shop</w:t>
            </w:r>
          </w:p>
        </w:tc>
        <w:tc>
          <w:tcPr>
            <w:tcW w:type="dxa" w:w="15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[date]</w:t>
            </w:r>
          </w:p>
        </w:tc>
        <w:tc>
          <w:tcPr>
            <w:tcW w:type="dxa" w:w="179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Open</w:t>
            </w:r>
          </w:p>
        </w:tc>
      </w:tr>
    </w:tbl>
    <w:p>
      <w:pPr>
        <w:pStyle w:val="Heading1"/>
        <w:pBdr>
          <w:bottom w:val="single" w:color="2E5496" w:sz="8" w:space="4"/>
        </w:pBdr>
        <w:spacing w:after="140" w:before="28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9.  Conclusion</w:t>
      </w:r>
    </w:p>
    <w:p>
      <w:pPr>
        <w:spacing w:after="120" w:line="276"/>
      </w:pPr>
      <w:r>
        <w:rPr>
          <w:rFonts w:ascii="Calibri" w:cs="Calibri" w:eastAsia="Calibri" w:hAnsi="Calibri"/>
          <w:sz w:val="20"/>
          <w:szCs w:val="20"/>
        </w:rPr>
        <w:t xml:space="preserve">Nozzle choking is attributed principally to contamination ingress (mineral dust + packing fibre) with surface skinning at the supplier's open hopper / drum / packing stages, forming flakes that pass coarse filtration and bridge the nozzle; FTIR supports a dust / fibre-laden fingerprint, not a gelled-product one. The fix is containment, cleanliness and filtration control at the supplier plus point-of-use filtration at the paint shop — not reformulation. Exclude pre-gelation via the confirmation tests.</w:t>
      </w:r>
    </w:p>
    <w:p>
      <w:pPr>
        <w:pStyle w:val="Heading1"/>
        <w:pBdr>
          <w:bottom w:val="single" w:color="2E5496" w:sz="8" w:space="4"/>
        </w:pBdr>
        <w:spacing w:after="140" w:before="28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10.  Next Steps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  <w:sz w:val="20"/>
          <w:szCs w:val="20"/>
        </w:rPr>
        <w:t xml:space="preserve">Supplier to submit a formal 8D / CAPA with confirmation analysis (pairwise FTIR match, difference spectrum, EDS/XRF, TGA/ash) naming the source.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  <w:sz w:val="20"/>
          <w:szCs w:val="20"/>
        </w:rPr>
        <w:t xml:space="preserve">Agree owners / target dates per CAPA item; track to closure with effectiveness verification.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  <w:sz w:val="20"/>
          <w:szCs w:val="20"/>
        </w:rPr>
        <w:t xml:space="preserve">Trial batch after containment; monitor choking frequency and filter-retained matter as the KPI.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  <w:sz w:val="20"/>
          <w:szCs w:val="20"/>
        </w:rPr>
        <w:t xml:space="preserve">Follow-up re-audit of supplier housekeeping and packing controls.</w:t>
      </w:r>
    </w:p>
    <w:p>
      <w:pPr>
        <w:spacing w:before="260"/>
      </w:pPr>
    </w:p>
    <w:p>
      <w:pPr>
        <w:pStyle w:val="Heading2"/>
        <w:spacing w:after="100" w:before="180"/>
      </w:pPr>
      <w:r>
        <w:rPr>
          <w:rFonts w:ascii="Calibri" w:cs="Calibri" w:eastAsia="Calibri" w:hAnsi="Calibri"/>
          <w:b/>
          <w:bCs/>
          <w:color w:val="2E5496"/>
          <w:sz w:val="22"/>
          <w:szCs w:val="22"/>
        </w:rPr>
        <w:t xml:space="preserve">Acknowledgement / Sign-off</w:t>
      </w:r>
    </w:p>
    <w:tbl>
      <w:tblPr>
        <w:tblW w:type="dxa" w:w="9026"/>
        <w:tblBorders>
          <w:top w:val="single" w:color="9BA6B8" w:sz="4"/>
          <w:left w:val="single" w:color="9BA6B8" w:sz="4"/>
          <w:bottom w:val="single" w:color="9BA6B8" w:sz="4"/>
          <w:right w:val="single" w:color="9BA6B8" w:sz="4"/>
          <w:insideH w:val="single" w:color="C9D1DE" w:sz="4"/>
          <w:insideV w:val="single" w:color="C9D1DE" w:sz="4"/>
        </w:tblBorders>
      </w:tblPr>
      <w:tblGrid>
        <w:gridCol w:w="3009"/>
        <w:gridCol w:w="3008"/>
        <w:gridCol w:w="3009"/>
      </w:tblGrid>
      <w:tr>
        <w:tc>
          <w:tcPr>
            <w:tcW w:type="dxa" w:w="3009"/>
            <w:shd w:fill="D6DCE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Prepared by (Visit Team)</w:t>
            </w:r>
          </w:p>
        </w:tc>
        <w:tc>
          <w:tcPr>
            <w:tcW w:type="dxa" w:w="3008"/>
            <w:shd w:fill="D6DCE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Reviewed by (Customer Quality)</w:t>
            </w:r>
          </w:p>
        </w:tc>
        <w:tc>
          <w:tcPr>
            <w:tcW w:type="dxa" w:w="3009"/>
            <w:shd w:fill="D6DCE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Acknowledged by (Supplier)</w:t>
            </w:r>
          </w:p>
        </w:tc>
      </w:tr>
      <w:tr>
        <w:tc>
          <w:tcPr>
            <w:tcW w:type="dxa" w:w="3009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before="3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Name: ______________________</w:t>
            </w:r>
          </w:p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Designation: ________________</w:t>
            </w:r>
          </w:p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Signature / Date: ___________</w:t>
            </w:r>
          </w:p>
        </w:tc>
        <w:tc>
          <w:tcPr>
            <w:tcW w:type="dxa" w:w="3008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before="3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Name: ______________________</w:t>
            </w:r>
          </w:p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Designation: ________________</w:t>
            </w:r>
          </w:p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Signature / Date: ___________</w:t>
            </w:r>
          </w:p>
        </w:tc>
        <w:tc>
          <w:tcPr>
            <w:tcW w:type="dxa" w:w="3009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before="3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Name: ______________________</w:t>
            </w:r>
          </w:p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Designation: ________________</w:t>
            </w:r>
          </w:p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Signature / Date: ___________</w:t>
            </w:r>
          </w:p>
        </w:tc>
      </w:tr>
    </w:tbl>
    <w:p>
      <w:pPr>
        <w:spacing w:before="300"/>
      </w:pPr>
    </w:p>
    <w:p>
      <w:pPr>
        <w:spacing w:after="120" w:line="276"/>
      </w:pPr>
      <w:r>
        <w:rPr>
          <w:rFonts w:ascii="Calibri" w:cs="Calibri" w:eastAsia="Calibri" w:hAnsi="Calibri"/>
          <w:i/>
          <w:iCs/>
          <w:color w:val="888888"/>
          <w:sz w:val="17"/>
          <w:szCs w:val="17"/>
        </w:rPr>
        <w:t xml:space="preserve">Bracketed [ ] fields to be completed with visit-specific details. FTIR interpretation reflects the visible overlay; pairwise match / difference spectrum and EDS-XRF / TGA are required to confirm the exact source.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D1DE" w:sz="4" w:space="2"/>
      </w:pBdr>
      <w:jc w:val="center"/>
    </w:pPr>
    <w:r>
      <w:rPr>
        <w:rFonts w:ascii="Calibri" w:cs="Calibri" w:eastAsia="Calibri" w:hAnsi="Calibri"/>
        <w:color w:val="888888"/>
        <w:sz w:val="16"/>
        <w:szCs w:val="16"/>
      </w:rPr>
      <w:t xml:space="preserve">Confidential  •  Page </w:t>
    </w:r>
    <w:r>
      <w:rPr>
        <w:rFonts w:ascii="Calibri" w:cs="Calibri" w:eastAsia="Calibri" w:hAnsi="Calibri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888888"/>
        <w:sz w:val="16"/>
        <w:szCs w:val="16"/>
      </w:rPr>
      <w:t xml:space="preserve"> of </w:t>
    </w:r>
    <w:r>
      <w:rPr>
        <w:rFonts w:ascii="Calibri" w:cs="Calibri" w:eastAsia="Calibri" w:hAnsi="Calibri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D1DE" w:sz="4" w:space="2"/>
      </w:pBdr>
      <w:jc w:val="right"/>
    </w:pPr>
    <w:r>
      <w:rPr>
        <w:rFonts w:ascii="Calibri" w:cs="Calibri" w:eastAsia="Calibri" w:hAnsi="Calibri"/>
        <w:color w:val="888888"/>
        <w:sz w:val="16"/>
        <w:szCs w:val="16"/>
      </w:rPr>
      <w:t xml:space="preserve">Supplier Visit Report — PVC Sealer Nozzle Choking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  <w:rPr>
        <w:color w:val="2E5496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F3864"/>
      <w:sz w:val="26"/>
      <w:szCs w:val="26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2E549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Supplier Visit Report — PVC Sealer Nozzle Choking</dc:title>
  <dc:creator>Supplier Quality</dc:creator>
  <dc:description>Supplier visit and root-cause investigation report</dc:description>
  <cp:lastModifiedBy>Un-named</cp:lastModifiedBy>
  <cp:revision>1</cp:revision>
  <dcterms:created xsi:type="dcterms:W3CDTF">2026-07-27T14:07:24.193Z</dcterms:created>
  <dcterms:modified xsi:type="dcterms:W3CDTF">2026-07-27T14:07:24.193Z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