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780B" w14:textId="77777777" w:rsidR="00427911" w:rsidRPr="00427911" w:rsidRDefault="00427911" w:rsidP="00427911">
      <w:pPr>
        <w:suppressLineNumbers/>
        <w:spacing w:after="120" w:line="240" w:lineRule="auto"/>
        <w:rPr>
          <w:rFonts w:ascii="Arial" w:eastAsia="MS Mincho" w:hAnsi="Arial" w:cs="Arial"/>
          <w:b/>
          <w:bCs/>
          <w:color w:val="000000"/>
          <w:sz w:val="32"/>
          <w:szCs w:val="32"/>
        </w:rPr>
      </w:pPr>
      <w:r w:rsidRPr="00427911">
        <w:rPr>
          <w:rFonts w:ascii="Arial" w:eastAsia="MS Mincho" w:hAnsi="Arial" w:cs="Arial"/>
          <w:b/>
          <w:bCs/>
          <w:color w:val="000000"/>
          <w:sz w:val="32"/>
          <w:szCs w:val="32"/>
        </w:rPr>
        <w:t xml:space="preserve">Paralog-specific </w:t>
      </w:r>
      <w:proofErr w:type="spellStart"/>
      <w:r w:rsidRPr="00427911">
        <w:rPr>
          <w:rFonts w:ascii="Arial" w:eastAsia="MS Mincho" w:hAnsi="Arial" w:cs="Arial"/>
          <w:b/>
          <w:bCs/>
          <w:color w:val="000000"/>
          <w:sz w:val="32"/>
          <w:szCs w:val="32"/>
        </w:rPr>
        <w:t>bistability</w:t>
      </w:r>
      <w:proofErr w:type="spellEnd"/>
      <w:r w:rsidRPr="00427911">
        <w:rPr>
          <w:rFonts w:ascii="Arial" w:eastAsia="MS Mincho" w:hAnsi="Arial" w:cs="Arial"/>
          <w:b/>
          <w:bCs/>
          <w:color w:val="000000"/>
          <w:sz w:val="32"/>
          <w:szCs w:val="32"/>
        </w:rPr>
        <w:t xml:space="preserve"> links oxygen tension to CtBP-driven transcriptional reprogramming in tumor cells</w:t>
      </w:r>
    </w:p>
    <w:p w14:paraId="3B44E449" w14:textId="130116CB" w:rsidR="00427911" w:rsidRPr="00427911" w:rsidRDefault="00427911" w:rsidP="00427911">
      <w:pPr>
        <w:spacing w:after="0" w:line="240" w:lineRule="auto"/>
        <w:ind w:right="-3326"/>
        <w:jc w:val="both"/>
        <w:rPr>
          <w:rFonts w:ascii="Arial" w:eastAsia="MS Mincho" w:hAnsi="Arial" w:cs="Arial"/>
          <w:color w:val="000000"/>
        </w:rPr>
      </w:pPr>
      <w:r w:rsidRPr="00427911">
        <w:rPr>
          <w:rFonts w:ascii="Arial" w:eastAsia="MS Mincho" w:hAnsi="Arial" w:cs="Arial"/>
          <w:color w:val="000000"/>
        </w:rPr>
        <w:t>Saumya Shukla, Raghvendra Singh</w:t>
      </w:r>
    </w:p>
    <w:p w14:paraId="2E05A833" w14:textId="77777777" w:rsidR="00427911" w:rsidRPr="00427911" w:rsidRDefault="00427911" w:rsidP="00427911">
      <w:pPr>
        <w:rPr>
          <w:rFonts w:ascii="Arial" w:hAnsi="Arial" w:cs="Arial"/>
          <w:b/>
          <w:bCs/>
        </w:rPr>
      </w:pPr>
    </w:p>
    <w:p w14:paraId="42345529" w14:textId="593053A4" w:rsidR="00427911" w:rsidRPr="00427911" w:rsidRDefault="00427911" w:rsidP="004279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27911">
        <w:rPr>
          <w:rFonts w:ascii="Arial" w:hAnsi="Arial" w:cs="Arial"/>
          <w:b/>
          <w:bCs/>
          <w:sz w:val="24"/>
          <w:szCs w:val="24"/>
        </w:rPr>
        <w:t>Requirements</w:t>
      </w:r>
    </w:p>
    <w:p w14:paraId="68091EAC" w14:textId="77777777" w:rsidR="00427911" w:rsidRPr="00427911" w:rsidRDefault="00427911" w:rsidP="00427911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>R (v4.0 or higher recommended)</w:t>
      </w:r>
    </w:p>
    <w:p w14:paraId="40EAA15F" w14:textId="3CC0AE50" w:rsidR="00427911" w:rsidRPr="00427911" w:rsidRDefault="00427911" w:rsidP="00427911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 xml:space="preserve">Libraries: 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DESeq2, ggplot2,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pheatmap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dplyr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tidyr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tibble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, scales,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ashr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showtext</w:t>
      </w:r>
      <w:proofErr w:type="spellEnd"/>
    </w:p>
    <w:p w14:paraId="32DAA358" w14:textId="58EAF5E0" w:rsidR="00427911" w:rsidRPr="00427911" w:rsidRDefault="00427911" w:rsidP="00427911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>MATLAB (R202</w:t>
      </w:r>
      <w:r>
        <w:rPr>
          <w:rFonts w:ascii="Arial" w:hAnsi="Arial" w:cs="Arial"/>
          <w:sz w:val="20"/>
          <w:szCs w:val="20"/>
          <w:lang w:val="en-IN"/>
        </w:rPr>
        <w:t>5</w:t>
      </w:r>
      <w:r w:rsidRPr="00427911">
        <w:rPr>
          <w:rFonts w:ascii="Arial" w:hAnsi="Arial" w:cs="Arial"/>
          <w:sz w:val="20"/>
          <w:szCs w:val="20"/>
          <w:lang w:val="en-IN"/>
        </w:rPr>
        <w:t>a recommended)</w:t>
      </w:r>
    </w:p>
    <w:p w14:paraId="65CC6D36" w14:textId="0E7CB1A6" w:rsidR="00427911" w:rsidRPr="00427911" w:rsidRDefault="00427911" w:rsidP="00427911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>No additional toolboxes needed</w:t>
      </w:r>
      <w:r w:rsidRPr="00427911">
        <w:rPr>
          <w:rFonts w:ascii="Arial" w:hAnsi="Arial" w:cs="Arial"/>
          <w:sz w:val="20"/>
          <w:szCs w:val="20"/>
          <w:lang w:val="en-IN"/>
        </w:rPr>
        <w:t>,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uses built-in ode15s</w:t>
      </w:r>
    </w:p>
    <w:p w14:paraId="091D4B7F" w14:textId="77777777" w:rsidR="00427911" w:rsidRPr="00427911" w:rsidRDefault="00427911" w:rsidP="00427911">
      <w:pPr>
        <w:jc w:val="both"/>
        <w:rPr>
          <w:rFonts w:ascii="Arial" w:hAnsi="Arial" w:cs="Arial"/>
          <w:sz w:val="20"/>
          <w:szCs w:val="20"/>
          <w:lang w:val="en-IN"/>
        </w:rPr>
      </w:pPr>
    </w:p>
    <w:p w14:paraId="688A0DAE" w14:textId="75AD17EB" w:rsidR="00427911" w:rsidRPr="00427911" w:rsidRDefault="00427911" w:rsidP="00427911">
      <w:pPr>
        <w:jc w:val="both"/>
        <w:rPr>
          <w:rFonts w:ascii="Arial" w:hAnsi="Arial" w:cs="Arial"/>
          <w:b/>
          <w:bCs/>
          <w:sz w:val="24"/>
          <w:szCs w:val="24"/>
          <w:lang w:val="en-IN"/>
        </w:rPr>
      </w:pPr>
      <w:r w:rsidRPr="00427911">
        <w:rPr>
          <w:rFonts w:ascii="Arial" w:hAnsi="Arial" w:cs="Arial"/>
          <w:b/>
          <w:bCs/>
          <w:sz w:val="24"/>
          <w:szCs w:val="24"/>
          <w:lang w:val="en-IN"/>
        </w:rPr>
        <w:t>Files</w:t>
      </w:r>
    </w:p>
    <w:p w14:paraId="6D5C9309" w14:textId="65993933" w:rsidR="00427911" w:rsidRPr="00427911" w:rsidRDefault="00427911" w:rsidP="00427911">
      <w:p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427911">
        <w:rPr>
          <w:rFonts w:ascii="Arial" w:hAnsi="Arial" w:cs="Arial"/>
          <w:b/>
          <w:bCs/>
          <w:sz w:val="20"/>
          <w:szCs w:val="20"/>
        </w:rPr>
        <w:t>aerobic_glycolysis.m</w:t>
      </w:r>
      <w:proofErr w:type="spellEnd"/>
    </w:p>
    <w:p w14:paraId="60C7B8F3" w14:textId="77777777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427911">
        <w:rPr>
          <w:rFonts w:ascii="Arial" w:hAnsi="Arial" w:cs="Arial"/>
          <w:sz w:val="20"/>
          <w:szCs w:val="20"/>
        </w:rPr>
        <w:t>Kinetic ODE model of aerobic glycolysis simulating 21 metabolic species across six oxygen levels, from near-anoxia to hyperoxia. Tracks how cytosolic NADH changes at steady state.</w:t>
      </w:r>
      <w:r w:rsidRPr="00427911">
        <w:rPr>
          <w:rFonts w:ascii="Arial" w:hAnsi="Arial" w:cs="Arial"/>
          <w:sz w:val="20"/>
          <w:szCs w:val="20"/>
        </w:rPr>
        <w:t xml:space="preserve"> </w:t>
      </w:r>
      <w:r w:rsidRPr="00427911">
        <w:rPr>
          <w:rFonts w:ascii="Arial" w:hAnsi="Arial" w:cs="Arial"/>
          <w:sz w:val="20"/>
          <w:szCs w:val="20"/>
        </w:rPr>
        <w:t>Print</w:t>
      </w:r>
      <w:r w:rsidRPr="00427911">
        <w:rPr>
          <w:rFonts w:ascii="Arial" w:hAnsi="Arial" w:cs="Arial"/>
          <w:sz w:val="20"/>
          <w:szCs w:val="20"/>
        </w:rPr>
        <w:t>s</w:t>
      </w:r>
      <w:r w:rsidRPr="00427911">
        <w:rPr>
          <w:rFonts w:ascii="Arial" w:hAnsi="Arial" w:cs="Arial"/>
          <w:sz w:val="20"/>
          <w:szCs w:val="20"/>
        </w:rPr>
        <w:t xml:space="preserve"> steady-state NADH values for each oxygen level</w:t>
      </w:r>
      <w:r w:rsidRPr="00427911">
        <w:rPr>
          <w:rFonts w:ascii="Arial" w:hAnsi="Arial" w:cs="Arial"/>
          <w:sz w:val="20"/>
          <w:szCs w:val="20"/>
        </w:rPr>
        <w:t xml:space="preserve"> and b</w:t>
      </w:r>
      <w:r w:rsidRPr="00427911">
        <w:rPr>
          <w:rFonts w:ascii="Arial" w:hAnsi="Arial" w:cs="Arial"/>
          <w:sz w:val="20"/>
          <w:szCs w:val="20"/>
        </w:rPr>
        <w:t>ar chart of total and free cytosolic NADH across oxygen conditions</w:t>
      </w:r>
      <w:r w:rsidRPr="00427911">
        <w:rPr>
          <w:rFonts w:ascii="Arial" w:hAnsi="Arial" w:cs="Arial"/>
          <w:sz w:val="20"/>
          <w:szCs w:val="20"/>
        </w:rPr>
        <w:t xml:space="preserve">. </w:t>
      </w:r>
    </w:p>
    <w:p w14:paraId="063D3F7A" w14:textId="05F6D6A0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427911">
        <w:rPr>
          <w:rFonts w:ascii="Arial" w:hAnsi="Arial" w:cs="Arial"/>
          <w:b/>
          <w:bCs/>
          <w:sz w:val="20"/>
          <w:szCs w:val="20"/>
        </w:rPr>
        <w:t>CtBP_oligomerization.m</w:t>
      </w:r>
      <w:proofErr w:type="spellEnd"/>
    </w:p>
    <w:p w14:paraId="05F8FDA8" w14:textId="27211E2D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>Models CtBP1 and CtBP2 tetramer assembly as a function of free cytosolic NADH using Hill equations. Uses NADH values from the aerobic glycolysis model across six oxygen states.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P</w:t>
      </w:r>
      <w:r w:rsidRPr="00427911">
        <w:rPr>
          <w:rFonts w:ascii="Arial" w:hAnsi="Arial" w:cs="Arial"/>
          <w:sz w:val="20"/>
          <w:szCs w:val="20"/>
          <w:lang w:val="en-IN"/>
        </w:rPr>
        <w:t>rint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s </w:t>
      </w:r>
      <w:r w:rsidRPr="00427911">
        <w:rPr>
          <w:rFonts w:ascii="Arial" w:hAnsi="Arial" w:cs="Arial"/>
          <w:sz w:val="20"/>
          <w:szCs w:val="20"/>
          <w:lang w:val="en-IN"/>
        </w:rPr>
        <w:t>tetramer fraction (%) for CtBP1 and CtBP2 at each oxygen state</w:t>
      </w:r>
      <w:r w:rsidRPr="00427911">
        <w:rPr>
          <w:rFonts w:ascii="Arial" w:hAnsi="Arial" w:cs="Arial"/>
          <w:sz w:val="20"/>
          <w:szCs w:val="20"/>
          <w:lang w:val="en-IN"/>
        </w:rPr>
        <w:t>, g</w:t>
      </w:r>
      <w:r w:rsidRPr="00427911">
        <w:rPr>
          <w:rFonts w:ascii="Arial" w:hAnsi="Arial" w:cs="Arial"/>
          <w:sz w:val="20"/>
          <w:szCs w:val="20"/>
          <w:lang w:val="en-IN"/>
        </w:rPr>
        <w:t>rouped bar chart comparing tetramer fractions (with uncertainty range bars)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427911">
        <w:rPr>
          <w:rFonts w:ascii="Arial" w:hAnsi="Arial" w:cs="Arial"/>
          <w:sz w:val="20"/>
          <w:szCs w:val="20"/>
          <w:lang w:val="en-IN"/>
        </w:rPr>
        <w:t>Hill curve plots for CtBP1 and CtBP2 showing tetramer fraction vs. free NADH</w:t>
      </w:r>
      <w:r w:rsidRPr="00427911">
        <w:rPr>
          <w:rFonts w:ascii="Arial" w:hAnsi="Arial" w:cs="Arial"/>
          <w:sz w:val="20"/>
          <w:szCs w:val="20"/>
          <w:lang w:val="en-IN"/>
        </w:rPr>
        <w:t>.</w:t>
      </w:r>
    </w:p>
    <w:p w14:paraId="0CF6EE69" w14:textId="0B3426E8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427911">
        <w:rPr>
          <w:rFonts w:ascii="Arial" w:hAnsi="Arial" w:cs="Arial"/>
          <w:b/>
          <w:bCs/>
          <w:sz w:val="20"/>
          <w:szCs w:val="20"/>
        </w:rPr>
        <w:t>CtBP_utilization.m</w:t>
      </w:r>
      <w:proofErr w:type="spellEnd"/>
    </w:p>
    <w:p w14:paraId="59CC02CE" w14:textId="2945C3DC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>Compares three models of CtBP utilization as a function of free NADH</w:t>
      </w:r>
      <w:r w:rsidRPr="00427911">
        <w:rPr>
          <w:rFonts w:ascii="Arial" w:hAnsi="Arial" w:cs="Arial"/>
          <w:sz w:val="20"/>
          <w:szCs w:val="20"/>
          <w:lang w:val="en-IN"/>
        </w:rPr>
        <w:t>: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linear, Michaelis</w:t>
      </w:r>
      <w:r w:rsidRPr="00427911">
        <w:rPr>
          <w:rFonts w:ascii="Arial" w:hAnsi="Arial" w:cs="Arial"/>
          <w:sz w:val="20"/>
          <w:szCs w:val="20"/>
          <w:lang w:val="en-IN"/>
        </w:rPr>
        <w:t>-</w:t>
      </w:r>
      <w:r w:rsidRPr="00427911">
        <w:rPr>
          <w:rFonts w:ascii="Arial" w:hAnsi="Arial" w:cs="Arial"/>
          <w:sz w:val="20"/>
          <w:szCs w:val="20"/>
          <w:lang w:val="en-IN"/>
        </w:rPr>
        <w:t>Menten, and cooperative (Hill) against the Hill</w:t>
      </w:r>
      <w:r w:rsidRPr="00427911">
        <w:rPr>
          <w:rFonts w:ascii="Arial" w:hAnsi="Arial" w:cs="Arial"/>
          <w:sz w:val="20"/>
          <w:szCs w:val="20"/>
          <w:lang w:val="en-IN"/>
        </w:rPr>
        <w:t>-</w:t>
      </w:r>
      <w:r w:rsidRPr="00427911">
        <w:rPr>
          <w:rFonts w:ascii="Arial" w:hAnsi="Arial" w:cs="Arial"/>
          <w:sz w:val="20"/>
          <w:szCs w:val="20"/>
          <w:lang w:val="en-IN"/>
        </w:rPr>
        <w:t>equation production curve. Done separately for CtBP1 and CtBP2.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Gives </w:t>
      </w:r>
      <w:r w:rsidRPr="00427911">
        <w:rPr>
          <w:rFonts w:ascii="Arial" w:hAnsi="Arial" w:cs="Arial"/>
          <w:sz w:val="20"/>
          <w:szCs w:val="20"/>
          <w:lang w:val="en-IN"/>
        </w:rPr>
        <w:t>figures (one per paralog) showing all three utilization models alongside the actual production curve, with oxygen state data points annotated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2A2DF992" w14:textId="73B6BFB8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427911">
        <w:rPr>
          <w:rFonts w:ascii="Arial" w:hAnsi="Arial" w:cs="Arial"/>
          <w:b/>
          <w:bCs/>
          <w:sz w:val="20"/>
          <w:szCs w:val="20"/>
        </w:rPr>
        <w:t>RNAseq_Preprocessing.R</w:t>
      </w:r>
      <w:proofErr w:type="spellEnd"/>
    </w:p>
    <w:p w14:paraId="58EE1798" w14:textId="325A40A8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>Reads raw RNA-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seq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 count files, builds a count matrix, normalizes the data, and runs quality control.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Gives c</w:t>
      </w:r>
      <w:r w:rsidRPr="00427911">
        <w:rPr>
          <w:rFonts w:ascii="Arial" w:hAnsi="Arial" w:cs="Arial"/>
          <w:sz w:val="20"/>
          <w:szCs w:val="20"/>
          <w:lang w:val="en-IN"/>
        </w:rPr>
        <w:t>ount matrix and normalized counts (.csv)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, </w:t>
      </w:r>
      <w:r w:rsidRPr="00427911">
        <w:rPr>
          <w:rFonts w:ascii="Arial" w:hAnsi="Arial" w:cs="Arial"/>
          <w:sz w:val="20"/>
          <w:szCs w:val="20"/>
          <w:lang w:val="en-IN"/>
        </w:rPr>
        <w:t>QC plots: library size bar chart, PCA plot, sample distance heatmap, correlation heatmap (.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png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>)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427911">
        <w:rPr>
          <w:rFonts w:ascii="Arial" w:hAnsi="Arial" w:cs="Arial"/>
          <w:sz w:val="20"/>
          <w:szCs w:val="20"/>
          <w:lang w:val="en-IN"/>
        </w:rPr>
        <w:t>DESeq2 object and analysis config (.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rds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>) for use in the next script</w:t>
      </w:r>
      <w:r w:rsidRPr="00427911">
        <w:rPr>
          <w:rFonts w:ascii="Arial" w:hAnsi="Arial" w:cs="Arial"/>
          <w:sz w:val="20"/>
          <w:szCs w:val="20"/>
          <w:lang w:val="en-IN"/>
        </w:rPr>
        <w:t>.</w:t>
      </w:r>
    </w:p>
    <w:p w14:paraId="05FBF654" w14:textId="33786F79" w:rsidR="00427911" w:rsidRPr="00427911" w:rsidRDefault="00427911" w:rsidP="00427911">
      <w:pPr>
        <w:tabs>
          <w:tab w:val="num" w:pos="720"/>
        </w:tabs>
        <w:rPr>
          <w:rFonts w:ascii="Arial" w:eastAsiaTheme="minorEastAsia" w:hAnsi="Arial" w:cs="Arial"/>
          <w:color w:val="000000" w:themeColor="text1"/>
          <w:sz w:val="20"/>
          <w:szCs w:val="20"/>
        </w:rPr>
      </w:pPr>
      <w:r w:rsidRPr="00427911">
        <w:rPr>
          <w:rFonts w:ascii="Arial" w:hAnsi="Arial" w:cs="Arial"/>
          <w:sz w:val="20"/>
          <w:szCs w:val="20"/>
          <w:lang w:val="en-IN"/>
        </w:rPr>
        <w:t xml:space="preserve">Data needed: RNA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seq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 data </w:t>
      </w:r>
      <w:r w:rsidRPr="00427911">
        <w:rPr>
          <w:rFonts w:ascii="Arial" w:eastAsiaTheme="minorEastAsia" w:hAnsi="Arial" w:cs="Arial"/>
          <w:color w:val="000000" w:themeColor="text1"/>
          <w:sz w:val="20"/>
          <w:szCs w:val="20"/>
        </w:rPr>
        <w:t>GSE20020</w:t>
      </w:r>
      <w:r w:rsidRPr="00427911">
        <w:rPr>
          <w:rFonts w:ascii="Arial" w:eastAsiaTheme="minorEastAsia" w:hAnsi="Arial" w:cs="Arial"/>
          <w:color w:val="000000" w:themeColor="text1"/>
          <w:sz w:val="20"/>
          <w:szCs w:val="20"/>
        </w:rPr>
        <w:t>4 (</w:t>
      </w:r>
      <w:hyperlink r:id="rId5" w:history="1">
        <w:r w:rsidRPr="00427911">
          <w:rPr>
            <w:rStyle w:val="Hyperlink"/>
            <w:rFonts w:ascii="Arial" w:hAnsi="Arial" w:cs="Arial"/>
            <w:sz w:val="20"/>
            <w:szCs w:val="20"/>
          </w:rPr>
          <w:t>https://www.ncbi.nlm.nih.gov/geo/query/acc.cgi?acc=GSE200024</w:t>
        </w:r>
      </w:hyperlink>
      <w:r w:rsidRPr="00427911">
        <w:rPr>
          <w:rFonts w:ascii="Arial" w:eastAsiaTheme="minorEastAsia" w:hAnsi="Arial" w:cs="Arial"/>
          <w:color w:val="000000" w:themeColor="text1"/>
          <w:sz w:val="20"/>
          <w:szCs w:val="20"/>
        </w:rPr>
        <w:t>)</w:t>
      </w:r>
    </w:p>
    <w:p w14:paraId="25766586" w14:textId="072851F8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427911">
        <w:rPr>
          <w:rFonts w:ascii="Arial" w:hAnsi="Arial" w:cs="Arial"/>
          <w:b/>
          <w:bCs/>
          <w:sz w:val="20"/>
          <w:szCs w:val="20"/>
        </w:rPr>
        <w:t>RNAseq_</w:t>
      </w:r>
      <w:proofErr w:type="gramStart"/>
      <w:r w:rsidRPr="00427911">
        <w:rPr>
          <w:rFonts w:ascii="Arial" w:hAnsi="Arial" w:cs="Arial"/>
          <w:b/>
          <w:bCs/>
          <w:sz w:val="20"/>
          <w:szCs w:val="20"/>
        </w:rPr>
        <w:t>analysis.R</w:t>
      </w:r>
      <w:proofErr w:type="spellEnd"/>
      <w:proofErr w:type="gramEnd"/>
    </w:p>
    <w:p w14:paraId="09FF40D6" w14:textId="2066FE07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  <w:sz w:val="20"/>
          <w:szCs w:val="20"/>
          <w:lang w:val="en-IN"/>
        </w:rPr>
      </w:pPr>
      <w:r w:rsidRPr="00427911">
        <w:rPr>
          <w:rFonts w:ascii="Arial" w:hAnsi="Arial" w:cs="Arial"/>
          <w:sz w:val="20"/>
          <w:szCs w:val="20"/>
          <w:lang w:val="en-IN"/>
        </w:rPr>
        <w:t xml:space="preserve">Runs DESeq2 differential gene expression analysis (hypoxia vs.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normoxia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>) across multiple cell lines. Generates pathway-level heatmaps for three gene sets: aerobic glycolysis, hypoxia response, and CtBP-related genes.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Produces D</w:t>
      </w:r>
      <w:r w:rsidRPr="00427911">
        <w:rPr>
          <w:rFonts w:ascii="Arial" w:hAnsi="Arial" w:cs="Arial"/>
          <w:sz w:val="20"/>
          <w:szCs w:val="20"/>
          <w:lang w:val="en-IN"/>
        </w:rPr>
        <w:t>ESeq2 results per cell line (.csv)</w:t>
      </w:r>
      <w:r w:rsidRPr="00427911">
        <w:rPr>
          <w:rFonts w:ascii="Arial" w:hAnsi="Arial" w:cs="Arial"/>
          <w:sz w:val="20"/>
          <w:szCs w:val="20"/>
          <w:lang w:val="en-IN"/>
        </w:rPr>
        <w:t>, f</w:t>
      </w:r>
      <w:r w:rsidRPr="00427911">
        <w:rPr>
          <w:rFonts w:ascii="Arial" w:hAnsi="Arial" w:cs="Arial"/>
          <w:sz w:val="20"/>
          <w:szCs w:val="20"/>
          <w:lang w:val="en-IN"/>
        </w:rPr>
        <w:t>ull and significant-only heatmaps for each pathway (.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png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>)</w:t>
      </w:r>
      <w:r w:rsidRPr="00427911">
        <w:rPr>
          <w:rFonts w:ascii="Arial" w:hAnsi="Arial" w:cs="Arial"/>
          <w:sz w:val="20"/>
          <w:szCs w:val="20"/>
          <w:lang w:val="en-IN"/>
        </w:rPr>
        <w:t xml:space="preserve"> and s</w:t>
      </w:r>
      <w:r w:rsidRPr="00427911">
        <w:rPr>
          <w:rFonts w:ascii="Arial" w:hAnsi="Arial" w:cs="Arial"/>
          <w:sz w:val="20"/>
          <w:szCs w:val="20"/>
          <w:lang w:val="en-IN"/>
        </w:rPr>
        <w:t>ummary table of pathway gene results (.csv)</w:t>
      </w:r>
      <w:r w:rsidRPr="00427911">
        <w:rPr>
          <w:rFonts w:ascii="Arial" w:hAnsi="Arial" w:cs="Arial"/>
          <w:sz w:val="20"/>
          <w:szCs w:val="20"/>
          <w:lang w:val="en-IN"/>
        </w:rPr>
        <w:t>.</w:t>
      </w:r>
    </w:p>
    <w:p w14:paraId="299AC482" w14:textId="28375055" w:rsidR="00427911" w:rsidRPr="00427911" w:rsidRDefault="00427911" w:rsidP="00427911">
      <w:pPr>
        <w:tabs>
          <w:tab w:val="num" w:pos="720"/>
        </w:tabs>
        <w:jc w:val="both"/>
        <w:rPr>
          <w:rFonts w:ascii="Arial" w:hAnsi="Arial" w:cs="Arial"/>
        </w:rPr>
      </w:pPr>
      <w:r w:rsidRPr="00427911">
        <w:rPr>
          <w:rFonts w:ascii="Arial" w:hAnsi="Arial" w:cs="Arial"/>
          <w:sz w:val="20"/>
          <w:szCs w:val="20"/>
          <w:lang w:val="en-IN"/>
        </w:rPr>
        <w:t xml:space="preserve">Requires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analysis_config.rds</w:t>
      </w:r>
      <w:proofErr w:type="spellEnd"/>
      <w:r w:rsidRPr="00427911">
        <w:rPr>
          <w:rFonts w:ascii="Arial" w:hAnsi="Arial" w:cs="Arial"/>
          <w:sz w:val="20"/>
          <w:szCs w:val="20"/>
          <w:lang w:val="en-IN"/>
        </w:rPr>
        <w:t xml:space="preserve"> produced by </w:t>
      </w:r>
      <w:proofErr w:type="spellStart"/>
      <w:r w:rsidRPr="00427911">
        <w:rPr>
          <w:rFonts w:ascii="Arial" w:hAnsi="Arial" w:cs="Arial"/>
          <w:sz w:val="20"/>
          <w:szCs w:val="20"/>
          <w:lang w:val="en-IN"/>
        </w:rPr>
        <w:t>RNAseq_Preprocessing.R</w:t>
      </w:r>
      <w:proofErr w:type="spellEnd"/>
    </w:p>
    <w:sectPr w:rsidR="00427911" w:rsidRPr="0042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D25"/>
    <w:multiLevelType w:val="multilevel"/>
    <w:tmpl w:val="8A0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5FB"/>
    <w:multiLevelType w:val="multilevel"/>
    <w:tmpl w:val="C88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70B5"/>
    <w:multiLevelType w:val="multilevel"/>
    <w:tmpl w:val="27E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5D78"/>
    <w:multiLevelType w:val="multilevel"/>
    <w:tmpl w:val="340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50B49"/>
    <w:multiLevelType w:val="multilevel"/>
    <w:tmpl w:val="447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645FC"/>
    <w:multiLevelType w:val="multilevel"/>
    <w:tmpl w:val="12A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C078C"/>
    <w:multiLevelType w:val="multilevel"/>
    <w:tmpl w:val="5E2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403A0"/>
    <w:multiLevelType w:val="multilevel"/>
    <w:tmpl w:val="6D3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4038E"/>
    <w:multiLevelType w:val="multilevel"/>
    <w:tmpl w:val="3C7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2519C"/>
    <w:multiLevelType w:val="multilevel"/>
    <w:tmpl w:val="232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106571">
    <w:abstractNumId w:val="8"/>
  </w:num>
  <w:num w:numId="2" w16cid:durableId="1634093567">
    <w:abstractNumId w:val="3"/>
  </w:num>
  <w:num w:numId="3" w16cid:durableId="467943175">
    <w:abstractNumId w:val="1"/>
  </w:num>
  <w:num w:numId="4" w16cid:durableId="6293693">
    <w:abstractNumId w:val="4"/>
  </w:num>
  <w:num w:numId="5" w16cid:durableId="1408261354">
    <w:abstractNumId w:val="9"/>
  </w:num>
  <w:num w:numId="6" w16cid:durableId="298263721">
    <w:abstractNumId w:val="0"/>
  </w:num>
  <w:num w:numId="7" w16cid:durableId="597524343">
    <w:abstractNumId w:val="7"/>
  </w:num>
  <w:num w:numId="8" w16cid:durableId="1071807909">
    <w:abstractNumId w:val="6"/>
  </w:num>
  <w:num w:numId="9" w16cid:durableId="251857155">
    <w:abstractNumId w:val="2"/>
  </w:num>
  <w:num w:numId="10" w16cid:durableId="458300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E7"/>
    <w:rsid w:val="00145F51"/>
    <w:rsid w:val="00427911"/>
    <w:rsid w:val="008458CE"/>
    <w:rsid w:val="00973359"/>
    <w:rsid w:val="00D97BE7"/>
    <w:rsid w:val="00F5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0EB9"/>
  <w15:chartTrackingRefBased/>
  <w15:docId w15:val="{57CC623B-1031-4EE7-A416-0B6A8884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91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9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geo/query/acc.cgi?acc=GSE200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4279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Shukla</dc:creator>
  <cp:keywords/>
  <dc:description/>
  <cp:lastModifiedBy>Saumya Shukla</cp:lastModifiedBy>
  <cp:revision>2</cp:revision>
  <dcterms:created xsi:type="dcterms:W3CDTF">2026-10-11T17:30:00Z</dcterms:created>
  <dcterms:modified xsi:type="dcterms:W3CDTF">2026-10-14T23:27:00Z</dcterms:modified>
</cp:coreProperties>
</file>