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Dear Editor,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submit our manuscript entitled </w:t>
      </w:r>
      <w:r w:rsidDel="00000000" w:rsidR="00000000" w:rsidRPr="00000000">
        <w:rPr>
          <w:i w:val="1"/>
          <w:rtl w:val="0"/>
        </w:rPr>
        <w:t xml:space="preserve">"PREDICT-AML: Personalized REsponse via Drug Interaction and Cellular Traits for Acute Myeloid Leukemia"</w:t>
      </w:r>
      <w:r w:rsidDel="00000000" w:rsidR="00000000" w:rsidRPr="00000000">
        <w:rPr>
          <w:rtl w:val="0"/>
        </w:rPr>
        <w:t xml:space="preserve"> for your consideration. This study presents a comprehensive machine learning framework designed to forecast personalized drug responses in AML patients using the richly annotated BeatAML cohort.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PREDICT-AML addresses key limitations of prior retrospective studies by introducing a robust predictive and interpretable model that integrates multi-omic features with pharmacological representations. We believe this work will be of strong interest to readers in the fields of computational oncology, machine learning, and precision medicine.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novelties of this study include: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of patient-specific drug-pathway proximity</w:t>
      </w:r>
      <w:r w:rsidDel="00000000" w:rsidR="00000000" w:rsidRPr="00000000">
        <w:rPr>
          <w:rtl w:val="0"/>
        </w:rPr>
        <w:t xml:space="preserve"> via network propagation on protein interaction networks, enabling mechanistic alignment between drugs and oncogenic processes.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Dual drug representation strategies</w:t>
      </w:r>
      <w:r w:rsidDel="00000000" w:rsidR="00000000" w:rsidRPr="00000000">
        <w:rPr>
          <w:rtl w:val="0"/>
        </w:rPr>
        <w:t xml:space="preserve"> using both Morgan Fingerprints and deep SMILES embeddings (via TF-LSTM) to capture chemical and structural nuances of compounds.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Multi-modal patient feature engineering</w:t>
      </w:r>
      <w:r w:rsidDel="00000000" w:rsidR="00000000" w:rsidRPr="00000000">
        <w:rPr>
          <w:rtl w:val="0"/>
        </w:rPr>
        <w:t xml:space="preserve"> incorporates gene expression, mutations, pathway activity, immune cell states, and clinical annotations to comprehensively model drug sensitivity.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Systematic benchmarking</w:t>
      </w:r>
      <w:r w:rsidDel="00000000" w:rsidR="00000000" w:rsidRPr="00000000">
        <w:rPr>
          <w:rtl w:val="0"/>
        </w:rPr>
        <w:t xml:space="preserve"> of traditional and deep learning models, with CatBoost emerging as the optimal predictor (test MAE: 39.04; Pearson’s </w:t>
      </w:r>
      <w:r w:rsidDel="00000000" w:rsidR="00000000" w:rsidRPr="00000000">
        <w:rPr>
          <w:i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: 0.66) showing strong generalization on an unseen cohort.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Biological interpretability using SHAP</w:t>
      </w:r>
      <w:r w:rsidDel="00000000" w:rsidR="00000000" w:rsidRPr="00000000">
        <w:rPr>
          <w:rtl w:val="0"/>
        </w:rPr>
        <w:t xml:space="preserve"> to identify predictive molecular features and pathway associations, supporting mechanistic insights and potential biomarker discovery.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association analysis</w:t>
      </w:r>
      <w:r w:rsidDel="00000000" w:rsidR="00000000" w:rsidRPr="00000000">
        <w:rPr>
          <w:rtl w:val="0"/>
        </w:rPr>
        <w:t xml:space="preserve"> revealing key modulators of drug sensitivity, including CD300E, LGALS2, and the immunogenic cell death (ICD) pathway offering translational relevance.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release of code and workflows</w:t>
      </w:r>
      <w:r w:rsidDel="00000000" w:rsidR="00000000" w:rsidRPr="00000000">
        <w:rPr>
          <w:rtl w:val="0"/>
        </w:rPr>
        <w:t xml:space="preserve">, ensuring reproducibility and accessibility for the broader research community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https://github.com/raghvendra5688/PT-AML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this work represents a significant advance toward data-driven, patient-specific therapeutic strategies in AML and lays the groundwork for future clinical translation. Thank you for considering our manuscript. We look forward to your feedback.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contact information is e-mail: rraghvendramall@ieee.org. None of these data have been published or are under consideration elsewhere. Please don’t hesitate to contact us if you would like any additional information or have any questions.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Regards,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Raghvendra Mall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ghvendra5688/PT-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