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To gain mechanistic insight into the features influencing drug response predictions, we investigated the association between predicted AUC values and various biological features across the top 10 best-predicted drugs in both the training and test sets. These drugs—Venetoclax, Selumetinib (AZD6244), Trametinib (GSK1120212), Rapamycin, Motesanib (AMG-706), 17-AAG (Tanespimycin), Dasatinib, Cabozantinib, Elesclomol, and Sorafenib—were selected based on their </w:t>
      </w:r>
      <w:r>
        <w:rPr/>
        <w:t>high performance (in terms of pearson correlation [r] and MAE)</w:t>
      </w:r>
      <w:r>
        <w:rPr/>
        <w:t xml:space="preserve"> </w:t>
      </w:r>
      <w:r>
        <w:rPr/>
        <w:t>using</w:t>
      </w:r>
      <w:r>
        <w:rPr/>
        <w:t xml:space="preserve"> the CatBoost framework.</w:t>
      </w:r>
    </w:p>
    <w:p>
      <w:pPr>
        <w:pStyle w:val="Normal"/>
        <w:rPr/>
      </w:pPr>
      <w:r>
        <w:rPr/>
        <w:t xml:space="preserve">For each drug, we performed linear regression analysis between predicted AUC values and continuous features such as gene expression, pathway activity scores, cell type enrichments, and module scores, while using Wilcoxon rank-sum tests for binary features like gene mutation states. This was done separately for both the train (Waves 1+2) and test (Waves 3+4) cohorts. The primary objective was to identify linearly associated features that may contribute to or correlate </w:t>
      </w:r>
      <w:r>
        <w:rPr/>
        <w:t>significantly with</w:t>
      </w:r>
      <w:r>
        <w:rPr/>
        <w:t xml:space="preserve"> drug sensitivity as captured by </w:t>
      </w:r>
      <w:r>
        <w:rPr/>
        <w:t xml:space="preserve">our optimal CatBoost </w:t>
      </w:r>
      <w:r>
        <w:rPr/>
        <w:t>model.</w:t>
      </w:r>
    </w:p>
    <w:p>
      <w:pPr>
        <w:pStyle w:val="Normal"/>
        <w:rPr/>
      </w:pPr>
      <w:r>
        <w:rPr/>
        <w:t>Despite the CatBoost model being non-linear and capable of learning complex, high-order interactions between features, the linear analyses revealed a number of direct associations that were consistent across multiple drugs. Notably, the following features showed statistically significant (</w:t>
      </w:r>
      <w:r>
        <w:rPr/>
        <w:t>p-adjust</w:t>
      </w:r>
      <w:r>
        <w:rPr/>
        <w:t xml:space="preserve"> &lt; 0.05) associations with predicted AUC values across several drugs in both training and test cohorts:</w:t>
      </w:r>
    </w:p>
    <w:p>
      <w:pPr>
        <w:pStyle w:val="Normal"/>
        <w:numPr>
          <w:ilvl w:val="0"/>
          <w:numId w:val="1"/>
        </w:numPr>
        <w:rPr/>
      </w:pPr>
      <w:r>
        <w:rPr/>
        <w:t>CD300E (gene expression)</w:t>
      </w:r>
    </w:p>
    <w:p>
      <w:pPr>
        <w:pStyle w:val="Normal"/>
        <w:numPr>
          <w:ilvl w:val="0"/>
          <w:numId w:val="1"/>
        </w:numPr>
        <w:rPr/>
      </w:pPr>
      <w:r>
        <w:rPr/>
        <w:t xml:space="preserve">ARHGEF10L_x </w:t>
      </w:r>
    </w:p>
    <w:p>
      <w:pPr>
        <w:pStyle w:val="Normal"/>
        <w:numPr>
          <w:ilvl w:val="0"/>
          <w:numId w:val="1"/>
        </w:numPr>
        <w:rPr/>
      </w:pPr>
      <w:r>
        <w:rPr/>
        <w:t>LGALS2 (gene expression)</w:t>
      </w:r>
    </w:p>
    <w:p>
      <w:pPr>
        <w:pStyle w:val="Normal"/>
        <w:numPr>
          <w:ilvl w:val="0"/>
          <w:numId w:val="1"/>
        </w:numPr>
        <w:rPr/>
      </w:pPr>
      <w:r>
        <w:rPr/>
        <w:t>VCAN (gene expression)</w:t>
      </w:r>
    </w:p>
    <w:p>
      <w:pPr>
        <w:pStyle w:val="Normal"/>
        <w:numPr>
          <w:ilvl w:val="0"/>
          <w:numId w:val="1"/>
        </w:numPr>
        <w:rPr/>
      </w:pPr>
      <w:r>
        <w:rPr/>
        <w:t xml:space="preserve">M1 </w:t>
      </w:r>
    </w:p>
    <w:p>
      <w:pPr>
        <w:pStyle w:val="Normal"/>
        <w:numPr>
          <w:ilvl w:val="0"/>
          <w:numId w:val="1"/>
        </w:numPr>
        <w:rPr/>
      </w:pPr>
      <w:r>
        <w:rPr/>
        <w:t>cDC-like (dendritic cell-like) cell type enrichment</w:t>
      </w:r>
    </w:p>
    <w:p>
      <w:pPr>
        <w:pStyle w:val="Normal"/>
        <w:numPr>
          <w:ilvl w:val="0"/>
          <w:numId w:val="1"/>
        </w:numPr>
        <w:rPr/>
      </w:pPr>
      <w:r>
        <w:rPr/>
        <w:t>Immunogenic.Cell.Deat</w:t>
      </w:r>
      <w:r>
        <w:rPr/>
        <w:t>h pathway activity</w:t>
      </w:r>
    </w:p>
    <w:p>
      <w:pPr>
        <w:pStyle w:val="Normal"/>
        <w:rPr/>
      </w:pPr>
      <w:r>
        <w:rPr/>
        <w:t xml:space="preserve">These features emerged repeatedly in the top associations across </w:t>
      </w:r>
      <w:r>
        <w:rPr/>
        <w:t>the top 10</w:t>
      </w:r>
      <w:r>
        <w:rPr/>
        <w:t xml:space="preserve"> drugs, indicating that they may serve as shared modulators or correlates of sensitivity </w:t>
      </w:r>
      <w:r>
        <w:rPr/>
        <w:t>or resistance across</w:t>
      </w:r>
      <w:r>
        <w:rPr/>
        <w:t xml:space="preserve"> multiple agents. For example, VCAN expression showed a moderately strong linear correlation (R² ~0.5) with predicted AUC values for Venetoclax and Rapamycin, suggesting its role in shaping tumor cell vulnerability to these agents. Similarly, CD300E and cDC-like cell enrichment consistently exhibited positive associations with drugs </w:t>
      </w:r>
      <w:r>
        <w:rPr/>
        <w:t xml:space="preserve">known to </w:t>
      </w:r>
      <w:r>
        <w:rPr/>
        <w:t>target apoptotic pathways (e.g., Trametinib, Dasatinib, and Selumetinib).</w:t>
      </w:r>
    </w:p>
    <w:p>
      <w:pPr>
        <w:pStyle w:val="Normal"/>
        <w:rPr>
          <w:color w:val="355269"/>
        </w:rPr>
      </w:pPr>
      <w:commentRangeStart w:id="0"/>
      <w:r>
        <w:rPr>
          <w:color w:val="355269"/>
        </w:rPr>
        <w:t xml:space="preserve">It is crucial to emphasize that our predictive model (CatBoost) is non-linear, meaning that it learns interactions and conditional dependencies among features that are not captured by univariate linear models. Thus, a given feature may appear weak or non-significant in isolation (in linear regression) but may have a strong, non-linear effect in combination with other features within the model. This explains why some features with low standalone β- coefficients or non-significant p-values in linear regression were </w:t>
      </w:r>
      <w:r>
        <w:rPr>
          <w:color w:val="355269"/>
        </w:rPr>
        <w:t xml:space="preserve">imperative for </w:t>
      </w:r>
      <w:r>
        <w:rPr>
          <w:color w:val="355269"/>
        </w:rPr>
        <w:t xml:space="preserve">the model’s prediction. </w:t>
      </w:r>
    </w:p>
    <w:p>
      <w:pPr>
        <w:pStyle w:val="Normal"/>
        <w:rPr/>
      </w:pPr>
      <w:r>
        <w:rPr>
          <w:color w:val="355269"/>
        </w:rPr>
      </w:r>
      <w:commentRangeEnd w:id="0"/>
      <w:r>
        <w:commentReference w:id="0"/>
      </w:r>
      <w:r>
        <w:rPr/>
        <w:t xml:space="preserve">To visually </w:t>
      </w:r>
      <w:r>
        <w:rPr/>
        <w:t>represent these results</w:t>
      </w:r>
      <w:r>
        <w:rPr/>
        <w:t>, we generated regression plots for each drug-feature pair, showing both the directionality and strength (</w:t>
      </w:r>
      <w:r>
        <w:rPr/>
        <w:t>pearson correlation [r]</w:t>
      </w:r>
      <w:r>
        <w:rPr/>
        <w:t>, p-value) of associations for each drug in the test and train sets. These plots illustrate variability across drugs and further reinforce that some features consistently associate with drug response (e.g., CD300E, M1, LGALS2), while others are more drug-specific.</w:t>
      </w:r>
    </w:p>
    <w:p>
      <w:pPr>
        <w:pStyle w:val="Normal"/>
        <w:rPr/>
      </w:pPr>
      <w:r>
        <w:rPr/>
        <w:t xml:space="preserve">In summary, this analysis reveals a core set of interpretable, biologically meaningful features that are commonly associated with </w:t>
      </w:r>
      <w:r>
        <w:rPr/>
        <w:t xml:space="preserve">the </w:t>
      </w:r>
      <w:r>
        <w:rPr/>
        <w:t xml:space="preserve">predicted drug </w:t>
      </w:r>
      <w:r>
        <w:rPr/>
        <w:t>sensitivity</w:t>
      </w:r>
      <w:r>
        <w:rPr/>
        <w:t xml:space="preserve"> in AML. </w:t>
      </w:r>
      <w:r>
        <w:rPr/>
        <w:t>D</w:t>
      </w:r>
      <w:r>
        <w:rPr/>
        <w:t xml:space="preserve">espite the underlying model being non-linear, </w:t>
      </w:r>
      <w:r>
        <w:rPr/>
        <w:t>t</w:t>
      </w:r>
      <w:r>
        <w:rPr/>
        <w:t xml:space="preserve">hese features </w:t>
      </w:r>
      <w:r>
        <w:rPr/>
        <w:t>can</w:t>
      </w:r>
      <w:r>
        <w:rPr/>
        <w:t xml:space="preserve"> serve as candidate biomarkers. </w:t>
      </w:r>
    </w:p>
    <w:p>
      <w:pPr>
        <w:pStyle w:val="Normal"/>
        <w:rPr>
          <w:color w:val="FF0000"/>
        </w:rPr>
      </w:pPr>
      <w:r>
        <w:rPr/>
      </w:r>
    </w:p>
    <w:p>
      <w:pPr>
        <w:pStyle w:val="Normal"/>
        <w:rPr>
          <w:color w:val="FF0000"/>
        </w:rPr>
      </w:pPr>
      <w:r>
        <w:rPr>
          <w:color w:val="FF0000"/>
        </w:rPr>
        <w:t>Plot description</w:t>
      </w:r>
    </w:p>
    <w:p>
      <w:pPr>
        <w:pStyle w:val="Normal"/>
        <w:widowControl/>
        <w:bidi w:val="0"/>
        <w:spacing w:lineRule="auto" w:line="276" w:before="0" w:after="160"/>
        <w:jc w:val="left"/>
        <w:rPr/>
      </w:pPr>
      <w:r>
        <w:rPr/>
        <w:t>The CD300E gene expression shows strong positive correlations with drugs like Trametinib and Venetoclax, where higher expression consistently predicts better treatment response (higher AUC values) in both training and test sets, suggesting th</w:t>
      </w:r>
      <w:r>
        <w:rPr/>
        <w:t>e overexpression of this</w:t>
      </w:r>
      <w:r>
        <w:rPr/>
        <w:t xml:space="preserve"> immune cell receptor </w:t>
      </w:r>
      <w:r>
        <w:rPr/>
        <w:t>can potentially make the</w:t>
      </w:r>
      <w:r>
        <w:rPr/>
        <w:t xml:space="preserve"> leukemi</w:t>
      </w:r>
      <w:r>
        <w:rPr/>
        <w:t>a patients</w:t>
      </w:r>
      <w:r>
        <w:rPr/>
        <w:t xml:space="preserve"> more </w:t>
      </w:r>
      <w:r>
        <w:rPr/>
        <w:t>responsive</w:t>
      </w:r>
      <w:r>
        <w:rPr/>
        <w:t xml:space="preserve"> to targeted therapy. In contrast, the relationship between ARHGEF10L mutation and drug response appears more complex, with some drugs showing </w:t>
      </w:r>
      <w:r>
        <w:rPr/>
        <w:t>more distinct</w:t>
      </w:r>
      <w:r>
        <w:rPr/>
        <w:t xml:space="preserve"> positive correlations than others, potentially reflecting how this Rho GTPase exchange factor influences cellular processes differently depending on the drug's mechanism of action </w:t>
      </w:r>
      <w:r>
        <w:rPr/>
        <w:t>and the patient’s genomic profile</w:t>
      </w:r>
      <w:r>
        <w:rPr/>
        <w:t xml:space="preserve">. The cDC-like immune signature displays particularly consistent positive correlations across most drugs except Sorafenib and Elesclomol, indicating conventional dendritic cell-like characteristics may create a favorable microenvironment for drug effectiveness. LGALS2 gene expression similarly shows positive associations with most drugs, though the slope varies significantly, with Trametinib showing the </w:t>
      </w:r>
      <w:r>
        <w:rPr/>
        <w:t>best</w:t>
      </w:r>
      <w:r>
        <w:rPr/>
        <w:t xml:space="preserve"> response </w:t>
      </w:r>
      <w:r>
        <w:rPr/>
        <w:t>association (</w:t>
      </w:r>
      <w:r>
        <w:rPr/>
        <w:commentReference w:id="1"/>
      </w:r>
      <w:r>
        <w:rPr/>
        <w:t>)</w:t>
      </w:r>
      <w:r>
        <w:rPr/>
        <w:t>, suggesting galectin-2's inflammatory modulation has varying impacts depending on the signaling pathway targeted. Versican (VCAN) expression demonstrates pronounced positive correlations, especially with Trametinib and Venetoclax, where the wide range of expression values produces a clear linear relationship, suggesting this extracellular matrix protein may modify drug accessibility or cellular sensitivity. Most distinctively, the Immunogenic Cell Death pathway score shows an exceptionally strong correlation with Venetoclax (R² = 0.58), far exceeding its correlation with other drugs, which makes biological sense given Venetoclax's mechanism in triggering apoptosis through BCL-2 inhibition, directly engaging cell death pathways.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5-11T08:21:42Z" w:initials="">
    <w:p>
      <w:r>
        <w:rPr>
          <w:rFonts w:eastAsia="Aptos" w:cstheme="minorBidi" w:eastAsiaTheme="minorHAnsi"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US"/>
          <w14:ligatures w14:val="standardContextual"/>
        </w:rPr>
        <w:t>this can go in Discussion</w:t>
      </w:r>
    </w:p>
  </w:comment>
  <w:comment w:id="1" w:author="Unknown Author" w:date="2025-05-11T08:26:43Z" w:initials="">
    <w:p>
      <w:r>
        <w:rPr>
          <w:rFonts w:eastAsia="Aptos" w:cstheme="minorBidi" w:eastAsiaTheme="minorHAnsi" w:cs=""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US"/>
          <w14:ligatures w14:val="standardContextual"/>
        </w:rPr>
        <w:t>add pearson r and p-value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Garamond">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1472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41472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41472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41472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41472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41472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1472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1472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1472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1472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41472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41472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41472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41472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41472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1472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1472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14729"/>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1472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14729"/>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14729"/>
    <w:rPr>
      <w:i/>
      <w:iCs/>
      <w:color w:val="404040" w:themeColor="text1" w:themeTint="bf"/>
    </w:rPr>
  </w:style>
  <w:style w:type="character" w:styleId="IntenseEmphasis">
    <w:name w:val="Intense Emphasis"/>
    <w:basedOn w:val="DefaultParagraphFont"/>
    <w:uiPriority w:val="21"/>
    <w:qFormat/>
    <w:rsid w:val="00414729"/>
    <w:rPr>
      <w:i/>
      <w:iCs/>
      <w:color w:val="0F4761" w:themeColor="accent1" w:themeShade="bf"/>
    </w:rPr>
  </w:style>
  <w:style w:type="character" w:styleId="IntenseQuoteChar" w:customStyle="1">
    <w:name w:val="Intense Quote Char"/>
    <w:basedOn w:val="DefaultParagraphFont"/>
    <w:link w:val="IntenseQuote"/>
    <w:uiPriority w:val="30"/>
    <w:qFormat/>
    <w:rsid w:val="00414729"/>
    <w:rPr>
      <w:i/>
      <w:iCs/>
      <w:color w:val="0F4761" w:themeColor="accent1" w:themeShade="bf"/>
    </w:rPr>
  </w:style>
  <w:style w:type="character" w:styleId="IntenseReference">
    <w:name w:val="Intense Reference"/>
    <w:basedOn w:val="DefaultParagraphFont"/>
    <w:uiPriority w:val="32"/>
    <w:qFormat/>
    <w:rsid w:val="00414729"/>
    <w:rPr>
      <w:b/>
      <w:bCs/>
      <w:smallCaps/>
      <w:color w:val="0F4761" w:themeColor="accent1" w:themeShade="bf"/>
      <w:spacing w:val="5"/>
    </w:rPr>
  </w:style>
  <w:style w:type="character" w:styleId="BodyTextChar" w:customStyle="1">
    <w:name w:val="Body Text Char"/>
    <w:basedOn w:val="DefaultParagraphFont"/>
    <w:qFormat/>
    <w:rsid w:val="00cb4e72"/>
    <w:rPr>
      <w:rFonts w:ascii="Garamond" w:hAnsi="Garamond" w:eastAsia="Times New Roman" w:cs="Times New Roman"/>
      <w:kern w:val="0"/>
      <w:sz w:val="22"/>
      <w:szCs w:val="20"/>
      <w14:ligatures w14:val="non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cb4e72"/>
    <w:pPr>
      <w:spacing w:lineRule="atLeast" w:line="240" w:before="0" w:after="240"/>
      <w:ind w:firstLine="360"/>
      <w:jc w:val="both"/>
    </w:pPr>
    <w:rPr>
      <w:rFonts w:ascii="Garamond" w:hAnsi="Garamond" w:eastAsia="Times New Roman" w:cs="Times New Roman"/>
      <w:kern w:val="0"/>
      <w:sz w:val="22"/>
      <w:szCs w:val="20"/>
      <w14:ligatures w14:val="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1472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14729"/>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14729"/>
    <w:pPr>
      <w:spacing w:before="160" w:after="160"/>
      <w:jc w:val="center"/>
    </w:pPr>
    <w:rPr>
      <w:i/>
      <w:iCs/>
      <w:color w:val="404040" w:themeColor="text1" w:themeTint="bf"/>
    </w:rPr>
  </w:style>
  <w:style w:type="paragraph" w:styleId="ListParagraph">
    <w:name w:val="List Paragraph"/>
    <w:basedOn w:val="Normal"/>
    <w:uiPriority w:val="34"/>
    <w:qFormat/>
    <w:rsid w:val="00414729"/>
    <w:pPr>
      <w:spacing w:before="0" w:after="160"/>
      <w:ind w:left="720" w:hanging="0"/>
      <w:contextualSpacing/>
    </w:pPr>
    <w:rPr/>
  </w:style>
  <w:style w:type="paragraph" w:styleId="IntenseQuote">
    <w:name w:val="Intense Quote"/>
    <w:basedOn w:val="Normal"/>
    <w:next w:val="Normal"/>
    <w:link w:val="IntenseQuoteChar"/>
    <w:uiPriority w:val="30"/>
    <w:qFormat/>
    <w:rsid w:val="0041472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3079</TotalTime>
  <Application>LibreOffice/7.3.7.2$Linux_X86_64 LibreOffice_project/30$Build-2</Application>
  <AppVersion>15.0000</AppVersion>
  <Pages>3</Pages>
  <Words>740</Words>
  <Characters>4726</Characters>
  <CharactersWithSpaces>5443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2025-05-07T19:52:00Z</dcterms:created>
  <dc:creator>Siddhi Jani</dc:creator>
  <dc:description/>
  <dc:language>en-US</dc:language>
  <cp:lastModifiedBy/>
  <dcterms:modified xsi:type="dcterms:W3CDTF">2025-05-11T08:27:29Z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693e81db-7100-40b7-8463-c4118e85b4fb</vt:lpwstr>
  </property>
</Properties>
</file>