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pPr>
    </w:p>
    <w:p>
      <w:pPr>
        <w:keepNext w:val="0"/>
        <w:spacing w:before="0" w:after="0"/>
        <w:jc w:val="center"/>
      </w:pPr>
      <w:r>
        <w:rPr>
          <w:rFonts w:ascii="Calibri" w:hAnsi="Calibri"/>
          <w:b w:val="0"/>
          <w:i w:val="0"/>
          <w:color w:val="C80000"/>
          <w:sz w:val="16"/>
          <w:u w:val="none"/>
        </w:rPr>
        <w:t>──────────────────────────────────────────────────────────────────────────────</w:t>
      </w:r>
    </w:p>
    <w:p>
      <w:pPr>
        <w:spacing w:before="280" w:after="0"/>
      </w:pPr>
    </w:p>
    <w:p>
      <w:pPr>
        <w:keepNext w:val="0"/>
        <w:spacing w:before="0" w:after="40"/>
        <w:jc w:val="center"/>
      </w:pPr>
      <w:r>
        <w:rPr>
          <w:rFonts w:ascii="Calibri" w:hAnsi="Calibri"/>
          <w:b/>
          <w:i w:val="0"/>
          <w:color w:val="888888"/>
          <w:sz w:val="22"/>
          <w:u w:val="none"/>
        </w:rPr>
        <w:t>BRIDGESTONE IT ENGINEERING</w:t>
      </w:r>
    </w:p>
    <w:p>
      <w:pPr>
        <w:keepNext w:val="0"/>
        <w:spacing w:before="0" w:after="0"/>
        <w:jc w:val="center"/>
      </w:pPr>
      <w:r>
        <w:rPr>
          <w:rFonts w:ascii="Calibri" w:hAnsi="Calibri"/>
          <w:b w:val="0"/>
          <w:i/>
          <w:color w:val="AAAAAA"/>
          <w:sz w:val="20"/>
          <w:u w:val="none"/>
        </w:rPr>
        <w:t>Platform Engineering — AI &amp; Automation</w:t>
      </w:r>
    </w:p>
    <w:p>
      <w:pPr>
        <w:spacing w:before="560" w:after="0"/>
      </w:pPr>
    </w:p>
    <w:p>
      <w:pPr>
        <w:keepNext w:val="0"/>
        <w:spacing w:before="0" w:after="120"/>
        <w:jc w:val="center"/>
      </w:pPr>
      <w:r>
        <w:rPr>
          <w:rFonts w:ascii="Calibri" w:hAnsi="Calibri"/>
          <w:b/>
          <w:i w:val="0"/>
          <w:color w:val="888888"/>
          <w:sz w:val="24"/>
          <w:u w:val="none"/>
        </w:rPr>
        <w:t>ENTERPRISE SOLUTION ARCHITECTURE DOCUMENT</w:t>
      </w:r>
    </w:p>
    <w:p>
      <w:pPr>
        <w:keepNext w:val="0"/>
        <w:spacing w:before="0" w:after="160"/>
        <w:jc w:val="center"/>
      </w:pPr>
      <w:r>
        <w:rPr>
          <w:rFonts w:ascii="Calibri" w:hAnsi="Calibri"/>
          <w:b/>
          <w:i w:val="0"/>
          <w:color w:val="1A1A2E"/>
          <w:sz w:val="56"/>
          <w:u w:val="none"/>
        </w:rPr>
        <w:t>Bridgestone IT AI Assistant</w:t>
      </w:r>
    </w:p>
    <w:p>
      <w:pPr>
        <w:keepNext w:val="0"/>
        <w:spacing w:before="0" w:after="120"/>
        <w:jc w:val="center"/>
      </w:pPr>
      <w:r>
        <w:rPr>
          <w:rFonts w:ascii="Calibri" w:hAnsi="Calibri"/>
          <w:b w:val="0"/>
          <w:i/>
          <w:color w:val="C80000"/>
          <w:sz w:val="28"/>
          <w:u w:val="none"/>
        </w:rPr>
        <w:t>Enterprise AI-Powered IT Service Management Platform</w:t>
      </w:r>
    </w:p>
    <w:p>
      <w:pPr>
        <w:spacing w:before="560" w:after="0"/>
      </w:pPr>
    </w:p>
    <w:p>
      <w:pPr>
        <w:keepNext w:val="0"/>
        <w:spacing w:before="0" w:after="0"/>
        <w:jc w:val="center"/>
      </w:pPr>
      <w:r>
        <w:rPr>
          <w:rFonts w:ascii="Calibri" w:hAnsi="Calibri"/>
          <w:b w:val="0"/>
          <w:i w:val="0"/>
          <w:color w:val="C80000"/>
          <w:sz w:val="16"/>
          <w:u w:val="none"/>
        </w:rPr>
        <w:t>──────────────────────────────────────────────────────────────────────────────</w:t>
      </w:r>
    </w:p>
    <w:p>
      <w:pPr>
        <w:spacing w:before="440" w:after="0"/>
      </w:pP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606"/>
        <w:gridCol w:w="4606"/>
      </w:tblGrid>
      <w:tr>
        <w:tc>
          <w:tcPr>
            <w:shd w:val="clear" w:color="auto" w:fill="1A1A2E"/>
            <w:tcMar>
              <w:top w:w="90" w:type="dxa"/>
              <w:bottom w:w="90" w:type="dxa"/>
              <w:left w:w="140" w:type="dxa"/>
              <w:right w:w="100" w:type="dxa"/>
            </w:tcMar>
            <w:tcW w:w="2551" w:type="dxa"/>
          </w:tcPr>
          <w:p>
            <w:pPr>
              <w:spacing w:before="0" w:after="0"/>
            </w:pPr>
            <w:r>
              <w:rPr>
                <w:rFonts w:ascii="Calibri" w:hAnsi="Calibri"/>
                <w:b/>
                <w:i w:val="0"/>
                <w:color w:val="FFFFFF"/>
                <w:sz w:val="19"/>
                <w:u w:val="none"/>
              </w:rPr>
              <w:t>Document ID</w:t>
            </w:r>
          </w:p>
        </w:tc>
        <w:tc>
          <w:tcPr>
            <w:shd w:val="clear" w:color="auto" w:fill="F0F4F8"/>
            <w:tcMar>
              <w:top w:w="90" w:type="dxa"/>
              <w:bottom w:w="90" w:type="dxa"/>
              <w:left w:w="100" w:type="dxa"/>
              <w:right w:w="100" w:type="dxa"/>
            </w:tcMar>
            <w:tcW w:w="5670" w:type="dxa"/>
          </w:tcPr>
          <w:p>
            <w:pPr>
              <w:spacing w:before="0" w:after="0"/>
            </w:pPr>
            <w:r>
              <w:rPr>
                <w:rFonts w:ascii="Calibri" w:hAnsi="Calibri"/>
                <w:b w:val="0"/>
                <w:i w:val="0"/>
                <w:color w:val="1A1A1A"/>
                <w:sz w:val="19"/>
                <w:u w:val="none"/>
              </w:rPr>
              <w:t>BST-ESAD-2026-001</w:t>
            </w:r>
          </w:p>
        </w:tc>
      </w:tr>
      <w:tr>
        <w:tc>
          <w:tcPr>
            <w:shd w:val="clear" w:color="auto" w:fill="1A1A2E"/>
            <w:tcMar>
              <w:top w:w="90" w:type="dxa"/>
              <w:bottom w:w="90" w:type="dxa"/>
              <w:left w:w="140" w:type="dxa"/>
              <w:right w:w="100" w:type="dxa"/>
            </w:tcMar>
            <w:tcW w:w="2551" w:type="dxa"/>
          </w:tcPr>
          <w:p>
            <w:pPr>
              <w:spacing w:before="0" w:after="0"/>
            </w:pPr>
            <w:r>
              <w:rPr>
                <w:rFonts w:ascii="Calibri" w:hAnsi="Calibri"/>
                <w:b/>
                <w:i w:val="0"/>
                <w:color w:val="FFFFFF"/>
                <w:sz w:val="19"/>
                <w:u w:val="none"/>
              </w:rPr>
              <w:t>Version</w:t>
            </w:r>
          </w:p>
        </w:tc>
        <w:tc>
          <w:tcPr>
            <w:shd w:val="clear" w:color="auto" w:fill="FFFFFF"/>
            <w:tcMar>
              <w:top w:w="90" w:type="dxa"/>
              <w:bottom w:w="90" w:type="dxa"/>
              <w:left w:w="100" w:type="dxa"/>
              <w:right w:w="100" w:type="dxa"/>
            </w:tcMar>
            <w:tcW w:w="5670" w:type="dxa"/>
          </w:tcPr>
          <w:p>
            <w:pPr>
              <w:spacing w:before="0" w:after="0"/>
            </w:pPr>
            <w:r>
              <w:rPr>
                <w:rFonts w:ascii="Calibri" w:hAnsi="Calibri"/>
                <w:b w:val="0"/>
                <w:i w:val="0"/>
                <w:color w:val="1A1A1A"/>
                <w:sz w:val="19"/>
                <w:u w:val="none"/>
              </w:rPr>
              <w:t>1.0.0</w:t>
            </w:r>
          </w:p>
        </w:tc>
      </w:tr>
      <w:tr>
        <w:tc>
          <w:tcPr>
            <w:shd w:val="clear" w:color="auto" w:fill="1A1A2E"/>
            <w:tcMar>
              <w:top w:w="90" w:type="dxa"/>
              <w:bottom w:w="90" w:type="dxa"/>
              <w:left w:w="140" w:type="dxa"/>
              <w:right w:w="100" w:type="dxa"/>
            </w:tcMar>
            <w:tcW w:w="2551" w:type="dxa"/>
          </w:tcPr>
          <w:p>
            <w:pPr>
              <w:spacing w:before="0" w:after="0"/>
            </w:pPr>
            <w:r>
              <w:rPr>
                <w:rFonts w:ascii="Calibri" w:hAnsi="Calibri"/>
                <w:b/>
                <w:i w:val="0"/>
                <w:color w:val="FFFFFF"/>
                <w:sz w:val="19"/>
                <w:u w:val="none"/>
              </w:rPr>
              <w:t>Status</w:t>
            </w:r>
          </w:p>
        </w:tc>
        <w:tc>
          <w:tcPr>
            <w:shd w:val="clear" w:color="auto" w:fill="F0F4F8"/>
            <w:tcMar>
              <w:top w:w="90" w:type="dxa"/>
              <w:bottom w:w="90" w:type="dxa"/>
              <w:left w:w="100" w:type="dxa"/>
              <w:right w:w="100" w:type="dxa"/>
            </w:tcMar>
            <w:tcW w:w="5670" w:type="dxa"/>
          </w:tcPr>
          <w:p>
            <w:pPr>
              <w:spacing w:before="0" w:after="0"/>
            </w:pPr>
            <w:r>
              <w:rPr>
                <w:rFonts w:ascii="Calibri" w:hAnsi="Calibri"/>
                <w:b w:val="0"/>
                <w:i w:val="0"/>
                <w:color w:val="1A1A1A"/>
                <w:sz w:val="19"/>
                <w:u w:val="none"/>
              </w:rPr>
              <w:t>Released</w:t>
            </w:r>
          </w:p>
        </w:tc>
      </w:tr>
      <w:tr>
        <w:tc>
          <w:tcPr>
            <w:shd w:val="clear" w:color="auto" w:fill="1A1A2E"/>
            <w:tcMar>
              <w:top w:w="90" w:type="dxa"/>
              <w:bottom w:w="90" w:type="dxa"/>
              <w:left w:w="140" w:type="dxa"/>
              <w:right w:w="100" w:type="dxa"/>
            </w:tcMar>
            <w:tcW w:w="2551" w:type="dxa"/>
          </w:tcPr>
          <w:p>
            <w:pPr>
              <w:spacing w:before="0" w:after="0"/>
            </w:pPr>
            <w:r>
              <w:rPr>
                <w:rFonts w:ascii="Calibri" w:hAnsi="Calibri"/>
                <w:b/>
                <w:i w:val="0"/>
                <w:color w:val="FFFFFF"/>
                <w:sz w:val="19"/>
                <w:u w:val="none"/>
              </w:rPr>
              <w:t>Date</w:t>
            </w:r>
          </w:p>
        </w:tc>
        <w:tc>
          <w:tcPr>
            <w:shd w:val="clear" w:color="auto" w:fill="FFFFFF"/>
            <w:tcMar>
              <w:top w:w="90" w:type="dxa"/>
              <w:bottom w:w="90" w:type="dxa"/>
              <w:left w:w="100" w:type="dxa"/>
              <w:right w:w="100" w:type="dxa"/>
            </w:tcMar>
            <w:tcW w:w="5670" w:type="dxa"/>
          </w:tcPr>
          <w:p>
            <w:pPr>
              <w:spacing w:before="0" w:after="0"/>
            </w:pPr>
            <w:r>
              <w:rPr>
                <w:rFonts w:ascii="Calibri" w:hAnsi="Calibri"/>
                <w:b w:val="0"/>
                <w:i w:val="0"/>
                <w:color w:val="1A1A1A"/>
                <w:sz w:val="19"/>
                <w:u w:val="none"/>
              </w:rPr>
              <w:t>July 2026</w:t>
            </w:r>
          </w:p>
        </w:tc>
      </w:tr>
      <w:tr>
        <w:tc>
          <w:tcPr>
            <w:shd w:val="clear" w:color="auto" w:fill="1A1A2E"/>
            <w:tcMar>
              <w:top w:w="90" w:type="dxa"/>
              <w:bottom w:w="90" w:type="dxa"/>
              <w:left w:w="140" w:type="dxa"/>
              <w:right w:w="100" w:type="dxa"/>
            </w:tcMar>
            <w:tcW w:w="2551" w:type="dxa"/>
          </w:tcPr>
          <w:p>
            <w:pPr>
              <w:spacing w:before="0" w:after="0"/>
            </w:pPr>
            <w:r>
              <w:rPr>
                <w:rFonts w:ascii="Calibri" w:hAnsi="Calibri"/>
                <w:b/>
                <w:i w:val="0"/>
                <w:color w:val="FFFFFF"/>
                <w:sz w:val="19"/>
                <w:u w:val="none"/>
              </w:rPr>
              <w:t>Owner</w:t>
            </w:r>
          </w:p>
        </w:tc>
        <w:tc>
          <w:tcPr>
            <w:shd w:val="clear" w:color="auto" w:fill="F0F4F8"/>
            <w:tcMar>
              <w:top w:w="90" w:type="dxa"/>
              <w:bottom w:w="90" w:type="dxa"/>
              <w:left w:w="100" w:type="dxa"/>
              <w:right w:w="100" w:type="dxa"/>
            </w:tcMar>
            <w:tcW w:w="5670" w:type="dxa"/>
          </w:tcPr>
          <w:p>
            <w:pPr>
              <w:spacing w:before="0" w:after="0"/>
            </w:pPr>
            <w:r>
              <w:rPr>
                <w:rFonts w:ascii="Calibri" w:hAnsi="Calibri"/>
                <w:b w:val="0"/>
                <w:i w:val="0"/>
                <w:color w:val="1A1A1A"/>
                <w:sz w:val="19"/>
                <w:u w:val="none"/>
              </w:rPr>
              <w:t>Platform Engineering — AI &amp; Automation</w:t>
            </w:r>
          </w:p>
        </w:tc>
      </w:tr>
      <w:tr>
        <w:tc>
          <w:tcPr>
            <w:shd w:val="clear" w:color="auto" w:fill="1A1A2E"/>
            <w:tcMar>
              <w:top w:w="90" w:type="dxa"/>
              <w:bottom w:w="90" w:type="dxa"/>
              <w:left w:w="140" w:type="dxa"/>
              <w:right w:w="100" w:type="dxa"/>
            </w:tcMar>
            <w:tcW w:w="2551" w:type="dxa"/>
          </w:tcPr>
          <w:p>
            <w:pPr>
              <w:spacing w:before="0" w:after="0"/>
            </w:pPr>
            <w:r>
              <w:rPr>
                <w:rFonts w:ascii="Calibri" w:hAnsi="Calibri"/>
                <w:b/>
                <w:i w:val="0"/>
                <w:color w:val="FFFFFF"/>
                <w:sz w:val="19"/>
                <w:u w:val="none"/>
              </w:rPr>
              <w:t>Audience</w:t>
            </w:r>
          </w:p>
        </w:tc>
        <w:tc>
          <w:tcPr>
            <w:shd w:val="clear" w:color="auto" w:fill="FFFFFF"/>
            <w:tcMar>
              <w:top w:w="90" w:type="dxa"/>
              <w:bottom w:w="90" w:type="dxa"/>
              <w:left w:w="100" w:type="dxa"/>
              <w:right w:w="100" w:type="dxa"/>
            </w:tcMar>
            <w:tcW w:w="5670" w:type="dxa"/>
          </w:tcPr>
          <w:p>
            <w:pPr>
              <w:spacing w:before="0" w:after="0"/>
            </w:pPr>
            <w:r>
              <w:rPr>
                <w:rFonts w:ascii="Calibri" w:hAnsi="Calibri"/>
                <w:b w:val="0"/>
                <w:i w:val="0"/>
                <w:color w:val="1A1A1A"/>
                <w:sz w:val="19"/>
                <w:u w:val="none"/>
              </w:rPr>
              <w:t>Engineering Leadership · Principal Engineers · Enterprise Architects</w:t>
            </w:r>
          </w:p>
        </w:tc>
      </w:tr>
      <w:tr>
        <w:tc>
          <w:tcPr>
            <w:shd w:val="clear" w:color="auto" w:fill="1A1A2E"/>
            <w:tcMar>
              <w:top w:w="90" w:type="dxa"/>
              <w:bottom w:w="90" w:type="dxa"/>
              <w:left w:w="140" w:type="dxa"/>
              <w:right w:w="100" w:type="dxa"/>
            </w:tcMar>
            <w:tcW w:w="2551" w:type="dxa"/>
          </w:tcPr>
          <w:p>
            <w:pPr>
              <w:spacing w:before="0" w:after="0"/>
            </w:pPr>
            <w:r>
              <w:rPr>
                <w:rFonts w:ascii="Calibri" w:hAnsi="Calibri"/>
                <w:b/>
                <w:i w:val="0"/>
                <w:color w:val="FFFFFF"/>
                <w:sz w:val="19"/>
                <w:u w:val="none"/>
              </w:rPr>
              <w:t>Classification</w:t>
            </w:r>
          </w:p>
        </w:tc>
        <w:tc>
          <w:tcPr>
            <w:shd w:val="clear" w:color="auto" w:fill="F0F4F8"/>
            <w:tcMar>
              <w:top w:w="90" w:type="dxa"/>
              <w:bottom w:w="90" w:type="dxa"/>
              <w:left w:w="100" w:type="dxa"/>
              <w:right w:w="100" w:type="dxa"/>
            </w:tcMar>
            <w:tcW w:w="5670" w:type="dxa"/>
          </w:tcPr>
          <w:p>
            <w:pPr>
              <w:spacing w:before="0" w:after="0"/>
            </w:pPr>
            <w:r>
              <w:rPr>
                <w:rFonts w:ascii="Calibri" w:hAnsi="Calibri"/>
                <w:b w:val="0"/>
                <w:i w:val="0"/>
                <w:color w:val="1A1A1A"/>
                <w:sz w:val="19"/>
                <w:u w:val="none"/>
              </w:rPr>
              <w:t>Internal — Engineering Leadership</w:t>
            </w:r>
          </w:p>
        </w:tc>
      </w:tr>
    </w:tbl>
    <w:p>
      <w:r>
        <w:br w:type="page"/>
      </w:r>
    </w:p>
    <w:p>
      <w:pPr>
        <w:pStyle w:val="Heading1"/>
        <w:keepNext/>
        <w:spacing w:before="360" w:after="120"/>
        <w:pBdr>
          <w:bottom w:val="single" w:sz="8" w:space="1" w:color="C80000"/>
        </w:pBdr>
      </w:pPr>
      <w:r>
        <w:rPr>
          <w:rFonts w:ascii="Calibri" w:hAnsi="Calibri"/>
          <w:b/>
          <w:color w:val="1A1A2E"/>
          <w:sz w:val="32"/>
        </w:rPr>
        <w:t>Revision History</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303"/>
        <w:gridCol w:w="2303"/>
        <w:gridCol w:w="2303"/>
        <w:gridCol w:w="2303"/>
      </w:tblGrid>
      <w:tr>
        <w:tc>
          <w:tcPr>
            <w:shd w:val="clear" w:color="auto" w:fill="1A1A2E"/>
            <w:tcMar>
              <w:top w:w="80" w:type="dxa"/>
              <w:bottom w:w="80" w:type="dxa"/>
              <w:left w:w="120" w:type="dxa"/>
              <w:right w:w="80" w:type="dxa"/>
            </w:tcMar>
            <w:vAlign w:val="center"/>
            <w:tcW w:w="1247" w:type="dxa"/>
          </w:tcPr>
          <w:p>
            <w:pPr>
              <w:spacing w:before="0" w:after="0"/>
            </w:pPr>
            <w:r>
              <w:rPr>
                <w:rFonts w:ascii="Calibri" w:hAnsi="Calibri"/>
                <w:b/>
                <w:i w:val="0"/>
                <w:color w:val="FFFFFF"/>
                <w:sz w:val="19"/>
                <w:u w:val="none"/>
              </w:rPr>
              <w:t>Version</w:t>
            </w:r>
          </w:p>
        </w:tc>
        <w:tc>
          <w:tcPr>
            <w:shd w:val="clear" w:color="auto" w:fill="1A1A2E"/>
            <w:tcMar>
              <w:top w:w="80" w:type="dxa"/>
              <w:bottom w:w="80" w:type="dxa"/>
              <w:left w:w="120" w:type="dxa"/>
              <w:right w:w="80" w:type="dxa"/>
            </w:tcMar>
            <w:vAlign w:val="center"/>
            <w:tcW w:w="1587" w:type="dxa"/>
          </w:tcPr>
          <w:p>
            <w:pPr>
              <w:spacing w:before="0" w:after="0"/>
            </w:pPr>
            <w:r>
              <w:rPr>
                <w:rFonts w:ascii="Calibri" w:hAnsi="Calibri"/>
                <w:b/>
                <w:i w:val="0"/>
                <w:color w:val="FFFFFF"/>
                <w:sz w:val="19"/>
                <w:u w:val="none"/>
              </w:rPr>
              <w:t>Date</w:t>
            </w:r>
          </w:p>
        </w:tc>
        <w:tc>
          <w:tcPr>
            <w:shd w:val="clear" w:color="auto" w:fill="1A1A2E"/>
            <w:tcMar>
              <w:top w:w="80" w:type="dxa"/>
              <w:bottom w:w="80" w:type="dxa"/>
              <w:left w:w="120" w:type="dxa"/>
              <w:right w:w="80" w:type="dxa"/>
            </w:tcMar>
            <w:vAlign w:val="center"/>
            <w:tcW w:w="2835" w:type="dxa"/>
          </w:tcPr>
          <w:p>
            <w:pPr>
              <w:spacing w:before="0" w:after="0"/>
            </w:pPr>
            <w:r>
              <w:rPr>
                <w:rFonts w:ascii="Calibri" w:hAnsi="Calibri"/>
                <w:b/>
                <w:i w:val="0"/>
                <w:color w:val="FFFFFF"/>
                <w:sz w:val="19"/>
                <w:u w:val="none"/>
              </w:rPr>
              <w:t>Author</w:t>
            </w:r>
          </w:p>
        </w:tc>
        <w:tc>
          <w:tcPr>
            <w:shd w:val="clear" w:color="auto" w:fill="1A1A2E"/>
            <w:tcMar>
              <w:top w:w="80" w:type="dxa"/>
              <w:bottom w:w="80" w:type="dxa"/>
              <w:left w:w="120" w:type="dxa"/>
              <w:right w:w="80" w:type="dxa"/>
            </w:tcMar>
            <w:vAlign w:val="center"/>
            <w:tcW w:w="5670" w:type="dxa"/>
          </w:tcPr>
          <w:p>
            <w:pPr>
              <w:spacing w:before="0" w:after="0"/>
            </w:pPr>
            <w:r>
              <w:rPr>
                <w:rFonts w:ascii="Calibri" w:hAnsi="Calibri"/>
                <w:b/>
                <w:i w:val="0"/>
                <w:color w:val="FFFFFF"/>
                <w:sz w:val="19"/>
                <w:u w:val="none"/>
              </w:rPr>
              <w:t>Description</w:t>
            </w:r>
          </w:p>
        </w:tc>
      </w:tr>
      <w:tr>
        <w:tc>
          <w:tcPr>
            <w:shd w:val="clear" w:color="auto" w:fill="FFFFFF"/>
            <w:tcMar>
              <w:top w:w="70" w:type="dxa"/>
              <w:bottom w:w="70" w:type="dxa"/>
              <w:left w:w="120" w:type="dxa"/>
              <w:right w:w="80" w:type="dxa"/>
            </w:tcMar>
            <w:vAlign w:val="top"/>
            <w:tcW w:w="1247" w:type="dxa"/>
          </w:tcPr>
          <w:p>
            <w:pPr>
              <w:spacing w:before="0" w:after="0"/>
            </w:pPr>
            <w:r>
              <w:rPr>
                <w:rFonts w:ascii="Calibri" w:hAnsi="Calibri"/>
                <w:b w:val="0"/>
                <w:i w:val="0"/>
                <w:color w:val="1A1A1A"/>
                <w:sz w:val="19"/>
                <w:u w:val="none"/>
              </w:rPr>
              <w:t>0.1</w:t>
            </w:r>
          </w:p>
        </w:tc>
        <w:tc>
          <w:tcPr>
            <w:shd w:val="clear" w:color="auto" w:fill="FFFFFF"/>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May 2026</w:t>
            </w:r>
          </w:p>
        </w:tc>
        <w:tc>
          <w:tcPr>
            <w:shd w:val="clear" w:color="auto" w:fill="FFFFFF"/>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Platform Engineering</w:t>
            </w:r>
          </w:p>
        </w:tc>
        <w:tc>
          <w:tcPr>
            <w:shd w:val="clear" w:color="auto" w:fill="FFFFFF"/>
            <w:tcMar>
              <w:top w:w="70" w:type="dxa"/>
              <w:bottom w:w="70" w:type="dxa"/>
              <w:left w:w="120" w:type="dxa"/>
              <w:right w:w="80" w:type="dxa"/>
            </w:tcMar>
            <w:vAlign w:val="top"/>
            <w:tcW w:w="5670" w:type="dxa"/>
          </w:tcPr>
          <w:p>
            <w:pPr>
              <w:spacing w:before="0" w:after="0"/>
            </w:pPr>
            <w:r>
              <w:rPr>
                <w:rFonts w:ascii="Calibri" w:hAnsi="Calibri"/>
                <w:b w:val="0"/>
                <w:i w:val="0"/>
                <w:color w:val="1A1A1A"/>
                <w:sz w:val="19"/>
                <w:u w:val="none"/>
              </w:rPr>
              <w:t>Initial draft — AI pipeline and integration architecture</w:t>
            </w:r>
          </w:p>
        </w:tc>
      </w:tr>
      <w:tr>
        <w:tc>
          <w:tcPr>
            <w:shd w:val="clear" w:color="auto" w:fill="F0F4F8"/>
            <w:tcMar>
              <w:top w:w="70" w:type="dxa"/>
              <w:bottom w:w="70" w:type="dxa"/>
              <w:left w:w="120" w:type="dxa"/>
              <w:right w:w="80" w:type="dxa"/>
            </w:tcMar>
            <w:vAlign w:val="top"/>
            <w:tcW w:w="1247" w:type="dxa"/>
          </w:tcPr>
          <w:p>
            <w:pPr>
              <w:spacing w:before="0" w:after="0"/>
            </w:pPr>
            <w:r>
              <w:rPr>
                <w:rFonts w:ascii="Calibri" w:hAnsi="Calibri"/>
                <w:b w:val="0"/>
                <w:i w:val="0"/>
                <w:color w:val="1A1A1A"/>
                <w:sz w:val="19"/>
                <w:u w:val="none"/>
              </w:rPr>
              <w:t>0.5</w:t>
            </w:r>
          </w:p>
        </w:tc>
        <w:tc>
          <w:tcPr>
            <w:shd w:val="clear" w:color="auto" w:fill="F0F4F8"/>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June 2026</w:t>
            </w:r>
          </w:p>
        </w:tc>
        <w:tc>
          <w:tcPr>
            <w:shd w:val="clear" w:color="auto" w:fill="F0F4F8"/>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Platform Engineering</w:t>
            </w:r>
          </w:p>
        </w:tc>
        <w:tc>
          <w:tcPr>
            <w:shd w:val="clear" w:color="auto" w:fill="F0F4F8"/>
            <w:tcMar>
              <w:top w:w="70" w:type="dxa"/>
              <w:bottom w:w="70" w:type="dxa"/>
              <w:left w:w="120" w:type="dxa"/>
              <w:right w:w="80" w:type="dxa"/>
            </w:tcMar>
            <w:vAlign w:val="top"/>
            <w:tcW w:w="5670" w:type="dxa"/>
          </w:tcPr>
          <w:p>
            <w:pPr>
              <w:spacing w:before="0" w:after="0"/>
            </w:pPr>
            <w:r>
              <w:rPr>
                <w:rFonts w:ascii="Calibri" w:hAnsi="Calibri"/>
                <w:b w:val="0"/>
                <w:i w:val="0"/>
                <w:color w:val="1A1A1A"/>
                <w:sz w:val="19"/>
                <w:u w:val="none"/>
              </w:rPr>
              <w:t>Security, database and deployment chapters added</w:t>
            </w:r>
          </w:p>
        </w:tc>
      </w:tr>
      <w:tr>
        <w:tc>
          <w:tcPr>
            <w:shd w:val="clear" w:color="auto" w:fill="FFFFFF"/>
            <w:tcMar>
              <w:top w:w="70" w:type="dxa"/>
              <w:bottom w:w="70" w:type="dxa"/>
              <w:left w:w="120" w:type="dxa"/>
              <w:right w:w="80" w:type="dxa"/>
            </w:tcMar>
            <w:vAlign w:val="top"/>
            <w:tcW w:w="1247" w:type="dxa"/>
          </w:tcPr>
          <w:p>
            <w:pPr>
              <w:spacing w:before="0" w:after="0"/>
            </w:pPr>
            <w:r>
              <w:rPr>
                <w:rFonts w:ascii="Calibri" w:hAnsi="Calibri"/>
                <w:b w:val="0"/>
                <w:i w:val="0"/>
                <w:color w:val="1A1A1A"/>
                <w:sz w:val="19"/>
                <w:u w:val="none"/>
              </w:rPr>
              <w:t>0.9</w:t>
            </w:r>
          </w:p>
        </w:tc>
        <w:tc>
          <w:tcPr>
            <w:shd w:val="clear" w:color="auto" w:fill="FFFFFF"/>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July 2026</w:t>
            </w:r>
          </w:p>
        </w:tc>
        <w:tc>
          <w:tcPr>
            <w:shd w:val="clear" w:color="auto" w:fill="FFFFFF"/>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Platform Engineering</w:t>
            </w:r>
          </w:p>
        </w:tc>
        <w:tc>
          <w:tcPr>
            <w:shd w:val="clear" w:color="auto" w:fill="FFFFFF"/>
            <w:tcMar>
              <w:top w:w="70" w:type="dxa"/>
              <w:bottom w:w="70" w:type="dxa"/>
              <w:left w:w="120" w:type="dxa"/>
              <w:right w:w="80" w:type="dxa"/>
            </w:tcMar>
            <w:vAlign w:val="top"/>
            <w:tcW w:w="5670" w:type="dxa"/>
          </w:tcPr>
          <w:p>
            <w:pPr>
              <w:spacing w:before="0" w:after="0"/>
            </w:pPr>
            <w:r>
              <w:rPr>
                <w:rFonts w:ascii="Calibri" w:hAnsi="Calibri"/>
                <w:b w:val="0"/>
                <w:i w:val="0"/>
                <w:color w:val="1A1A1A"/>
                <w:sz w:val="19"/>
                <w:u w:val="none"/>
              </w:rPr>
              <w:t>Full review; ADR, observability and roadmap added</w:t>
            </w:r>
          </w:p>
        </w:tc>
      </w:tr>
      <w:tr>
        <w:tc>
          <w:tcPr>
            <w:shd w:val="clear" w:color="auto" w:fill="F0F4F8"/>
            <w:tcMar>
              <w:top w:w="70" w:type="dxa"/>
              <w:bottom w:w="70" w:type="dxa"/>
              <w:left w:w="120" w:type="dxa"/>
              <w:right w:w="80" w:type="dxa"/>
            </w:tcMar>
            <w:vAlign w:val="top"/>
            <w:tcW w:w="1247" w:type="dxa"/>
          </w:tcPr>
          <w:p>
            <w:pPr>
              <w:spacing w:before="0" w:after="0"/>
            </w:pPr>
            <w:r>
              <w:rPr>
                <w:rFonts w:ascii="Calibri" w:hAnsi="Calibri"/>
                <w:b w:val="0"/>
                <w:i w:val="0"/>
                <w:color w:val="1A1A1A"/>
                <w:sz w:val="19"/>
                <w:u w:val="none"/>
              </w:rPr>
              <w:t>1.0</w:t>
            </w:r>
          </w:p>
        </w:tc>
        <w:tc>
          <w:tcPr>
            <w:shd w:val="clear" w:color="auto" w:fill="F0F4F8"/>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July 2026</w:t>
            </w:r>
          </w:p>
        </w:tc>
        <w:tc>
          <w:tcPr>
            <w:shd w:val="clear" w:color="auto" w:fill="F0F4F8"/>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Platform Engineering</w:t>
            </w:r>
          </w:p>
        </w:tc>
        <w:tc>
          <w:tcPr>
            <w:shd w:val="clear" w:color="auto" w:fill="F0F4F8"/>
            <w:tcMar>
              <w:top w:w="70" w:type="dxa"/>
              <w:bottom w:w="70" w:type="dxa"/>
              <w:left w:w="120" w:type="dxa"/>
              <w:right w:w="80" w:type="dxa"/>
            </w:tcMar>
            <w:vAlign w:val="top"/>
            <w:tcW w:w="5670" w:type="dxa"/>
          </w:tcPr>
          <w:p>
            <w:pPr>
              <w:spacing w:before="0" w:after="0"/>
            </w:pPr>
            <w:r>
              <w:rPr>
                <w:rFonts w:ascii="Calibri" w:hAnsi="Calibri"/>
                <w:b w:val="0"/>
                <w:i w:val="0"/>
                <w:color w:val="1A1A1A"/>
                <w:sz w:val="19"/>
                <w:u w:val="none"/>
              </w:rPr>
              <w:t>Final release for engineering leadership review</w:t>
            </w:r>
          </w:p>
        </w:tc>
      </w:tr>
    </w:tbl>
    <w:p>
      <w:pPr>
        <w:spacing w:before="80" w:after="0"/>
      </w:pPr>
    </w:p>
    <w:p>
      <w:r>
        <w:br w:type="page"/>
      </w:r>
    </w:p>
    <w:p>
      <w:pPr>
        <w:pStyle w:val="Heading1"/>
        <w:keepNext/>
        <w:spacing w:before="360" w:after="120"/>
        <w:pBdr>
          <w:bottom w:val="single" w:sz="8" w:space="1" w:color="C80000"/>
        </w:pBdr>
      </w:pPr>
      <w:r>
        <w:rPr>
          <w:rFonts w:ascii="Calibri" w:hAnsi="Calibri"/>
          <w:b/>
          <w:color w:val="1A1A2E"/>
          <w:sz w:val="32"/>
        </w:rPr>
        <w:t>Table of Contents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9213"/>
      </w:tblGrid>
      <w:tr>
        <w:tc>
          <w:tcPr>
            <w:tcW w:type="dxa" w:w="9213"/>
            <w:shd w:val="clear" w:color="auto" w:fill="EBF3FB"/>
            <w:tcMar>
              <w:top w:w="80" w:type="dxa"/>
              <w:bottom w:w="80" w:type="dxa"/>
              <w:left w:w="140" w:type="dxa"/>
              <w:right w:w="140" w:type="dxa"/>
            </w:tcMar>
          </w:tcPr>
          <w:p>
            <w:pPr>
              <w:spacing w:before="0" w:after="0"/>
            </w:pPr>
            <w:r>
              <w:rPr>
                <w:rFonts w:ascii="Calibri" w:hAnsi="Calibri"/>
                <w:b/>
                <w:i w:val="0"/>
                <w:color w:val="2E4A7A"/>
                <w:sz w:val="19"/>
                <w:u w:val="none"/>
              </w:rPr>
              <w:t xml:space="preserve">NOTE  </w:t>
            </w:r>
            <w:r>
              <w:rPr>
                <w:rFonts w:ascii="Calibri" w:hAnsi="Calibri"/>
                <w:b w:val="0"/>
                <w:i w:val="0"/>
                <w:color w:val="1A1A1A"/>
                <w:sz w:val="19"/>
                <w:u w:val="none"/>
              </w:rPr>
              <w:t>Open this document in Microsoft Word, then press Ctrl+A followed by F9 to populate the Table of Contents with page numbers.</w:t>
            </w:r>
          </w:p>
        </w:tc>
      </w:tr>
    </w:tbl>
    <w:p>
      <w:pPr>
        <w:spacing w:before="120" w:after="0"/>
      </w:pPr>
    </w:p>
    <w:p>
      <w:pPr>
        <w:keepNext w:val="0"/>
        <w:spacing w:before="80" w:after="80"/>
      </w:pPr>
      <w:r>
        <w:fldChar w:fldCharType="begin"/>
      </w:r>
      <w:r>
        <w:instrText xml:space="preserve"> TOC \o "1-3" \h \z \u </w:instrText>
      </w:r>
      <w:r>
        <w:fldChar w:fldCharType="end"/>
      </w:r>
    </w:p>
    <w:p>
      <w:r>
        <w:br w:type="page"/>
      </w:r>
    </w:p>
    <w:p>
      <w:pPr>
        <w:pStyle w:val="Heading1"/>
        <w:keepNext/>
        <w:spacing w:before="360" w:after="120"/>
        <w:pBdr>
          <w:bottom w:val="single" w:sz="8" w:space="1" w:color="C80000"/>
        </w:pBdr>
      </w:pPr>
      <w:r>
        <w:rPr>
          <w:rFonts w:ascii="Calibri" w:hAnsi="Calibri"/>
          <w:b/>
          <w:color w:val="1A1A2E"/>
          <w:sz w:val="32"/>
        </w:rPr>
        <w:t>3. Executive Summary</w:t>
      </w:r>
    </w:p>
    <w:p>
      <w:pPr>
        <w:keepNext w:val="0"/>
        <w:spacing w:before="20" w:after="100"/>
      </w:pPr>
      <w:r>
        <w:rPr>
          <w:rFonts w:ascii="Calibri" w:hAnsi="Calibri"/>
          <w:b w:val="0"/>
          <w:i w:val="0"/>
          <w:color w:val="1A1A1A"/>
          <w:sz w:val="21"/>
          <w:u w:val="none"/>
        </w:rPr>
        <w:t>The Bridgestone IT AI Assistant is an enterprise-grade, AI-augmented IT Service Desk platform designed to reduce Level-1 support load, improve Mean Time To Resolution (MTTR), and preserve ServiceNow as the authoritative system of record.</w:t>
      </w:r>
    </w:p>
    <w:p>
      <w:pPr>
        <w:keepNext w:val="0"/>
        <w:spacing w:before="20" w:after="100"/>
      </w:pPr>
      <w:r>
        <w:rPr>
          <w:rFonts w:ascii="Calibri" w:hAnsi="Calibri"/>
          <w:b w:val="0"/>
          <w:i w:val="0"/>
          <w:color w:val="1A1A1A"/>
          <w:sz w:val="21"/>
          <w:u w:val="none"/>
        </w:rPr>
        <w:t>The platform routes employee IT issues through a 23-node LangGraph agentic pipeline before escalating to human intervention. The AI agent conducts structured interviews, retrieves enterprise knowledge, executes diagnostic tools (VPN, Active Directory, Network), performs root-cause reflection, and — where self-service resolution is impossible — creates a properly enriched, validated ServiceNow Incident automatically.</w:t>
      </w:r>
    </w:p>
    <w:p>
      <w:pPr>
        <w:keepNext w:val="0"/>
        <w:spacing w:before="20" w:after="100"/>
      </w:pPr>
      <w:r>
        <w:rPr>
          <w:rFonts w:ascii="Calibri" w:hAnsi="Calibri"/>
          <w:b w:val="0"/>
          <w:i w:val="0"/>
          <w:color w:val="1A1A1A"/>
          <w:sz w:val="21"/>
          <w:u w:val="none"/>
        </w:rPr>
        <w:t>A dual-approval workflow governs privileged software installation requests, routing through Manager approval and IT Admin grant operations without human triage. Four-role JWT-secured RBAC separates employee, manager, admin and superadmin concerns across dedicated portal surfaces.</w:t>
      </w:r>
    </w:p>
    <w:p>
      <w:pPr>
        <w:spacing w:before="80" w:after="0"/>
      </w:pPr>
    </w:p>
    <w:tbl>
      <w:tblPr>
        <w:tblW w:type="auto" w:w="0"/>
        <w:jc w:val="left"/>
        <w:tblLook w:firstColumn="1" w:firstRow="1" w:lastColumn="0" w:lastRow="0" w:noHBand="0" w:noVBand="1" w:val="04A0"/>
        <w:tblBorders>
          <w:top w:val="single" w:sz="4" w:space="0" w:color="F0A500"/>
          <w:left w:val="single" w:sz="4" w:space="0" w:color="F0A500"/>
          <w:bottom w:val="single" w:sz="4" w:space="0" w:color="F0A500"/>
          <w:right w:val="single" w:sz="4" w:space="0" w:color="F0A500"/>
          <w:insideH w:val="single" w:sz="4" w:space="0" w:color="F0A500"/>
          <w:insideV w:val="single" w:sz="4" w:space="0" w:color="F0A500"/>
        </w:tblBorders>
      </w:tblPr>
      <w:tblGrid>
        <w:gridCol w:w="9213"/>
      </w:tblGrid>
      <w:tr>
        <w:tc>
          <w:tcPr>
            <w:tcW w:type="dxa" w:w="9213"/>
            <w:shd w:val="clear" w:color="auto" w:fill="FFF8E1"/>
            <w:tcMar>
              <w:top w:w="80" w:type="dxa"/>
              <w:bottom w:w="80" w:type="dxa"/>
              <w:left w:w="140" w:type="dxa"/>
              <w:right w:w="140" w:type="dxa"/>
            </w:tcMar>
          </w:tcPr>
          <w:p>
            <w:pPr>
              <w:spacing w:before="0" w:after="60"/>
            </w:pPr>
            <w:r>
              <w:rPr>
                <w:rFonts w:ascii="Calibri" w:hAnsi="Calibri"/>
                <w:b/>
                <w:i w:val="0"/>
                <w:color w:val="B85C00"/>
                <w:sz w:val="19"/>
                <w:u w:val="none"/>
              </w:rPr>
              <w:t xml:space="preserve">IMPORTANT  </w:t>
            </w:r>
            <w:r>
              <w:rPr>
                <w:rFonts w:ascii="Calibri" w:hAnsi="Calibri"/>
                <w:b w:val="0"/>
                <w:i w:val="0"/>
                <w:color w:val="1A1A1A"/>
                <w:sz w:val="19"/>
                <w:u w:val="none"/>
              </w:rPr>
              <w:t>Platform Impact:</w:t>
            </w:r>
          </w:p>
          <w:p>
            <w:pPr>
              <w:spacing w:before="0" w:after="60"/>
            </w:pPr>
            <w:r>
              <w:rPr>
                <w:rFonts w:ascii="Calibri" w:hAnsi="Calibri"/>
                <w:b w:val="0"/>
                <w:i w:val="0"/>
                <w:color w:val="1A1A1A"/>
                <w:sz w:val="19"/>
                <w:u w:val="none"/>
              </w:rPr>
              <w:t xml:space="preserve">  • Eliminates manual first-line triage for common IT issue categories</w:t>
            </w:r>
          </w:p>
          <w:p>
            <w:pPr>
              <w:spacing w:before="0" w:after="60"/>
            </w:pPr>
            <w:r>
              <w:rPr>
                <w:rFonts w:ascii="Calibri" w:hAnsi="Calibri"/>
                <w:b w:val="0"/>
                <w:i w:val="0"/>
                <w:color w:val="1A1A1A"/>
                <w:sz w:val="19"/>
                <w:u w:val="none"/>
              </w:rPr>
              <w:t xml:space="preserve">  • Removes classification errors through AI-validated, schema-driven ServiceNow field mapping</w:t>
            </w:r>
          </w:p>
          <w:p>
            <w:pPr>
              <w:spacing w:before="0" w:after="60"/>
            </w:pPr>
            <w:r>
              <w:rPr>
                <w:rFonts w:ascii="Calibri" w:hAnsi="Calibri"/>
                <w:b w:val="0"/>
                <w:i w:val="0"/>
                <w:color w:val="1A1A1A"/>
                <w:sz w:val="19"/>
                <w:u w:val="none"/>
              </w:rPr>
              <w:t xml:space="preserve">  • Provides real-time SLA visibility with automated seven-state escalation</w:t>
            </w:r>
          </w:p>
          <w:p>
            <w:pPr>
              <w:spacing w:before="0" w:after="60"/>
            </w:pPr>
            <w:r>
              <w:rPr>
                <w:rFonts w:ascii="Calibri" w:hAnsi="Calibri"/>
                <w:b w:val="0"/>
                <w:i w:val="0"/>
                <w:color w:val="1A1A1A"/>
                <w:sz w:val="19"/>
                <w:u w:val="none"/>
              </w:rPr>
              <w:t xml:space="preserve">  • Delivers complete auditability through an append-only immutable audit trail</w:t>
            </w:r>
          </w:p>
        </w:tc>
      </w:tr>
    </w:tbl>
    <w:p>
      <w:pPr>
        <w:spacing w:before="120" w:after="0"/>
      </w:pPr>
    </w:p>
    <w:p>
      <w:pPr>
        <w:pStyle w:val="Heading1"/>
        <w:keepNext/>
        <w:spacing w:before="360" w:after="120"/>
        <w:pBdr>
          <w:bottom w:val="single" w:sz="8" w:space="1" w:color="C80000"/>
        </w:pBdr>
      </w:pPr>
      <w:r>
        <w:rPr>
          <w:rFonts w:ascii="Calibri" w:hAnsi="Calibri"/>
          <w:b/>
          <w:color w:val="1A1A2E"/>
          <w:sz w:val="32"/>
        </w:rPr>
        <w:t>4. Business Problem</w:t>
      </w:r>
    </w:p>
    <w:p>
      <w:pPr>
        <w:pStyle w:val="Heading2"/>
        <w:keepNext/>
        <w:spacing w:before="240" w:after="80"/>
      </w:pPr>
      <w:r>
        <w:rPr>
          <w:rFonts w:ascii="Calibri" w:hAnsi="Calibri"/>
          <w:b/>
          <w:color w:val="C80000"/>
          <w:sz w:val="26"/>
        </w:rPr>
        <w:t>4.1 Context</w:t>
      </w:r>
    </w:p>
    <w:p>
      <w:pPr>
        <w:keepNext w:val="0"/>
        <w:spacing w:before="20" w:after="100"/>
      </w:pPr>
      <w:r>
        <w:rPr>
          <w:rFonts w:ascii="Calibri" w:hAnsi="Calibri"/>
          <w:b w:val="0"/>
          <w:i w:val="0"/>
          <w:color w:val="1A1A1A"/>
          <w:sz w:val="21"/>
          <w:u w:val="none"/>
        </w:rPr>
        <w:t>Enterprise IT helpdesks operating at scale face a structural imbalance: ticket volume grows linearly with headcount, while Level-1 staffing is constrained by cost. At Bridgestone, this produces five measurable failure modes.</w:t>
      </w:r>
    </w:p>
    <w:p>
      <w:pPr>
        <w:pStyle w:val="Heading2"/>
        <w:keepNext/>
        <w:spacing w:before="240" w:after="80"/>
      </w:pPr>
      <w:r>
        <w:rPr>
          <w:rFonts w:ascii="Calibri" w:hAnsi="Calibri"/>
          <w:b/>
          <w:color w:val="C80000"/>
          <w:sz w:val="26"/>
        </w:rPr>
        <w:t>4.2 Failure Modes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835" w:type="dxa"/>
          </w:tcPr>
          <w:p>
            <w:pPr>
              <w:spacing w:before="0" w:after="0"/>
            </w:pPr>
            <w:r>
              <w:rPr>
                <w:rFonts w:ascii="Calibri" w:hAnsi="Calibri"/>
                <w:b/>
                <w:i w:val="0"/>
                <w:color w:val="FFFFFF"/>
                <w:sz w:val="19"/>
                <w:u w:val="none"/>
              </w:rPr>
              <w:t>Failure Mode</w:t>
            </w:r>
          </w:p>
        </w:tc>
        <w:tc>
          <w:tcPr>
            <w:shd w:val="clear" w:color="auto" w:fill="1A1A2E"/>
            <w:tcMar>
              <w:top w:w="80" w:type="dxa"/>
              <w:bottom w:w="80" w:type="dxa"/>
              <w:left w:w="120" w:type="dxa"/>
              <w:right w:w="80" w:type="dxa"/>
            </w:tcMar>
            <w:vAlign w:val="center"/>
            <w:tcW w:w="3685" w:type="dxa"/>
          </w:tcPr>
          <w:p>
            <w:pPr>
              <w:spacing w:before="0" w:after="0"/>
            </w:pPr>
            <w:r>
              <w:rPr>
                <w:rFonts w:ascii="Calibri" w:hAnsi="Calibri"/>
                <w:b/>
                <w:i w:val="0"/>
                <w:color w:val="FFFFFF"/>
                <w:sz w:val="19"/>
                <w:u w:val="none"/>
              </w:rPr>
              <w:t>Root Cause</w:t>
            </w:r>
          </w:p>
        </w:tc>
        <w:tc>
          <w:tcPr>
            <w:shd w:val="clear" w:color="auto" w:fill="1A1A2E"/>
            <w:tcMar>
              <w:top w:w="80" w:type="dxa"/>
              <w:bottom w:w="80" w:type="dxa"/>
              <w:left w:w="120" w:type="dxa"/>
              <w:right w:w="80" w:type="dxa"/>
            </w:tcMar>
            <w:vAlign w:val="center"/>
            <w:tcW w:w="3685" w:type="dxa"/>
          </w:tcPr>
          <w:p>
            <w:pPr>
              <w:spacing w:before="0" w:after="0"/>
            </w:pPr>
            <w:r>
              <w:rPr>
                <w:rFonts w:ascii="Calibri" w:hAnsi="Calibri"/>
                <w:b/>
                <w:i w:val="0"/>
                <w:color w:val="FFFFFF"/>
                <w:sz w:val="19"/>
                <w:u w:val="none"/>
              </w:rPr>
              <w:t>Business Impact</w:t>
            </w:r>
          </w:p>
        </w:tc>
      </w:tr>
      <w:tr>
        <w:tc>
          <w:tcPr>
            <w:shd w:val="clear" w:color="auto" w:fill="FFFFFF"/>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High L1 ticket volume</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Manual triage of repetitive issues</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Increased cost per ticket, slow MTTR</w:t>
            </w:r>
          </w:p>
        </w:tc>
      </w:tr>
      <w:tr>
        <w:tc>
          <w:tcPr>
            <w:shd w:val="clear" w:color="auto" w:fill="F0F4F8"/>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Incorrect ServiceNow classification</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Human error in category / assignment group selection</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Mis-routed tickets, SLA breach</w:t>
            </w:r>
          </w:p>
        </w:tc>
      </w:tr>
      <w:tr>
        <w:tc>
          <w:tcPr>
            <w:shd w:val="clear" w:color="auto" w:fill="FFFFFF"/>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Approval process latency</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Manual manager notification for privileged requests</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Delayed productivity recovery</w:t>
            </w:r>
          </w:p>
        </w:tc>
      </w:tr>
      <w:tr>
        <w:tc>
          <w:tcPr>
            <w:shd w:val="clear" w:color="auto" w:fill="F0F4F8"/>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SLA breach detection lag</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Reactive monitoring; no automated escalation</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SLA compliance risk, degraded experience</w:t>
            </w:r>
          </w:p>
        </w:tc>
      </w:tr>
      <w:tr>
        <w:tc>
          <w:tcPr>
            <w:shd w:val="clear" w:color="auto" w:fill="FFFFFF"/>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Lack of self-service resolution</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No intelligent guidance before ticket creation</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Unnecessary L1 escalation for solvable issues</w:t>
            </w:r>
          </w:p>
        </w:tc>
      </w:tr>
    </w:tbl>
    <w:p>
      <w:pPr>
        <w:spacing w:before="80" w:after="0"/>
      </w:pPr>
    </w:p>
    <w:p>
      <w:pPr>
        <w:keepNext w:val="0"/>
        <w:spacing w:before="80" w:after="120"/>
        <w:jc w:val="center"/>
      </w:pPr>
      <w:r>
        <w:rPr>
          <w:rFonts w:ascii="Calibri" w:hAnsi="Calibri"/>
          <w:b w:val="0"/>
          <w:i/>
          <w:color w:val="555555"/>
          <w:sz w:val="18"/>
          <w:u w:val="none"/>
        </w:rPr>
        <w:t>Table 1 — Business Failure Modes</w:t>
      </w:r>
    </w:p>
    <w:p>
      <w:pPr>
        <w:pStyle w:val="Heading2"/>
        <w:keepNext/>
        <w:spacing w:before="240" w:after="80"/>
      </w:pPr>
      <w:r>
        <w:rPr>
          <w:rFonts w:ascii="Calibri" w:hAnsi="Calibri"/>
          <w:b/>
          <w:color w:val="C80000"/>
          <w:sz w:val="26"/>
        </w:rPr>
        <w:t>4.3 Architectural Constraints</w:t>
      </w:r>
    </w:p>
    <w:p>
      <w:pPr>
        <w:pStyle w:val="ListBullet"/>
        <w:spacing w:after="60"/>
      </w:pPr>
      <w:r>
        <w:rPr>
          <w:rFonts w:ascii="Calibri" w:hAnsi="Calibri"/>
          <w:b w:val="0"/>
          <w:i w:val="0"/>
          <w:color w:val="1A1A1A"/>
          <w:sz w:val="21"/>
          <w:u w:val="none"/>
        </w:rPr>
        <w:t>ServiceNow must remain the system of record — no parallel ticket stores.</w:t>
      </w:r>
    </w:p>
    <w:p>
      <w:pPr>
        <w:pStyle w:val="ListBullet"/>
        <w:spacing w:after="60"/>
      </w:pPr>
      <w:r>
        <w:rPr>
          <w:rFonts w:ascii="Calibri" w:hAnsi="Calibri"/>
          <w:b w:val="0"/>
          <w:i w:val="0"/>
          <w:color w:val="1A1A1A"/>
          <w:sz w:val="21"/>
          <w:u w:val="none"/>
        </w:rPr>
        <w:t>Existing Microsoft ecosystem (Active Directory, Microsoft Graph, Outlook) must be respected.</w:t>
      </w:r>
    </w:p>
    <w:p>
      <w:pPr>
        <w:pStyle w:val="ListBullet"/>
        <w:spacing w:after="60"/>
      </w:pPr>
      <w:r>
        <w:rPr>
          <w:rFonts w:ascii="Calibri" w:hAnsi="Calibri"/>
          <w:b w:val="0"/>
          <w:i w:val="0"/>
          <w:color w:val="1A1A1A"/>
          <w:sz w:val="21"/>
          <w:u w:val="none"/>
        </w:rPr>
        <w:t>The solution must be deployable inside the Bridgestone network perimeter.</w:t>
      </w:r>
    </w:p>
    <w:p>
      <w:pPr>
        <w:pStyle w:val="ListBullet"/>
        <w:spacing w:after="60"/>
      </w:pPr>
      <w:r>
        <w:rPr>
          <w:rFonts w:ascii="Calibri" w:hAnsi="Calibri"/>
          <w:b w:val="0"/>
          <w:i w:val="0"/>
          <w:color w:val="1A1A1A"/>
          <w:sz w:val="21"/>
          <w:u w:val="none"/>
        </w:rPr>
        <w:t>AI output must never directly create side effects without deterministic validation.</w:t>
      </w:r>
    </w:p>
    <w:p>
      <w:pPr>
        <w:pStyle w:val="Heading1"/>
        <w:keepNext/>
        <w:spacing w:before="360" w:after="120"/>
        <w:pBdr>
          <w:bottom w:val="single" w:sz="8" w:space="1" w:color="C80000"/>
        </w:pBdr>
      </w:pPr>
      <w:r>
        <w:rPr>
          <w:rFonts w:ascii="Calibri" w:hAnsi="Calibri"/>
          <w:b/>
          <w:color w:val="1A1A2E"/>
          <w:sz w:val="32"/>
        </w:rPr>
        <w:t>5. Business Objectives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850" w:type="dxa"/>
          </w:tcPr>
          <w:p>
            <w:pPr>
              <w:spacing w:before="0" w:after="0"/>
            </w:pPr>
            <w:r>
              <w:rPr>
                <w:rFonts w:ascii="Calibri" w:hAnsi="Calibri"/>
                <w:b/>
                <w:i w:val="0"/>
                <w:color w:val="FFFFFF"/>
                <w:sz w:val="19"/>
                <w:u w:val="none"/>
              </w:rPr>
              <w:t>#</w:t>
            </w:r>
          </w:p>
        </w:tc>
        <w:tc>
          <w:tcPr>
            <w:shd w:val="clear" w:color="auto" w:fill="1A1A2E"/>
            <w:tcMar>
              <w:top w:w="80" w:type="dxa"/>
              <w:bottom w:w="80" w:type="dxa"/>
              <w:left w:w="120" w:type="dxa"/>
              <w:right w:w="80" w:type="dxa"/>
            </w:tcMar>
            <w:vAlign w:val="center"/>
            <w:tcW w:w="4252" w:type="dxa"/>
          </w:tcPr>
          <w:p>
            <w:pPr>
              <w:spacing w:before="0" w:after="0"/>
            </w:pPr>
            <w:r>
              <w:rPr>
                <w:rFonts w:ascii="Calibri" w:hAnsi="Calibri"/>
                <w:b/>
                <w:i w:val="0"/>
                <w:color w:val="FFFFFF"/>
                <w:sz w:val="19"/>
                <w:u w:val="none"/>
              </w:rPr>
              <w:t>Objective</w:t>
            </w:r>
          </w:p>
        </w:tc>
        <w:tc>
          <w:tcPr>
            <w:shd w:val="clear" w:color="auto" w:fill="1A1A2E"/>
            <w:tcMar>
              <w:top w:w="80" w:type="dxa"/>
              <w:bottom w:w="80" w:type="dxa"/>
              <w:left w:w="120" w:type="dxa"/>
              <w:right w:w="80" w:type="dxa"/>
            </w:tcMar>
            <w:vAlign w:val="center"/>
            <w:tcW w:w="5103" w:type="dxa"/>
          </w:tcPr>
          <w:p>
            <w:pPr>
              <w:spacing w:before="0" w:after="0"/>
            </w:pPr>
            <w:r>
              <w:rPr>
                <w:rFonts w:ascii="Calibri" w:hAnsi="Calibri"/>
                <w:b/>
                <w:i w:val="0"/>
                <w:color w:val="FFFFFF"/>
                <w:sz w:val="19"/>
                <w:u w:val="none"/>
              </w:rPr>
              <w:t>Measurement</w:t>
            </w:r>
          </w:p>
        </w:tc>
      </w:tr>
      <w:tr>
        <w:tc>
          <w:tcPr>
            <w:shd w:val="clear" w:color="auto" w:fill="FFFFFF"/>
            <w:tcMar>
              <w:top w:w="70" w:type="dxa"/>
              <w:bottom w:w="70" w:type="dxa"/>
              <w:left w:w="120" w:type="dxa"/>
              <w:right w:w="80" w:type="dxa"/>
            </w:tcMar>
            <w:vAlign w:val="top"/>
            <w:tcW w:w="850" w:type="dxa"/>
          </w:tcPr>
          <w:p>
            <w:pPr>
              <w:spacing w:before="0" w:after="0"/>
            </w:pPr>
            <w:r>
              <w:rPr>
                <w:rFonts w:ascii="Calibri" w:hAnsi="Calibri"/>
                <w:b w:val="0"/>
                <w:i w:val="0"/>
                <w:color w:val="1A1A1A"/>
                <w:sz w:val="19"/>
                <w:u w:val="none"/>
              </w:rPr>
              <w:t>O-1</w:t>
            </w:r>
          </w:p>
        </w:tc>
        <w:tc>
          <w:tcPr>
            <w:shd w:val="clear" w:color="auto" w:fill="FFFFFF"/>
            <w:tcMar>
              <w:top w:w="70" w:type="dxa"/>
              <w:bottom w:w="70" w:type="dxa"/>
              <w:left w:w="120" w:type="dxa"/>
              <w:right w:w="80" w:type="dxa"/>
            </w:tcMar>
            <w:vAlign w:val="top"/>
            <w:tcW w:w="4252" w:type="dxa"/>
          </w:tcPr>
          <w:p>
            <w:pPr>
              <w:spacing w:before="0" w:after="0"/>
            </w:pPr>
            <w:r>
              <w:rPr>
                <w:rFonts w:ascii="Calibri" w:hAnsi="Calibri"/>
                <w:b w:val="0"/>
                <w:i w:val="0"/>
                <w:color w:val="1A1A1A"/>
                <w:sz w:val="19"/>
                <w:u w:val="none"/>
              </w:rPr>
              <w:t>Reduce L1 ticket volume</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Percentage of issues resolved without ticket creation</w:t>
            </w:r>
          </w:p>
        </w:tc>
      </w:tr>
      <w:tr>
        <w:tc>
          <w:tcPr>
            <w:shd w:val="clear" w:color="auto" w:fill="F0F4F8"/>
            <w:tcMar>
              <w:top w:w="70" w:type="dxa"/>
              <w:bottom w:w="70" w:type="dxa"/>
              <w:left w:w="120" w:type="dxa"/>
              <w:right w:w="80" w:type="dxa"/>
            </w:tcMar>
            <w:vAlign w:val="top"/>
            <w:tcW w:w="850" w:type="dxa"/>
          </w:tcPr>
          <w:p>
            <w:pPr>
              <w:spacing w:before="0" w:after="0"/>
            </w:pPr>
            <w:r>
              <w:rPr>
                <w:rFonts w:ascii="Calibri" w:hAnsi="Calibri"/>
                <w:b w:val="0"/>
                <w:i w:val="0"/>
                <w:color w:val="1A1A1A"/>
                <w:sz w:val="19"/>
                <w:u w:val="none"/>
              </w:rPr>
              <w:t>O-2</w:t>
            </w:r>
          </w:p>
        </w:tc>
        <w:tc>
          <w:tcPr>
            <w:shd w:val="clear" w:color="auto" w:fill="F0F4F8"/>
            <w:tcMar>
              <w:top w:w="70" w:type="dxa"/>
              <w:bottom w:w="70" w:type="dxa"/>
              <w:left w:w="120" w:type="dxa"/>
              <w:right w:w="80" w:type="dxa"/>
            </w:tcMar>
            <w:vAlign w:val="top"/>
            <w:tcW w:w="4252" w:type="dxa"/>
          </w:tcPr>
          <w:p>
            <w:pPr>
              <w:spacing w:before="0" w:after="0"/>
            </w:pPr>
            <w:r>
              <w:rPr>
                <w:rFonts w:ascii="Calibri" w:hAnsi="Calibri"/>
                <w:b w:val="0"/>
                <w:i w:val="0"/>
                <w:color w:val="1A1A1A"/>
                <w:sz w:val="19"/>
                <w:u w:val="none"/>
              </w:rPr>
              <w:t>Reduce MTTR</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Average time from report to resolution</w:t>
            </w:r>
          </w:p>
        </w:tc>
      </w:tr>
      <w:tr>
        <w:tc>
          <w:tcPr>
            <w:shd w:val="clear" w:color="auto" w:fill="FFFFFF"/>
            <w:tcMar>
              <w:top w:w="70" w:type="dxa"/>
              <w:bottom w:w="70" w:type="dxa"/>
              <w:left w:w="120" w:type="dxa"/>
              <w:right w:w="80" w:type="dxa"/>
            </w:tcMar>
            <w:vAlign w:val="top"/>
            <w:tcW w:w="850" w:type="dxa"/>
          </w:tcPr>
          <w:p>
            <w:pPr>
              <w:spacing w:before="0" w:after="0"/>
            </w:pPr>
            <w:r>
              <w:rPr>
                <w:rFonts w:ascii="Calibri" w:hAnsi="Calibri"/>
                <w:b w:val="0"/>
                <w:i w:val="0"/>
                <w:color w:val="1A1A1A"/>
                <w:sz w:val="19"/>
                <w:u w:val="none"/>
              </w:rPr>
              <w:t>O-3</w:t>
            </w:r>
          </w:p>
        </w:tc>
        <w:tc>
          <w:tcPr>
            <w:shd w:val="clear" w:color="auto" w:fill="FFFFFF"/>
            <w:tcMar>
              <w:top w:w="70" w:type="dxa"/>
              <w:bottom w:w="70" w:type="dxa"/>
              <w:left w:w="120" w:type="dxa"/>
              <w:right w:w="80" w:type="dxa"/>
            </w:tcMar>
            <w:vAlign w:val="top"/>
            <w:tcW w:w="4252" w:type="dxa"/>
          </w:tcPr>
          <w:p>
            <w:pPr>
              <w:spacing w:before="0" w:after="0"/>
            </w:pPr>
            <w:r>
              <w:rPr>
                <w:rFonts w:ascii="Calibri" w:hAnsi="Calibri"/>
                <w:b w:val="0"/>
                <w:i w:val="0"/>
                <w:color w:val="1A1A1A"/>
                <w:sz w:val="19"/>
                <w:u w:val="none"/>
              </w:rPr>
              <w:t>Improve ticket classification accuracy</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ServiceNow field validation pass rate</w:t>
            </w:r>
          </w:p>
        </w:tc>
      </w:tr>
      <w:tr>
        <w:tc>
          <w:tcPr>
            <w:shd w:val="clear" w:color="auto" w:fill="F0F4F8"/>
            <w:tcMar>
              <w:top w:w="70" w:type="dxa"/>
              <w:bottom w:w="70" w:type="dxa"/>
              <w:left w:w="120" w:type="dxa"/>
              <w:right w:w="80" w:type="dxa"/>
            </w:tcMar>
            <w:vAlign w:val="top"/>
            <w:tcW w:w="850" w:type="dxa"/>
          </w:tcPr>
          <w:p>
            <w:pPr>
              <w:spacing w:before="0" w:after="0"/>
            </w:pPr>
            <w:r>
              <w:rPr>
                <w:rFonts w:ascii="Calibri" w:hAnsi="Calibri"/>
                <w:b w:val="0"/>
                <w:i w:val="0"/>
                <w:color w:val="1A1A1A"/>
                <w:sz w:val="19"/>
                <w:u w:val="none"/>
              </w:rPr>
              <w:t>O-4</w:t>
            </w:r>
          </w:p>
        </w:tc>
        <w:tc>
          <w:tcPr>
            <w:shd w:val="clear" w:color="auto" w:fill="F0F4F8"/>
            <w:tcMar>
              <w:top w:w="70" w:type="dxa"/>
              <w:bottom w:w="70" w:type="dxa"/>
              <w:left w:w="120" w:type="dxa"/>
              <w:right w:w="80" w:type="dxa"/>
            </w:tcMar>
            <w:vAlign w:val="top"/>
            <w:tcW w:w="4252" w:type="dxa"/>
          </w:tcPr>
          <w:p>
            <w:pPr>
              <w:spacing w:before="0" w:after="0"/>
            </w:pPr>
            <w:r>
              <w:rPr>
                <w:rFonts w:ascii="Calibri" w:hAnsi="Calibri"/>
                <w:b w:val="0"/>
                <w:i w:val="0"/>
                <w:color w:val="1A1A1A"/>
                <w:sz w:val="19"/>
                <w:u w:val="none"/>
              </w:rPr>
              <w:t>Automate privileged software approval workflow</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End-to-end time: request to access grant</w:t>
            </w:r>
          </w:p>
        </w:tc>
      </w:tr>
      <w:tr>
        <w:tc>
          <w:tcPr>
            <w:shd w:val="clear" w:color="auto" w:fill="FFFFFF"/>
            <w:tcMar>
              <w:top w:w="70" w:type="dxa"/>
              <w:bottom w:w="70" w:type="dxa"/>
              <w:left w:w="120" w:type="dxa"/>
              <w:right w:w="80" w:type="dxa"/>
            </w:tcMar>
            <w:vAlign w:val="top"/>
            <w:tcW w:w="850" w:type="dxa"/>
          </w:tcPr>
          <w:p>
            <w:pPr>
              <w:spacing w:before="0" w:after="0"/>
            </w:pPr>
            <w:r>
              <w:rPr>
                <w:rFonts w:ascii="Calibri" w:hAnsi="Calibri"/>
                <w:b w:val="0"/>
                <w:i w:val="0"/>
                <w:color w:val="1A1A1A"/>
                <w:sz w:val="19"/>
                <w:u w:val="none"/>
              </w:rPr>
              <w:t>O-5</w:t>
            </w:r>
          </w:p>
        </w:tc>
        <w:tc>
          <w:tcPr>
            <w:shd w:val="clear" w:color="auto" w:fill="FFFFFF"/>
            <w:tcMar>
              <w:top w:w="70" w:type="dxa"/>
              <w:bottom w:w="70" w:type="dxa"/>
              <w:left w:w="120" w:type="dxa"/>
              <w:right w:w="80" w:type="dxa"/>
            </w:tcMar>
            <w:vAlign w:val="top"/>
            <w:tcW w:w="4252" w:type="dxa"/>
          </w:tcPr>
          <w:p>
            <w:pPr>
              <w:spacing w:before="0" w:after="0"/>
            </w:pPr>
            <w:r>
              <w:rPr>
                <w:rFonts w:ascii="Calibri" w:hAnsi="Calibri"/>
                <w:b w:val="0"/>
                <w:i w:val="0"/>
                <w:color w:val="1A1A1A"/>
                <w:sz w:val="19"/>
                <w:u w:val="none"/>
              </w:rPr>
              <w:t>Improve employee self-service experience</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First-contact resolution rate</w:t>
            </w:r>
          </w:p>
        </w:tc>
      </w:tr>
      <w:tr>
        <w:tc>
          <w:tcPr>
            <w:shd w:val="clear" w:color="auto" w:fill="F0F4F8"/>
            <w:tcMar>
              <w:top w:w="70" w:type="dxa"/>
              <w:bottom w:w="70" w:type="dxa"/>
              <w:left w:w="120" w:type="dxa"/>
              <w:right w:w="80" w:type="dxa"/>
            </w:tcMar>
            <w:vAlign w:val="top"/>
            <w:tcW w:w="850" w:type="dxa"/>
          </w:tcPr>
          <w:p>
            <w:pPr>
              <w:spacing w:before="0" w:after="0"/>
            </w:pPr>
            <w:r>
              <w:rPr>
                <w:rFonts w:ascii="Calibri" w:hAnsi="Calibri"/>
                <w:b w:val="0"/>
                <w:i w:val="0"/>
                <w:color w:val="1A1A1A"/>
                <w:sz w:val="19"/>
                <w:u w:val="none"/>
              </w:rPr>
              <w:t>O-6</w:t>
            </w:r>
          </w:p>
        </w:tc>
        <w:tc>
          <w:tcPr>
            <w:shd w:val="clear" w:color="auto" w:fill="F0F4F8"/>
            <w:tcMar>
              <w:top w:w="70" w:type="dxa"/>
              <w:bottom w:w="70" w:type="dxa"/>
              <w:left w:w="120" w:type="dxa"/>
              <w:right w:w="80" w:type="dxa"/>
            </w:tcMar>
            <w:vAlign w:val="top"/>
            <w:tcW w:w="4252" w:type="dxa"/>
          </w:tcPr>
          <w:p>
            <w:pPr>
              <w:spacing w:before="0" w:after="0"/>
            </w:pPr>
            <w:r>
              <w:rPr>
                <w:rFonts w:ascii="Calibri" w:hAnsi="Calibri"/>
                <w:b w:val="0"/>
                <w:i w:val="0"/>
                <w:color w:val="1A1A1A"/>
                <w:sz w:val="19"/>
                <w:u w:val="none"/>
              </w:rPr>
              <w:t>Maintain complete auditability</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Audit log coverage across all state transitions</w:t>
            </w:r>
          </w:p>
        </w:tc>
      </w:tr>
      <w:tr>
        <w:tc>
          <w:tcPr>
            <w:shd w:val="clear" w:color="auto" w:fill="FFFFFF"/>
            <w:tcMar>
              <w:top w:w="70" w:type="dxa"/>
              <w:bottom w:w="70" w:type="dxa"/>
              <w:left w:w="120" w:type="dxa"/>
              <w:right w:w="80" w:type="dxa"/>
            </w:tcMar>
            <w:vAlign w:val="top"/>
            <w:tcW w:w="850" w:type="dxa"/>
          </w:tcPr>
          <w:p>
            <w:pPr>
              <w:spacing w:before="0" w:after="0"/>
            </w:pPr>
            <w:r>
              <w:rPr>
                <w:rFonts w:ascii="Calibri" w:hAnsi="Calibri"/>
                <w:b w:val="0"/>
                <w:i w:val="0"/>
                <w:color w:val="1A1A1A"/>
                <w:sz w:val="19"/>
                <w:u w:val="none"/>
              </w:rPr>
              <w:t>O-7</w:t>
            </w:r>
          </w:p>
        </w:tc>
        <w:tc>
          <w:tcPr>
            <w:shd w:val="clear" w:color="auto" w:fill="FFFFFF"/>
            <w:tcMar>
              <w:top w:w="70" w:type="dxa"/>
              <w:bottom w:w="70" w:type="dxa"/>
              <w:left w:w="120" w:type="dxa"/>
              <w:right w:w="80" w:type="dxa"/>
            </w:tcMar>
            <w:vAlign w:val="top"/>
            <w:tcW w:w="4252" w:type="dxa"/>
          </w:tcPr>
          <w:p>
            <w:pPr>
              <w:spacing w:before="0" w:after="0"/>
            </w:pPr>
            <w:r>
              <w:rPr>
                <w:rFonts w:ascii="Calibri" w:hAnsi="Calibri"/>
                <w:b w:val="0"/>
                <w:i w:val="0"/>
                <w:color w:val="1A1A1A"/>
                <w:sz w:val="19"/>
                <w:u w:val="none"/>
              </w:rPr>
              <w:t>Preserve ServiceNow as system of record</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All incidents traceable to a ServiceNow INC number</w:t>
            </w:r>
          </w:p>
        </w:tc>
      </w:tr>
      <w:tr>
        <w:tc>
          <w:tcPr>
            <w:shd w:val="clear" w:color="auto" w:fill="F0F4F8"/>
            <w:tcMar>
              <w:top w:w="70" w:type="dxa"/>
              <w:bottom w:w="70" w:type="dxa"/>
              <w:left w:w="120" w:type="dxa"/>
              <w:right w:w="80" w:type="dxa"/>
            </w:tcMar>
            <w:vAlign w:val="top"/>
            <w:tcW w:w="850" w:type="dxa"/>
          </w:tcPr>
          <w:p>
            <w:pPr>
              <w:spacing w:before="0" w:after="0"/>
            </w:pPr>
            <w:r>
              <w:rPr>
                <w:rFonts w:ascii="Calibri" w:hAnsi="Calibri"/>
                <w:b w:val="0"/>
                <w:i w:val="0"/>
                <w:color w:val="1A1A1A"/>
                <w:sz w:val="19"/>
                <w:u w:val="none"/>
              </w:rPr>
              <w:t>O-8</w:t>
            </w:r>
          </w:p>
        </w:tc>
        <w:tc>
          <w:tcPr>
            <w:shd w:val="clear" w:color="auto" w:fill="F0F4F8"/>
            <w:tcMar>
              <w:top w:w="70" w:type="dxa"/>
              <w:bottom w:w="70" w:type="dxa"/>
              <w:left w:w="120" w:type="dxa"/>
              <w:right w:w="80" w:type="dxa"/>
            </w:tcMar>
            <w:vAlign w:val="top"/>
            <w:tcW w:w="4252" w:type="dxa"/>
          </w:tcPr>
          <w:p>
            <w:pPr>
              <w:spacing w:before="0" w:after="0"/>
            </w:pPr>
            <w:r>
              <w:rPr>
                <w:rFonts w:ascii="Calibri" w:hAnsi="Calibri"/>
                <w:b w:val="0"/>
                <w:i w:val="0"/>
                <w:color w:val="1A1A1A"/>
                <w:sz w:val="19"/>
                <w:u w:val="none"/>
              </w:rPr>
              <w:t>Enforce SLA compliance with automated escalation</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Percentage of tickets escalated before SLA breach</w:t>
            </w:r>
          </w:p>
        </w:tc>
      </w:tr>
    </w:tbl>
    <w:p>
      <w:pPr>
        <w:spacing w:before="80" w:after="0"/>
      </w:pPr>
    </w:p>
    <w:p>
      <w:pPr>
        <w:keepNext w:val="0"/>
        <w:spacing w:before="80" w:after="120"/>
        <w:jc w:val="center"/>
      </w:pPr>
      <w:r>
        <w:rPr>
          <w:rFonts w:ascii="Calibri" w:hAnsi="Calibri"/>
          <w:b w:val="0"/>
          <w:i/>
          <w:color w:val="555555"/>
          <w:sz w:val="18"/>
          <w:u w:val="none"/>
        </w:rPr>
        <w:t>Table 2 — Business Objectives</w:t>
      </w:r>
    </w:p>
    <w:p>
      <w:pPr>
        <w:pStyle w:val="Heading1"/>
        <w:keepNext/>
        <w:spacing w:before="360" w:after="120"/>
        <w:pBdr>
          <w:bottom w:val="single" w:sz="8" w:space="1" w:color="C80000"/>
        </w:pBdr>
      </w:pPr>
      <w:r>
        <w:rPr>
          <w:rFonts w:ascii="Calibri" w:hAnsi="Calibri"/>
          <w:b/>
          <w:color w:val="1A1A2E"/>
          <w:sz w:val="32"/>
        </w:rPr>
        <w:t>6. Solution Overview</w:t>
      </w:r>
    </w:p>
    <w:p>
      <w:pPr>
        <w:pStyle w:val="Heading2"/>
        <w:keepNext/>
        <w:spacing w:before="240" w:after="80"/>
      </w:pPr>
      <w:r>
        <w:rPr>
          <w:rFonts w:ascii="Calibri" w:hAnsi="Calibri"/>
          <w:b/>
          <w:color w:val="C80000"/>
          <w:sz w:val="26"/>
        </w:rPr>
        <w:t>6.1 Architecture Pattern</w:t>
      </w:r>
    </w:p>
    <w:p>
      <w:pPr>
        <w:keepNext w:val="0"/>
        <w:spacing w:before="20" w:after="100"/>
      </w:pPr>
      <w:r>
        <w:rPr>
          <w:rFonts w:ascii="Calibri" w:hAnsi="Calibri"/>
          <w:b w:val="0"/>
          <w:i w:val="0"/>
          <w:color w:val="1A1A1A"/>
          <w:sz w:val="21"/>
          <w:u w:val="none"/>
        </w:rPr>
        <w:t>The platform is built on a Hybrid AI + Deterministic architecture. AI reasoning handles ambiguous, contextual decisions — intent detection, diagnostic planning, root-cause analysis, reflection and classification. Deterministic services handle all outcomes governed by business rules — approval routing, SLA computation, ServiceNow field mapping and state machine transitions.</w:t>
      </w:r>
    </w:p>
    <w:p>
      <w:pPr>
        <w:keepNext w:val="0"/>
        <w:spacing w:before="20" w:after="100"/>
      </w:pPr>
      <w:r>
        <w:rPr>
          <w:rFonts w:ascii="Calibri" w:hAnsi="Calibri"/>
          <w:b w:val="0"/>
          <w:i w:val="0"/>
          <w:color w:val="1A1A1A"/>
          <w:sz w:val="21"/>
          <w:u w:val="none"/>
        </w:rPr>
        <w:t>This separation is deliberate. AI output is non-deterministic by nature. Every AI decision that produces a side effect (ticket creation, approval, access grant) is gated by deterministic validation before execution.</w:t>
      </w:r>
    </w:p>
    <w:p>
      <w:pPr>
        <w:pStyle w:val="Heading2"/>
        <w:keepNext/>
        <w:spacing w:before="240" w:after="80"/>
      </w:pPr>
      <w:r>
        <w:rPr>
          <w:rFonts w:ascii="Calibri" w:hAnsi="Calibri"/>
          <w:b/>
          <w:color w:val="C80000"/>
          <w:sz w:val="26"/>
        </w:rPr>
        <w:t>6.2 Platform Layers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268" w:type="dxa"/>
          </w:tcPr>
          <w:p>
            <w:pPr>
              <w:spacing w:before="0" w:after="0"/>
            </w:pPr>
            <w:r>
              <w:rPr>
                <w:rFonts w:ascii="Calibri" w:hAnsi="Calibri"/>
                <w:b/>
                <w:i w:val="0"/>
                <w:color w:val="FFFFFF"/>
                <w:sz w:val="19"/>
                <w:u w:val="none"/>
              </w:rPr>
              <w:t>Layer</w:t>
            </w:r>
          </w:p>
        </w:tc>
        <w:tc>
          <w:tcPr>
            <w:shd w:val="clear" w:color="auto" w:fill="1A1A2E"/>
            <w:tcMar>
              <w:top w:w="80" w:type="dxa"/>
              <w:bottom w:w="80" w:type="dxa"/>
              <w:left w:w="120" w:type="dxa"/>
              <w:right w:w="80" w:type="dxa"/>
            </w:tcMar>
            <w:vAlign w:val="center"/>
            <w:tcW w:w="2835" w:type="dxa"/>
          </w:tcPr>
          <w:p>
            <w:pPr>
              <w:spacing w:before="0" w:after="0"/>
            </w:pPr>
            <w:r>
              <w:rPr>
                <w:rFonts w:ascii="Calibri" w:hAnsi="Calibri"/>
                <w:b/>
                <w:i w:val="0"/>
                <w:color w:val="FFFFFF"/>
                <w:sz w:val="19"/>
                <w:u w:val="none"/>
              </w:rPr>
              <w:t>Technology</w:t>
            </w:r>
          </w:p>
        </w:tc>
        <w:tc>
          <w:tcPr>
            <w:shd w:val="clear" w:color="auto" w:fill="1A1A2E"/>
            <w:tcMar>
              <w:top w:w="80" w:type="dxa"/>
              <w:bottom w:w="80" w:type="dxa"/>
              <w:left w:w="120" w:type="dxa"/>
              <w:right w:w="80" w:type="dxa"/>
            </w:tcMar>
            <w:vAlign w:val="center"/>
            <w:tcW w:w="5103" w:type="dxa"/>
          </w:tcPr>
          <w:p>
            <w:pPr>
              <w:spacing w:before="0" w:after="0"/>
            </w:pPr>
            <w:r>
              <w:rPr>
                <w:rFonts w:ascii="Calibri" w:hAnsi="Calibri"/>
                <w:b/>
                <w:i w:val="0"/>
                <w:color w:val="FFFFFF"/>
                <w:sz w:val="19"/>
                <w:u w:val="none"/>
              </w:rPr>
              <w:t>Responsibility</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Presentation Layer</w:t>
            </w:r>
          </w:p>
        </w:tc>
        <w:tc>
          <w:tcPr>
            <w:shd w:val="clear" w:color="auto" w:fill="FFFFFF"/>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Next.js 16 / React 19</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Four role-separated portal surfaces (Employee · Manager · Admin · SuperAdmin)</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API Gateway Layer</w:t>
            </w:r>
          </w:p>
        </w:tc>
        <w:tc>
          <w:tcPr>
            <w:shd w:val="clear" w:color="auto" w:fill="F0F4F8"/>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FastAPI + Uvicorn</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Authentication, RBAC, rate limiting, security headers, PromptGuard</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AI Orchestration</w:t>
            </w:r>
          </w:p>
        </w:tc>
        <w:tc>
          <w:tcPr>
            <w:shd w:val="clear" w:color="auto" w:fill="FFFFFF"/>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LangGraph StateGraph</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23-node conditional AI pipeline with multi-step diagnostic loops</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Deterministic Logic</w:t>
            </w:r>
          </w:p>
        </w:tc>
        <w:tc>
          <w:tcPr>
            <w:shd w:val="clear" w:color="auto" w:fill="F0F4F8"/>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Classification &amp; SLA Services</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Business-rule enforcement on all AI outcomes before system mutation</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Integration Layer</w:t>
            </w:r>
          </w:p>
        </w:tc>
        <w:tc>
          <w:tcPr>
            <w:shd w:val="clear" w:color="auto" w:fill="FFFFFF"/>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ServiceNow, Graph, AD, VPN Adapters</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Adapter-pattern enterprise system connectors with mock/live toggle</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Data Tier</w:t>
            </w:r>
          </w:p>
        </w:tc>
        <w:tc>
          <w:tcPr>
            <w:shd w:val="clear" w:color="auto" w:fill="F0F4F8"/>
            <w:tcMar>
              <w:top w:w="70" w:type="dxa"/>
              <w:bottom w:w="70" w:type="dxa"/>
              <w:left w:w="120" w:type="dxa"/>
              <w:right w:w="80" w:type="dxa"/>
            </w:tcMar>
            <w:vAlign w:val="top"/>
            <w:tcW w:w="2835" w:type="dxa"/>
          </w:tcPr>
          <w:p>
            <w:pPr>
              <w:spacing w:before="0" w:after="0"/>
            </w:pPr>
            <w:r>
              <w:rPr>
                <w:rFonts w:ascii="Calibri" w:hAnsi="Calibri"/>
                <w:b w:val="0"/>
                <w:i w:val="0"/>
                <w:color w:val="1A1A1A"/>
                <w:sz w:val="19"/>
                <w:u w:val="none"/>
              </w:rPr>
              <w:t>PostgreSQL 14 &amp; Redis</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ACID relational storage and metadata / session caching</w:t>
            </w:r>
          </w:p>
        </w:tc>
      </w:tr>
    </w:tbl>
    <w:p>
      <w:pPr>
        <w:spacing w:before="80" w:after="0"/>
      </w:pPr>
    </w:p>
    <w:p>
      <w:pPr>
        <w:keepNext w:val="0"/>
        <w:spacing w:before="80" w:after="120"/>
        <w:jc w:val="center"/>
      </w:pPr>
      <w:r>
        <w:rPr>
          <w:rFonts w:ascii="Calibri" w:hAnsi="Calibri"/>
          <w:b w:val="0"/>
          <w:i/>
          <w:color w:val="555555"/>
          <w:sz w:val="18"/>
          <w:u w:val="none"/>
        </w:rPr>
        <w:t>Table 3 — Platform Architecture Layers</w:t>
      </w:r>
    </w:p>
    <w:p>
      <w:pPr>
        <w:pStyle w:val="Heading2"/>
        <w:keepNext/>
        <w:spacing w:before="240" w:after="80"/>
      </w:pPr>
      <w:r>
        <w:rPr>
          <w:rFonts w:ascii="Calibri" w:hAnsi="Calibri"/>
          <w:b/>
          <w:color w:val="C80000"/>
          <w:sz w:val="26"/>
        </w:rPr>
        <w:t>6.3 Platform Scope</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5103" w:type="dxa"/>
          </w:tcPr>
          <w:p>
            <w:pPr>
              <w:spacing w:before="0" w:after="0"/>
            </w:pPr>
            <w:r>
              <w:rPr>
                <w:rFonts w:ascii="Calibri" w:hAnsi="Calibri"/>
                <w:b/>
                <w:i w:val="0"/>
                <w:color w:val="FFFFFF"/>
                <w:sz w:val="19"/>
                <w:u w:val="none"/>
              </w:rPr>
              <w:t>In Scope</w:t>
            </w:r>
          </w:p>
        </w:tc>
        <w:tc>
          <w:tcPr>
            <w:shd w:val="clear" w:color="auto" w:fill="1A1A2E"/>
            <w:tcMar>
              <w:top w:w="80" w:type="dxa"/>
              <w:bottom w:w="80" w:type="dxa"/>
              <w:left w:w="120" w:type="dxa"/>
              <w:right w:w="80" w:type="dxa"/>
            </w:tcMar>
            <w:vAlign w:val="center"/>
            <w:tcW w:w="5103" w:type="dxa"/>
          </w:tcPr>
          <w:p>
            <w:pPr>
              <w:spacing w:before="0" w:after="0"/>
            </w:pPr>
            <w:r>
              <w:rPr>
                <w:rFonts w:ascii="Calibri" w:hAnsi="Calibri"/>
                <w:b/>
                <w:i w:val="0"/>
                <w:color w:val="FFFFFF"/>
                <w:sz w:val="19"/>
                <w:u w:val="none"/>
              </w:rPr>
              <w:t>Out of Scope</w:t>
            </w:r>
          </w:p>
        </w:tc>
      </w:tr>
      <w:tr>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L1 AI-driven issue diagnosis</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L2/L3 deep infrastructure troubleshooting</w:t>
            </w:r>
          </w:p>
        </w:tc>
      </w:tr>
      <w:tr>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ServiceNow incident creation and lifecycle</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ServiceNow configuration and CMDB management</w:t>
            </w:r>
          </w:p>
        </w:tc>
      </w:tr>
      <w:tr>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Privileged software request approval workflow</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Software licensing management</w:t>
            </w:r>
          </w:p>
        </w:tc>
      </w:tr>
      <w:tr>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SLA monitoring and automated escalation</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ITSM capacity planning</w:t>
            </w:r>
          </w:p>
        </w:tc>
      </w:tr>
      <w:tr>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RBAC-separated portal surfaces</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HR and payroll integration</w:t>
            </w:r>
          </w:p>
        </w:tc>
      </w:tr>
      <w:tr>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Audit logging for compliance</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SOC/SIEM integration (roadmap)</w:t>
            </w:r>
          </w:p>
        </w:tc>
      </w:tr>
    </w:tbl>
    <w:p>
      <w:pPr>
        <w:spacing w:before="80" w:after="0"/>
      </w:pPr>
    </w:p>
    <w:p>
      <w:pPr>
        <w:keepNext w:val="0"/>
        <w:spacing w:before="80" w:after="120"/>
        <w:jc w:val="center"/>
      </w:pPr>
      <w:r>
        <w:rPr>
          <w:rFonts w:ascii="Calibri" w:hAnsi="Calibri"/>
          <w:b w:val="0"/>
          <w:i/>
          <w:color w:val="555555"/>
          <w:sz w:val="18"/>
          <w:u w:val="none"/>
        </w:rPr>
        <w:t>Table 4 — Platform Scope</w:t>
      </w:r>
    </w:p>
    <w:p>
      <w:pPr>
        <w:pStyle w:val="Heading1"/>
        <w:keepNext/>
        <w:spacing w:before="360" w:after="120"/>
        <w:pBdr>
          <w:bottom w:val="single" w:sz="8" w:space="1" w:color="C80000"/>
        </w:pBdr>
      </w:pPr>
      <w:r>
        <w:rPr>
          <w:rFonts w:ascii="Calibri" w:hAnsi="Calibri"/>
          <w:b/>
          <w:color w:val="1A1A2E"/>
          <w:sz w:val="32"/>
        </w:rPr>
        <w:t>7. Functional Capabilities</w:t>
      </w:r>
    </w:p>
    <w:p>
      <w:pPr>
        <w:pStyle w:val="Heading2"/>
        <w:keepNext/>
        <w:spacing w:before="240" w:after="80"/>
      </w:pPr>
      <w:r>
        <w:rPr>
          <w:rFonts w:ascii="Calibri" w:hAnsi="Calibri"/>
          <w:b/>
          <w:color w:val="C80000"/>
          <w:sz w:val="26"/>
        </w:rPr>
        <w:t>7.1 Core Capabilities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3118" w:type="dxa"/>
          </w:tcPr>
          <w:p>
            <w:pPr>
              <w:spacing w:before="0" w:after="0"/>
            </w:pPr>
            <w:r>
              <w:rPr>
                <w:rFonts w:ascii="Calibri" w:hAnsi="Calibri"/>
                <w:b/>
                <w:i w:val="0"/>
                <w:color w:val="FFFFFF"/>
                <w:sz w:val="19"/>
                <w:u w:val="none"/>
              </w:rPr>
              <w:t>Capability</w:t>
            </w:r>
          </w:p>
        </w:tc>
        <w:tc>
          <w:tcPr>
            <w:shd w:val="clear" w:color="auto" w:fill="1A1A2E"/>
            <w:tcMar>
              <w:top w:w="80" w:type="dxa"/>
              <w:bottom w:w="80" w:type="dxa"/>
              <w:left w:w="120" w:type="dxa"/>
              <w:right w:w="80" w:type="dxa"/>
            </w:tcMar>
            <w:vAlign w:val="center"/>
            <w:tcW w:w="7087" w:type="dxa"/>
          </w:tcPr>
          <w:p>
            <w:pPr>
              <w:spacing w:before="0" w:after="0"/>
            </w:pPr>
            <w:r>
              <w:rPr>
                <w:rFonts w:ascii="Calibri" w:hAnsi="Calibri"/>
                <w:b/>
                <w:i w:val="0"/>
                <w:color w:val="FFFFFF"/>
                <w:sz w:val="19"/>
                <w:u w:val="none"/>
              </w:rPr>
              <w:t>Description</w:t>
            </w:r>
          </w:p>
        </w:tc>
      </w:tr>
      <w:tr>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Conversational AI Triage</w:t>
            </w:r>
          </w:p>
        </w:tc>
        <w:tc>
          <w:tcPr>
            <w:shd w:val="clear" w:color="auto" w:fill="FFFFFF"/>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Employees describe issues in natural language; the agent conducts a structured diagnostic interview before escalating</w:t>
            </w:r>
          </w:p>
        </w:tc>
      </w:tr>
      <w:tr>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Multi-Step Troubleshooting</w:t>
            </w:r>
          </w:p>
        </w:tc>
        <w:tc>
          <w:tcPr>
            <w:shd w:val="clear" w:color="auto" w:fill="F0F4F8"/>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The agent iteratively executes tool chains (VPN, AD, network) and loops until resolution or escalation</w:t>
            </w:r>
          </w:p>
        </w:tc>
      </w:tr>
      <w:tr>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Automatic ServiceNow Incident Creation</w:t>
            </w:r>
          </w:p>
        </w:tc>
        <w:tc>
          <w:tcPr>
            <w:shd w:val="clear" w:color="auto" w:fill="FFFFFF"/>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Issues that cannot be self-resolved are classified, enriched, validated and submitted to ServiceNow via OAuth2</w:t>
            </w:r>
          </w:p>
        </w:tc>
      </w:tr>
      <w:tr>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Dual-Approval Workflow</w:t>
            </w:r>
          </w:p>
        </w:tc>
        <w:tc>
          <w:tcPr>
            <w:shd w:val="clear" w:color="auto" w:fill="F0F4F8"/>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Privileged requests route through Manager approval, then Admin access grant, tracked in DB and ServiceNow</w:t>
            </w:r>
          </w:p>
        </w:tc>
      </w:tr>
      <w:tr>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SLA Engine</w:t>
            </w:r>
          </w:p>
        </w:tc>
        <w:tc>
          <w:tcPr>
            <w:shd w:val="clear" w:color="auto" w:fill="FFFFFF"/>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APScheduler job evaluates open tickets every 60 seconds, progressing through seven escalation states</w:t>
            </w:r>
          </w:p>
        </w:tc>
      </w:tr>
      <w:tr>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Role-Separated Portals</w:t>
            </w:r>
          </w:p>
        </w:tc>
        <w:tc>
          <w:tcPr>
            <w:shd w:val="clear" w:color="auto" w:fill="F0F4F8"/>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Four purpose-built surfaces for Employee, Manager, IT Admin and SuperAdmin roles</w:t>
            </w:r>
          </w:p>
        </w:tc>
      </w:tr>
      <w:tr>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Analytics Dashboard</w:t>
            </w:r>
          </w:p>
        </w:tc>
        <w:tc>
          <w:tcPr>
            <w:shd w:val="clear" w:color="auto" w:fill="FFFFFF"/>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Ticket volume by category and team, priority breakdown, SLA compliance trend</w:t>
            </w:r>
          </w:p>
        </w:tc>
      </w:tr>
      <w:tr>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Knowledge Base</w:t>
            </w:r>
          </w:p>
        </w:tc>
        <w:tc>
          <w:tcPr>
            <w:shd w:val="clear" w:color="auto" w:fill="F0F4F8"/>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Admin-managed KB articles with AI-assisted article suggestion from resolved ticket context</w:t>
            </w:r>
          </w:p>
        </w:tc>
      </w:tr>
    </w:tbl>
    <w:p>
      <w:pPr>
        <w:spacing w:before="80" w:after="0"/>
      </w:pPr>
    </w:p>
    <w:p>
      <w:pPr>
        <w:pStyle w:val="Heading2"/>
        <w:keepNext/>
        <w:spacing w:before="240" w:after="80"/>
      </w:pPr>
      <w:r>
        <w:rPr>
          <w:rFonts w:ascii="Calibri" w:hAnsi="Calibri"/>
          <w:b/>
          <w:color w:val="C80000"/>
          <w:sz w:val="26"/>
        </w:rPr>
        <w:t>7.2 Platform-Level Capabilities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3118" w:type="dxa"/>
          </w:tcPr>
          <w:p>
            <w:pPr>
              <w:spacing w:before="0" w:after="0"/>
            </w:pPr>
            <w:r>
              <w:rPr>
                <w:rFonts w:ascii="Calibri" w:hAnsi="Calibri"/>
                <w:b/>
                <w:i w:val="0"/>
                <w:color w:val="FFFFFF"/>
                <w:sz w:val="19"/>
                <w:u w:val="none"/>
              </w:rPr>
              <w:t>Capability</w:t>
            </w:r>
          </w:p>
        </w:tc>
        <w:tc>
          <w:tcPr>
            <w:shd w:val="clear" w:color="auto" w:fill="1A1A2E"/>
            <w:tcMar>
              <w:top w:w="80" w:type="dxa"/>
              <w:bottom w:w="80" w:type="dxa"/>
              <w:left w:w="120" w:type="dxa"/>
              <w:right w:w="80" w:type="dxa"/>
            </w:tcMar>
            <w:vAlign w:val="center"/>
            <w:tcW w:w="7087" w:type="dxa"/>
          </w:tcPr>
          <w:p>
            <w:pPr>
              <w:spacing w:before="0" w:after="0"/>
            </w:pPr>
            <w:r>
              <w:rPr>
                <w:rFonts w:ascii="Calibri" w:hAnsi="Calibri"/>
                <w:b/>
                <w:i w:val="0"/>
                <w:color w:val="FFFFFF"/>
                <w:sz w:val="19"/>
                <w:u w:val="none"/>
              </w:rPr>
              <w:t>Implementation</w:t>
            </w:r>
          </w:p>
        </w:tc>
      </w:tr>
      <w:tr>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Prompt Injection Protection</w:t>
            </w:r>
          </w:p>
        </w:tc>
        <w:tc>
          <w:tcPr>
            <w:shd w:val="clear" w:color="auto" w:fill="FFFFFF"/>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Three-tier risk classifier (HIGH → reject, MEDIUM → sanitise, LOW → warn) on every user message</w:t>
            </w:r>
          </w:p>
        </w:tc>
      </w:tr>
      <w:tr>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Rate Limiting</w:t>
            </w:r>
          </w:p>
        </w:tc>
        <w:tc>
          <w:tcPr>
            <w:shd w:val="clear" w:color="auto" w:fill="F0F4F8"/>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Per-user/per-IP sliding-window limiter on /chat, /auth/login, /upload — no external dependencies</w:t>
            </w:r>
          </w:p>
        </w:tc>
      </w:tr>
      <w:tr>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Immutable Audit Log</w:t>
            </w:r>
          </w:p>
        </w:tc>
        <w:tc>
          <w:tcPr>
            <w:shd w:val="clear" w:color="auto" w:fill="FFFFFF"/>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Append-only RBAC audit trail: SHA-256 payload hash, correlation ID, actor, ISO-8601 timestamp</w:t>
            </w:r>
          </w:p>
        </w:tc>
      </w:tr>
      <w:tr>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Distributed Tracing</w:t>
            </w:r>
          </w:p>
        </w:tc>
        <w:tc>
          <w:tcPr>
            <w:shd w:val="clear" w:color="auto" w:fill="F0F4F8"/>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OpenTelemetry-compatible trace_span context manager instruments every pipeline node and LLM call</w:t>
            </w:r>
          </w:p>
        </w:tc>
      </w:tr>
      <w:tr>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Structured JSON Logging</w:t>
            </w:r>
          </w:p>
        </w:tc>
        <w:tc>
          <w:tcPr>
            <w:shd w:val="clear" w:color="auto" w:fill="FFFFFF"/>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Per-request correlation ID propagated via Python contextvars through every log statement</w:t>
            </w:r>
          </w:p>
        </w:tc>
      </w:tr>
      <w:tr>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Auto Schema Migration</w:t>
            </w:r>
          </w:p>
        </w:tc>
        <w:tc>
          <w:tcPr>
            <w:shd w:val="clear" w:color="auto" w:fill="F0F4F8"/>
            <w:tcMar>
              <w:top w:w="70" w:type="dxa"/>
              <w:bottom w:w="70" w:type="dxa"/>
              <w:left w:w="120" w:type="dxa"/>
              <w:right w:w="80" w:type="dxa"/>
            </w:tcMar>
            <w:vAlign w:val="top"/>
            <w:tcW w:w="7087" w:type="dxa"/>
          </w:tcPr>
          <w:p>
            <w:pPr>
              <w:spacing w:before="0" w:after="0"/>
            </w:pPr>
            <w:r>
              <w:rPr>
                <w:rFonts w:ascii="Calibri" w:hAnsi="Calibri"/>
                <w:b w:val="0"/>
                <w:i w:val="0"/>
                <w:color w:val="1A1A1A"/>
                <w:sz w:val="19"/>
                <w:u w:val="none"/>
              </w:rPr>
              <w:t>Missing database columns detected and added on startup — no manual migration tooling required</w:t>
            </w:r>
          </w:p>
        </w:tc>
      </w:tr>
    </w:tbl>
    <w:p>
      <w:pPr>
        <w:spacing w:before="80" w:after="0"/>
      </w:pPr>
    </w:p>
    <w:p>
      <w:pPr>
        <w:pStyle w:val="Heading1"/>
        <w:keepNext/>
        <w:spacing w:before="360" w:after="120"/>
        <w:pBdr>
          <w:bottom w:val="single" w:sz="8" w:space="1" w:color="C80000"/>
        </w:pBdr>
      </w:pPr>
      <w:r>
        <w:rPr>
          <w:rFonts w:ascii="Calibri" w:hAnsi="Calibri"/>
          <w:b/>
          <w:color w:val="1A1A2E"/>
          <w:sz w:val="32"/>
        </w:rPr>
        <w:t>8. Enterprise Business Workflow</w:t>
      </w:r>
    </w:p>
    <w:p>
      <w:pPr>
        <w:pStyle w:val="Heading2"/>
        <w:keepNext/>
        <w:spacing w:before="240" w:after="80"/>
      </w:pPr>
      <w:r>
        <w:rPr>
          <w:rFonts w:ascii="Calibri" w:hAnsi="Calibri"/>
          <w:b/>
          <w:color w:val="C80000"/>
          <w:sz w:val="26"/>
        </w:rPr>
        <w:t>8.1 Employee Issue Resolution Flow</w:t>
      </w:r>
    </w:p>
    <w:p>
      <w:pPr>
        <w:keepNext w:val="0"/>
        <w:spacing w:before="20" w:after="100"/>
      </w:pPr>
      <w:r>
        <w:rPr>
          <w:rFonts w:ascii="Calibri" w:hAnsi="Calibri"/>
          <w:b w:val="0"/>
          <w:i w:val="0"/>
          <w:color w:val="1A1A1A"/>
          <w:sz w:val="21"/>
          <w:u w:val="none"/>
        </w:rPr>
        <w:t>The interaction sequence below details how an employee request moves from raw chat input through the security gateway, diagnostic graph, tool execution, and optional ServiceNow incident creation.</w:t>
      </w:r>
    </w:p>
    <w:p>
      <w:pPr>
        <w:keepNext/>
        <w:spacing w:before="160" w:after="80"/>
        <w:jc w:val="center"/>
      </w:pPr>
      <w:r>
        <w:drawing>
          <wp:inline xmlns:a="http://schemas.openxmlformats.org/drawingml/2006/main" xmlns:pic="http://schemas.openxmlformats.org/drawingml/2006/picture">
            <wp:extent cx="5669280" cy="3229631"/>
            <wp:docPr id="1" name="Picture 1"/>
            <wp:cNvGraphicFramePr>
              <a:graphicFrameLocks noChangeAspect="1"/>
            </wp:cNvGraphicFramePr>
            <a:graphic>
              <a:graphicData uri="http://schemas.openxmlformats.org/drawingml/2006/picture">
                <pic:pic>
                  <pic:nvPicPr>
                    <pic:cNvPr id="0" name="fig_8_1_issue_resolution.png"/>
                    <pic:cNvPicPr/>
                  </pic:nvPicPr>
                  <pic:blipFill>
                    <a:blip r:embed="rId9"/>
                    <a:stretch>
                      <a:fillRect/>
                    </a:stretch>
                  </pic:blipFill>
                  <pic:spPr>
                    <a:xfrm>
                      <a:off x="0" y="0"/>
                      <a:ext cx="5669280" cy="3229631"/>
                    </a:xfrm>
                    <a:prstGeom prst="rect"/>
                  </pic:spPr>
                </pic:pic>
              </a:graphicData>
            </a:graphic>
          </wp:inline>
        </w:drawing>
      </w:r>
    </w:p>
    <w:p>
      <w:pPr>
        <w:keepNext w:val="0"/>
        <w:spacing w:before="80" w:after="80"/>
        <w:jc w:val="center"/>
      </w:pPr>
      <w:r>
        <w:rPr>
          <w:rFonts w:ascii="Calibri" w:hAnsi="Calibri"/>
          <w:b w:val="0"/>
          <w:i/>
          <w:color w:val="555555"/>
          <w:sz w:val="18"/>
          <w:u w:val="none"/>
        </w:rPr>
        <w:t>Figure 1 — Employee Issue Resolution — End-to-End Sequence Diagram</w:t>
      </w:r>
    </w:p>
    <w:p>
      <w:pPr>
        <w:keepNext w:val="0"/>
        <w:spacing w:before="40" w:after="240"/>
      </w:pPr>
      <w:r>
        <w:rPr>
          <w:rFonts w:ascii="Calibri" w:hAnsi="Calibri"/>
          <w:b w:val="0"/>
          <w:i/>
          <w:color w:val="333333"/>
          <w:sz w:val="19"/>
          <w:u w:val="none"/>
        </w:rPr>
        <w:t>Figure 1 illustrates the end-to-end processing sequence for employee IT support interactions. Inbound HTTP requests traverse a mandatory FastAPI middleware security chain (Rate Limiter, JWT Auth, RBAC, and PromptGuard) before reaching the LangGraph StateGraph engine. Within the pipeline, diagnostic tools are invoked iteratively to gather evidence; if self-service resolution fails, an enriched ServiceNow incident is created via OAuth2 REST APIs, returning an official ticket number to the user.</w:t>
      </w:r>
    </w:p>
    <w:p>
      <w:pPr>
        <w:pStyle w:val="Heading2"/>
        <w:keepNext/>
        <w:spacing w:before="240" w:after="80"/>
      </w:pPr>
      <w:r>
        <w:rPr>
          <w:rFonts w:ascii="Calibri" w:hAnsi="Calibri"/>
          <w:b/>
          <w:color w:val="C80000"/>
          <w:sz w:val="26"/>
        </w:rPr>
        <w:t>8.2 Privileged Software Approval Workflow</w:t>
      </w:r>
    </w:p>
    <w:p>
      <w:pPr>
        <w:keepNext w:val="0"/>
        <w:spacing w:before="20" w:after="100"/>
      </w:pPr>
      <w:r>
        <w:rPr>
          <w:rFonts w:ascii="Calibri" w:hAnsi="Calibri"/>
          <w:b w:val="0"/>
          <w:i w:val="0"/>
          <w:color w:val="1A1A1A"/>
          <w:sz w:val="21"/>
          <w:u w:val="none"/>
        </w:rPr>
        <w:t>Requests for privileged software (e.g. VS Code, SAP GUI, Adobe CC) follow a strict two-stage human-in-the-loop approval workflow before local access is granted.</w:t>
      </w:r>
    </w:p>
    <w:p>
      <w:pPr>
        <w:keepNext/>
        <w:spacing w:before="160" w:after="80"/>
        <w:jc w:val="center"/>
      </w:pPr>
      <w:r>
        <w:drawing>
          <wp:inline xmlns:a="http://schemas.openxmlformats.org/drawingml/2006/main" xmlns:pic="http://schemas.openxmlformats.org/drawingml/2006/picture">
            <wp:extent cx="5669280" cy="3214207"/>
            <wp:docPr id="2" name="Picture 2"/>
            <wp:cNvGraphicFramePr>
              <a:graphicFrameLocks noChangeAspect="1"/>
            </wp:cNvGraphicFramePr>
            <a:graphic>
              <a:graphicData uri="http://schemas.openxmlformats.org/drawingml/2006/picture">
                <pic:pic>
                  <pic:nvPicPr>
                    <pic:cNvPr id="0" name="fig_8_2_approval_workflow.png"/>
                    <pic:cNvPicPr/>
                  </pic:nvPicPr>
                  <pic:blipFill>
                    <a:blip r:embed="rId10"/>
                    <a:stretch>
                      <a:fillRect/>
                    </a:stretch>
                  </pic:blipFill>
                  <pic:spPr>
                    <a:xfrm>
                      <a:off x="0" y="0"/>
                      <a:ext cx="5669280" cy="3214207"/>
                    </a:xfrm>
                    <a:prstGeom prst="rect"/>
                  </pic:spPr>
                </pic:pic>
              </a:graphicData>
            </a:graphic>
          </wp:inline>
        </w:drawing>
      </w:r>
    </w:p>
    <w:p>
      <w:pPr>
        <w:keepNext w:val="0"/>
        <w:spacing w:before="80" w:after="80"/>
        <w:jc w:val="center"/>
      </w:pPr>
      <w:r>
        <w:rPr>
          <w:rFonts w:ascii="Calibri" w:hAnsi="Calibri"/>
          <w:b w:val="0"/>
          <w:i/>
          <w:color w:val="555555"/>
          <w:sz w:val="18"/>
          <w:u w:val="none"/>
        </w:rPr>
        <w:t>Figure 2 — Privileged Software Dual-Approval Workflow Sequence</w:t>
      </w:r>
    </w:p>
    <w:p>
      <w:pPr>
        <w:keepNext w:val="0"/>
        <w:spacing w:before="40" w:after="240"/>
      </w:pPr>
      <w:r>
        <w:rPr>
          <w:rFonts w:ascii="Calibri" w:hAnsi="Calibri"/>
          <w:b w:val="0"/>
          <w:i/>
          <w:color w:val="333333"/>
          <w:sz w:val="19"/>
          <w:u w:val="none"/>
        </w:rPr>
        <w:t>Figure 2 depicts the state synchronization across the platform database, ServiceNow, Manager portal, and IT Admin queue for privileged requests. When an employee requests restricted software, the AI classifies the intent as a software installation requiring approval and immediately persists a ticket in WAITING_MANAGER status while notifying ServiceNow. Following Manager approval, the status transitions to READY_FOR_ADMIN, whereupon an IT Administrator issues temporary credentials (LAPS) and completes the ticket in ServiceNow.</w:t>
      </w:r>
    </w:p>
    <w:p>
      <w:pPr>
        <w:pStyle w:val="Heading2"/>
        <w:keepNext/>
        <w:spacing w:before="240" w:after="80"/>
      </w:pPr>
      <w:r>
        <w:rPr>
          <w:rFonts w:ascii="Calibri" w:hAnsi="Calibri"/>
          <w:b/>
          <w:color w:val="C80000"/>
          <w:sz w:val="26"/>
        </w:rPr>
        <w:t>8.3 SLA Escalation State Machine</w:t>
      </w:r>
    </w:p>
    <w:p>
      <w:pPr>
        <w:keepNext w:val="0"/>
        <w:spacing w:before="20" w:after="100"/>
      </w:pPr>
      <w:r>
        <w:rPr>
          <w:rFonts w:ascii="Calibri" w:hAnsi="Calibri"/>
          <w:b w:val="0"/>
          <w:i w:val="0"/>
          <w:color w:val="1A1A1A"/>
          <w:sz w:val="21"/>
          <w:u w:val="none"/>
        </w:rPr>
        <w:t>The platform SLA engine evaluates open incidents every 60 seconds against defined operational level agreements.</w:t>
      </w:r>
    </w:p>
    <w:p>
      <w:pPr>
        <w:keepNext/>
        <w:spacing w:before="160" w:after="80"/>
        <w:jc w:val="center"/>
      </w:pPr>
      <w:r>
        <w:drawing>
          <wp:inline xmlns:a="http://schemas.openxmlformats.org/drawingml/2006/main" xmlns:pic="http://schemas.openxmlformats.org/drawingml/2006/picture">
            <wp:extent cx="5669280" cy="11883295"/>
            <wp:docPr id="3" name="Picture 3"/>
            <wp:cNvGraphicFramePr>
              <a:graphicFrameLocks noChangeAspect="1"/>
            </wp:cNvGraphicFramePr>
            <a:graphic>
              <a:graphicData uri="http://schemas.openxmlformats.org/drawingml/2006/picture">
                <pic:pic>
                  <pic:nvPicPr>
                    <pic:cNvPr id="0" name="fig_8_3_sla_state_machine.png"/>
                    <pic:cNvPicPr/>
                  </pic:nvPicPr>
                  <pic:blipFill>
                    <a:blip r:embed="rId11"/>
                    <a:stretch>
                      <a:fillRect/>
                    </a:stretch>
                  </pic:blipFill>
                  <pic:spPr>
                    <a:xfrm>
                      <a:off x="0" y="0"/>
                      <a:ext cx="5669280" cy="11883295"/>
                    </a:xfrm>
                    <a:prstGeom prst="rect"/>
                  </pic:spPr>
                </pic:pic>
              </a:graphicData>
            </a:graphic>
          </wp:inline>
        </w:drawing>
      </w:r>
    </w:p>
    <w:p>
      <w:pPr>
        <w:keepNext w:val="0"/>
        <w:spacing w:before="80" w:after="80"/>
        <w:jc w:val="center"/>
      </w:pPr>
      <w:r>
        <w:rPr>
          <w:rFonts w:ascii="Calibri" w:hAnsi="Calibri"/>
          <w:b w:val="0"/>
          <w:i/>
          <w:color w:val="555555"/>
          <w:sz w:val="18"/>
          <w:u w:val="none"/>
        </w:rPr>
        <w:t>Figure 3 — SLA Escalation State Machine — Workflow States</w:t>
      </w:r>
    </w:p>
    <w:p>
      <w:pPr>
        <w:keepNext w:val="0"/>
        <w:spacing w:before="40" w:after="240"/>
      </w:pPr>
      <w:r>
        <w:rPr>
          <w:rFonts w:ascii="Calibri" w:hAnsi="Calibri"/>
          <w:b w:val="0"/>
          <w:i/>
          <w:color w:val="333333"/>
          <w:sz w:val="19"/>
          <w:u w:val="none"/>
        </w:rPr>
        <w:t>Figure 3 details the seven-state SLA lifecycle transition matrix enforced by the background scheduler. Tickets originate in the HEALTHY state and progress through WARNING_75 (75% elapsed) and WARNING_90 (90% elapsed) triggers, notifying Managers and IT Administrators accordingly. If 100% of the SLA window elapses before resolution, the ticket transitions to BREACHED and automatically initiates Level-1, Level-2, and Level-3 management escalations at 30-minute intervals.</w:t>
      </w:r>
    </w:p>
    <w:p>
      <w:pPr>
        <w:pStyle w:val="Heading1"/>
        <w:keepNext/>
        <w:spacing w:before="360" w:after="120"/>
        <w:pBdr>
          <w:bottom w:val="single" w:sz="8" w:space="1" w:color="C80000"/>
        </w:pBdr>
      </w:pPr>
      <w:r>
        <w:rPr>
          <w:rFonts w:ascii="Calibri" w:hAnsi="Calibri"/>
          <w:b/>
          <w:color w:val="1A1A2E"/>
          <w:sz w:val="32"/>
        </w:rPr>
        <w:t>9. High-Level System Architecture</w:t>
      </w:r>
    </w:p>
    <w:p>
      <w:pPr>
        <w:pStyle w:val="Heading2"/>
        <w:keepNext/>
        <w:spacing w:before="240" w:after="80"/>
      </w:pPr>
      <w:r>
        <w:rPr>
          <w:rFonts w:ascii="Calibri" w:hAnsi="Calibri"/>
          <w:b/>
          <w:color w:val="C80000"/>
          <w:sz w:val="26"/>
        </w:rPr>
        <w:t>9.1 Architecture Overview</w:t>
      </w:r>
    </w:p>
    <w:p>
      <w:pPr>
        <w:keepNext w:val="0"/>
        <w:spacing w:before="20" w:after="100"/>
      </w:pPr>
      <w:r>
        <w:rPr>
          <w:rFonts w:ascii="Calibri" w:hAnsi="Calibri"/>
          <w:b w:val="0"/>
          <w:i w:val="0"/>
          <w:color w:val="1A1A1A"/>
          <w:sz w:val="21"/>
          <w:u w:val="none"/>
        </w:rPr>
        <w:t>The Bridgestone IT AI Assistant platform is structured into clean architectural tiers ensuring complete isolation between presentation, gateway, agentic reasoning, deterministic logic, and persistent storage.</w:t>
      </w:r>
    </w:p>
    <w:p>
      <w:pPr>
        <w:keepNext/>
        <w:spacing w:before="160" w:after="80"/>
        <w:jc w:val="center"/>
      </w:pPr>
      <w:r>
        <w:drawing>
          <wp:inline xmlns:a="http://schemas.openxmlformats.org/drawingml/2006/main" xmlns:pic="http://schemas.openxmlformats.org/drawingml/2006/picture">
            <wp:extent cx="5669280" cy="30204838"/>
            <wp:docPr id="4" name="Picture 4"/>
            <wp:cNvGraphicFramePr>
              <a:graphicFrameLocks noChangeAspect="1"/>
            </wp:cNvGraphicFramePr>
            <a:graphic>
              <a:graphicData uri="http://schemas.openxmlformats.org/drawingml/2006/picture">
                <pic:pic>
                  <pic:nvPicPr>
                    <pic:cNvPr id="0" name="fig_9_1_high_level_arch.png"/>
                    <pic:cNvPicPr/>
                  </pic:nvPicPr>
                  <pic:blipFill>
                    <a:blip r:embed="rId12"/>
                    <a:stretch>
                      <a:fillRect/>
                    </a:stretch>
                  </pic:blipFill>
                  <pic:spPr>
                    <a:xfrm>
                      <a:off x="0" y="0"/>
                      <a:ext cx="5669280" cy="30204838"/>
                    </a:xfrm>
                    <a:prstGeom prst="rect"/>
                  </pic:spPr>
                </pic:pic>
              </a:graphicData>
            </a:graphic>
          </wp:inline>
        </w:drawing>
      </w:r>
    </w:p>
    <w:p>
      <w:pPr>
        <w:keepNext w:val="0"/>
        <w:spacing w:before="80" w:after="80"/>
        <w:jc w:val="center"/>
      </w:pPr>
      <w:r>
        <w:rPr>
          <w:rFonts w:ascii="Calibri" w:hAnsi="Calibri"/>
          <w:b w:val="0"/>
          <w:i/>
          <w:color w:val="555555"/>
          <w:sz w:val="18"/>
          <w:u w:val="none"/>
        </w:rPr>
        <w:t>Figure 4 — High-Level System Architecture — Component Topology</w:t>
      </w:r>
    </w:p>
    <w:p>
      <w:pPr>
        <w:keepNext w:val="0"/>
        <w:spacing w:before="40" w:after="240"/>
      </w:pPr>
      <w:r>
        <w:rPr>
          <w:rFonts w:ascii="Calibri" w:hAnsi="Calibri"/>
          <w:b w:val="0"/>
          <w:i/>
          <w:color w:val="333333"/>
          <w:sz w:val="19"/>
          <w:u w:val="none"/>
        </w:rPr>
        <w:t>Figure 4 presents the macro architectural topology of the platform across seven isolated layers. Nginx handles intranet ingress and TLS termination, routing web traffic to Next.js portal surfaces and API requests to FastAPI gateway middleware. Business logic is cleanly segmented between LangGraph agentic reasoning, deterministic validation services, enterprise integration adapters (ServiceNow, Active Directory, VPN), and persistent data stores (PostgreSQL, Redis).</w:t>
      </w:r>
    </w:p>
    <w:p>
      <w:pPr>
        <w:pStyle w:val="Heading2"/>
        <w:keepNext/>
        <w:spacing w:before="240" w:after="80"/>
      </w:pPr>
      <w:r>
        <w:rPr>
          <w:rFonts w:ascii="Calibri" w:hAnsi="Calibri"/>
          <w:b/>
          <w:color w:val="C80000"/>
          <w:sz w:val="26"/>
        </w:rPr>
        <w:t>9.2 Architectural Zones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268" w:type="dxa"/>
          </w:tcPr>
          <w:p>
            <w:pPr>
              <w:spacing w:before="0" w:after="0"/>
            </w:pPr>
            <w:r>
              <w:rPr>
                <w:rFonts w:ascii="Calibri" w:hAnsi="Calibri"/>
                <w:b/>
                <w:i w:val="0"/>
                <w:color w:val="FFFFFF"/>
                <w:sz w:val="19"/>
                <w:u w:val="none"/>
              </w:rPr>
              <w:t>Zone</w:t>
            </w:r>
          </w:p>
        </w:tc>
        <w:tc>
          <w:tcPr>
            <w:shd w:val="clear" w:color="auto" w:fill="1A1A2E"/>
            <w:tcMar>
              <w:top w:w="80" w:type="dxa"/>
              <w:bottom w:w="80" w:type="dxa"/>
              <w:left w:w="120" w:type="dxa"/>
              <w:right w:w="80" w:type="dxa"/>
            </w:tcMar>
            <w:vAlign w:val="center"/>
            <w:tcW w:w="3118" w:type="dxa"/>
          </w:tcPr>
          <w:p>
            <w:pPr>
              <w:spacing w:before="0" w:after="0"/>
            </w:pPr>
            <w:r>
              <w:rPr>
                <w:rFonts w:ascii="Calibri" w:hAnsi="Calibri"/>
                <w:b/>
                <w:i w:val="0"/>
                <w:color w:val="FFFFFF"/>
                <w:sz w:val="19"/>
                <w:u w:val="none"/>
              </w:rPr>
              <w:t>Responsibility</w:t>
            </w:r>
          </w:p>
        </w:tc>
        <w:tc>
          <w:tcPr>
            <w:shd w:val="clear" w:color="auto" w:fill="1A1A2E"/>
            <w:tcMar>
              <w:top w:w="80" w:type="dxa"/>
              <w:bottom w:w="80" w:type="dxa"/>
              <w:left w:w="120" w:type="dxa"/>
              <w:right w:w="80" w:type="dxa"/>
            </w:tcMar>
            <w:vAlign w:val="center"/>
            <w:tcW w:w="4819" w:type="dxa"/>
          </w:tcPr>
          <w:p>
            <w:pPr>
              <w:spacing w:before="0" w:after="0"/>
            </w:pPr>
            <w:r>
              <w:rPr>
                <w:rFonts w:ascii="Calibri" w:hAnsi="Calibri"/>
                <w:b/>
                <w:i w:val="0"/>
                <w:color w:val="FFFFFF"/>
                <w:sz w:val="19"/>
                <w:u w:val="none"/>
              </w:rPr>
              <w:t>Key Design Decision</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Client Layer</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Role-separated portal surfaces</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Single Next.js app; portal views gated by JWT role</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API Gateway</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Auth, authorisation, rate limiting, injection guard</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All cross-cutting concerns resolved before business logic executes</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AI Orchestration</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Multi-step reasoning, planning, tool execution</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LangGraph StateGraph provides deterministic routing between AI nodes</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Deterministic Services</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Classification, enrichment, SLA, approval</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AI output is never directly submitted to external systems — always validated first</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Integration Layer</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Enterprise system adapters</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Adapter pattern with mock/live toggle per environment variable</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Data Layer</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Persistence and caching</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SQLAlchemy ORM; database-agnostic for dev/prod parity</w:t>
            </w:r>
          </w:p>
        </w:tc>
      </w:tr>
    </w:tbl>
    <w:p>
      <w:pPr>
        <w:spacing w:before="80" w:after="0"/>
      </w:pPr>
    </w:p>
    <w:p>
      <w:pPr>
        <w:pStyle w:val="Heading1"/>
        <w:keepNext/>
        <w:spacing w:before="360" w:after="120"/>
        <w:pBdr>
          <w:bottom w:val="single" w:sz="8" w:space="1" w:color="C80000"/>
        </w:pBdr>
      </w:pPr>
      <w:r>
        <w:rPr>
          <w:rFonts w:ascii="Calibri" w:hAnsi="Calibri"/>
          <w:b/>
          <w:color w:val="1A1A2E"/>
          <w:sz w:val="32"/>
        </w:rPr>
        <w:t>10. AI Architecture</w:t>
      </w:r>
    </w:p>
    <w:p>
      <w:pPr>
        <w:pStyle w:val="Heading2"/>
        <w:keepNext/>
        <w:spacing w:before="240" w:after="80"/>
      </w:pPr>
      <w:r>
        <w:rPr>
          <w:rFonts w:ascii="Calibri" w:hAnsi="Calibri"/>
          <w:b/>
          <w:color w:val="C80000"/>
          <w:sz w:val="26"/>
        </w:rPr>
        <w:t>10.1 Purpose &amp; AI System Responsibilities</w:t>
      </w:r>
    </w:p>
    <w:p>
      <w:pPr>
        <w:keepNext w:val="0"/>
        <w:spacing w:before="20" w:after="100"/>
      </w:pPr>
      <w:r>
        <w:rPr>
          <w:rFonts w:ascii="Calibri" w:hAnsi="Calibri"/>
          <w:b w:val="0"/>
          <w:i w:val="0"/>
          <w:color w:val="1A1A1A"/>
          <w:sz w:val="21"/>
          <w:u w:val="none"/>
        </w:rPr>
        <w:t>The AI subsystem performs four distinct functions: natural language intent recognition, diagnostic interview planning, root-cause hypothesis reflection, and ITSM taxonomy classification. To eliminate non-deterministic failure modes, AI components operate within strict boundaries.</w:t>
      </w:r>
    </w:p>
    <w:p>
      <w:pPr>
        <w:pStyle w:val="Heading2"/>
        <w:keepNext/>
        <w:spacing w:before="240" w:after="80"/>
      </w:pPr>
      <w:r>
        <w:rPr>
          <w:rFonts w:ascii="Calibri" w:hAnsi="Calibri"/>
          <w:b/>
          <w:color w:val="C80000"/>
          <w:sz w:val="26"/>
        </w:rPr>
        <w:t>10.2 AI Provider Fallback Architecture</w:t>
      </w:r>
    </w:p>
    <w:p>
      <w:pPr>
        <w:keepNext w:val="0"/>
        <w:spacing w:before="20" w:after="100"/>
      </w:pPr>
      <w:r>
        <w:rPr>
          <w:rFonts w:ascii="Calibri" w:hAnsi="Calibri"/>
          <w:b w:val="0"/>
          <w:i w:val="0"/>
          <w:color w:val="1A1A1A"/>
          <w:sz w:val="21"/>
          <w:u w:val="none"/>
        </w:rPr>
        <w:t>To prevent platform outage during primary LLM rate-limiting or provider failure, the AI abstraction layer implements a three-tier resilient fallback model.</w:t>
      </w:r>
    </w:p>
    <w:p>
      <w:pPr>
        <w:keepNext/>
        <w:spacing w:before="160" w:after="80"/>
        <w:jc w:val="center"/>
      </w:pPr>
      <w:r>
        <w:drawing>
          <wp:inline xmlns:a="http://schemas.openxmlformats.org/drawingml/2006/main" xmlns:pic="http://schemas.openxmlformats.org/drawingml/2006/picture">
            <wp:extent cx="5669280" cy="727362"/>
            <wp:docPr id="5" name="Picture 5"/>
            <wp:cNvGraphicFramePr>
              <a:graphicFrameLocks noChangeAspect="1"/>
            </wp:cNvGraphicFramePr>
            <a:graphic>
              <a:graphicData uri="http://schemas.openxmlformats.org/drawingml/2006/picture">
                <pic:pic>
                  <pic:nvPicPr>
                    <pic:cNvPr id="0" name="fig_10_1_ai_fallback.png"/>
                    <pic:cNvPicPr/>
                  </pic:nvPicPr>
                  <pic:blipFill>
                    <a:blip r:embed="rId13"/>
                    <a:stretch>
                      <a:fillRect/>
                    </a:stretch>
                  </pic:blipFill>
                  <pic:spPr>
                    <a:xfrm>
                      <a:off x="0" y="0"/>
                      <a:ext cx="5669280" cy="727362"/>
                    </a:xfrm>
                    <a:prstGeom prst="rect"/>
                  </pic:spPr>
                </pic:pic>
              </a:graphicData>
            </a:graphic>
          </wp:inline>
        </w:drawing>
      </w:r>
    </w:p>
    <w:p>
      <w:pPr>
        <w:keepNext w:val="0"/>
        <w:spacing w:before="80" w:after="80"/>
        <w:jc w:val="center"/>
      </w:pPr>
      <w:r>
        <w:rPr>
          <w:rFonts w:ascii="Calibri" w:hAnsi="Calibri"/>
          <w:b w:val="0"/>
          <w:i/>
          <w:color w:val="555555"/>
          <w:sz w:val="18"/>
          <w:u w:val="none"/>
        </w:rPr>
        <w:t>Figure 5 — AI Provider Three-Tier Fallback Architecture</w:t>
      </w:r>
    </w:p>
    <w:p>
      <w:pPr>
        <w:keepNext w:val="0"/>
        <w:spacing w:before="40" w:after="240"/>
      </w:pPr>
      <w:r>
        <w:rPr>
          <w:rFonts w:ascii="Calibri" w:hAnsi="Calibri"/>
          <w:b w:val="0"/>
          <w:i/>
          <w:color w:val="333333"/>
          <w:sz w:val="19"/>
          <w:u w:val="none"/>
        </w:rPr>
        <w:t>Figure 5 illustrates the multi-provider failover strategy implemented behind the BaseAIProvider abstraction. Inbound requests are first routed to Google Gemini 2.5 Flash for high-speed intent detection and tool planning; upon API timeout or rate-limit exceptions, traffic seamlessly fails over to Anthropic Claude 3 Sonnet. If all external LLM services become unavailable, the pipeline falls back to a deterministic 11-domain keyword regular expression engine to maintain triage availability.</w:t>
      </w:r>
    </w:p>
    <w:p>
      <w:pPr>
        <w:pStyle w:val="Heading2"/>
        <w:keepNext/>
        <w:spacing w:before="240" w:after="80"/>
      </w:pPr>
      <w:r>
        <w:rPr>
          <w:rFonts w:ascii="Calibri" w:hAnsi="Calibri"/>
          <w:b/>
          <w:color w:val="C80000"/>
          <w:sz w:val="26"/>
        </w:rPr>
        <w:t>10.3 AI Responsibilities by Node</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268" w:type="dxa"/>
          </w:tcPr>
          <w:p>
            <w:pPr>
              <w:spacing w:before="0" w:after="0"/>
            </w:pPr>
            <w:r>
              <w:rPr>
                <w:rFonts w:ascii="Calibri" w:hAnsi="Calibri"/>
                <w:b/>
                <w:i w:val="0"/>
                <w:color w:val="FFFFFF"/>
                <w:sz w:val="19"/>
                <w:u w:val="none"/>
              </w:rPr>
              <w:t>Node</w:t>
            </w:r>
          </w:p>
        </w:tc>
        <w:tc>
          <w:tcPr>
            <w:shd w:val="clear" w:color="auto" w:fill="1A1A2E"/>
            <w:tcMar>
              <w:top w:w="80" w:type="dxa"/>
              <w:bottom w:w="80" w:type="dxa"/>
              <w:left w:w="120" w:type="dxa"/>
              <w:right w:w="80" w:type="dxa"/>
            </w:tcMar>
            <w:vAlign w:val="center"/>
            <w:tcW w:w="3118" w:type="dxa"/>
          </w:tcPr>
          <w:p>
            <w:pPr>
              <w:spacing w:before="0" w:after="0"/>
            </w:pPr>
            <w:r>
              <w:rPr>
                <w:rFonts w:ascii="Calibri" w:hAnsi="Calibri"/>
                <w:b/>
                <w:i w:val="0"/>
                <w:color w:val="FFFFFF"/>
                <w:sz w:val="19"/>
                <w:u w:val="none"/>
              </w:rPr>
              <w:t>AI Role</w:t>
            </w:r>
          </w:p>
        </w:tc>
        <w:tc>
          <w:tcPr>
            <w:shd w:val="clear" w:color="auto" w:fill="1A1A2E"/>
            <w:tcMar>
              <w:top w:w="80" w:type="dxa"/>
              <w:bottom w:w="80" w:type="dxa"/>
              <w:left w:w="120" w:type="dxa"/>
              <w:right w:w="80" w:type="dxa"/>
            </w:tcMar>
            <w:vAlign w:val="center"/>
            <w:tcW w:w="4819" w:type="dxa"/>
          </w:tcPr>
          <w:p>
            <w:pPr>
              <w:spacing w:before="0" w:after="0"/>
            </w:pPr>
            <w:r>
              <w:rPr>
                <w:rFonts w:ascii="Calibri" w:hAnsi="Calibri"/>
                <w:b/>
                <w:i w:val="0"/>
                <w:color w:val="FFFFFF"/>
                <w:sz w:val="19"/>
                <w:u w:val="none"/>
              </w:rPr>
              <w:t>Deterministic Gate</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Router</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Classify message as CHAT or TROUBLESHOOT</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Exact string match on output</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Context Router</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Route to correct pipeline branch</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Output constrained to four enum values</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Intent</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Classify IT issue category</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Validated against valid_categories from incident_config.json</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Diagnostic Interview</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Determine information sufficiency; generate targeted questions</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Short-circuit to END if questions are pending</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Planner</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Generate ordered tool execution plan</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Plan validated against registered tool registry</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Knowledge</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Retrieve and rank relevant KB articles</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Top-N selected by relevance score</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Tool</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Select and execute enterprise tool</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Tool result validated before state update</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Multi-Step</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Evaluate tool results; decide whether to loop or escalate</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troubleshooting_complete boolean controls loop exit</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Root Cause</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Synthesise hypothesis from tool chain results</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Structured JSON output validated by Pydantic</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Reflection</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Evaluate reasoning quality; flag low-confidence decisions</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Reflection score used by Decision node</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Choose: CREATE_TICKET, EXECUTE_ACTION, or ASK_MORE_INFO</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Enum output; unknown values default to ASK_MORE_INFO</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Approval</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Evaluate whether action requires approval</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Approval status: PENDING, APPROVED, REJECTED</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Classification</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Assign ITSM category, subcategory, assignment group, CI</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Validated against live ServiceNow metadata before submission</w:t>
            </w:r>
          </w:p>
        </w:tc>
      </w:tr>
    </w:tbl>
    <w:p>
      <w:pPr>
        <w:spacing w:before="80" w:after="0"/>
      </w:pPr>
    </w:p>
    <w:p>
      <w:pPr>
        <w:keepNext w:val="0"/>
        <w:spacing w:before="80" w:after="120"/>
        <w:jc w:val="center"/>
      </w:pPr>
      <w:r>
        <w:rPr>
          <w:rFonts w:ascii="Calibri" w:hAnsi="Calibri"/>
          <w:b w:val="0"/>
          <w:i/>
          <w:color w:val="555555"/>
          <w:sz w:val="18"/>
          <w:u w:val="none"/>
        </w:rPr>
        <w:t>Table 5 — AI Node Responsibilities and Deterministic Gates</w:t>
      </w:r>
    </w:p>
    <w:p>
      <w:pPr>
        <w:pStyle w:val="Heading2"/>
        <w:keepNext/>
        <w:spacing w:before="240" w:after="80"/>
      </w:pPr>
      <w:r>
        <w:rPr>
          <w:rFonts w:ascii="Calibri" w:hAnsi="Calibri"/>
          <w:b/>
          <w:color w:val="C80000"/>
          <w:sz w:val="26"/>
        </w:rPr>
        <w:t>10.4 Classification Service Design</w:t>
      </w:r>
    </w:p>
    <w:p>
      <w:pPr>
        <w:keepNext w:val="0"/>
        <w:spacing w:before="20" w:after="100"/>
      </w:pPr>
      <w:r>
        <w:rPr>
          <w:rFonts w:ascii="Calibri" w:hAnsi="Calibri"/>
          <w:b w:val="0"/>
          <w:i w:val="0"/>
          <w:color w:val="1A1A1A"/>
          <w:sz w:val="21"/>
          <w:u w:val="none"/>
        </w:rPr>
        <w:t>The ClassificationService acts as the boundary between AI output and ServiceNow incident creation. It enforces confidence thresholds (HIGH &gt;= 0.90, MEDIUM 0.70-0.89, LOW &lt; 0.70) and routes responses through Pydantic schema validation before payload construction.</w:t>
      </w:r>
    </w:p>
    <w:p>
      <w:pPr>
        <w:pStyle w:val="Heading1"/>
        <w:keepNext/>
        <w:spacing w:before="360" w:after="120"/>
        <w:pBdr>
          <w:bottom w:val="single" w:sz="8" w:space="1" w:color="C80000"/>
        </w:pBdr>
      </w:pPr>
      <w:r>
        <w:rPr>
          <w:rFonts w:ascii="Calibri" w:hAnsi="Calibri"/>
          <w:b/>
          <w:color w:val="1A1A2E"/>
          <w:sz w:val="32"/>
        </w:rPr>
        <w:t>11. LangGraph Workflow</w:t>
      </w:r>
    </w:p>
    <w:p>
      <w:pPr>
        <w:pStyle w:val="Heading2"/>
        <w:keepNext/>
        <w:spacing w:before="240" w:after="80"/>
      </w:pPr>
      <w:r>
        <w:rPr>
          <w:rFonts w:ascii="Calibri" w:hAnsi="Calibri"/>
          <w:b/>
          <w:color w:val="C80000"/>
          <w:sz w:val="26"/>
        </w:rPr>
        <w:t>11.1 StateGraph Architecture</w:t>
      </w:r>
    </w:p>
    <w:p>
      <w:pPr>
        <w:keepNext w:val="0"/>
        <w:spacing w:before="20" w:after="100"/>
      </w:pPr>
      <w:r>
        <w:rPr>
          <w:rFonts w:ascii="Calibri" w:hAnsi="Calibri"/>
          <w:b w:val="0"/>
          <w:i w:val="0"/>
          <w:color w:val="1A1A1A"/>
          <w:sz w:val="21"/>
          <w:u w:val="none"/>
        </w:rPr>
        <w:t>The core AI reasoning pipeline is implemented as a 23-node LangGraph StateGraph (`backend/app/graph/graph.py`). The state graph enforces TypedDict schema validation across every turn and decouples node logic from graph routing.</w:t>
      </w:r>
    </w:p>
    <w:p>
      <w:pPr>
        <w:pStyle w:val="Heading2"/>
        <w:keepNext/>
        <w:spacing w:before="240" w:after="80"/>
      </w:pPr>
      <w:r>
        <w:rPr>
          <w:rFonts w:ascii="Calibri" w:hAnsi="Calibri"/>
          <w:b/>
          <w:color w:val="C80000"/>
          <w:sz w:val="26"/>
        </w:rPr>
        <w:t>11.2 AgentState Schema &amp; Field Groups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Field Group</w:t>
            </w:r>
          </w:p>
        </w:tc>
        <w:tc>
          <w:tcPr>
            <w:shd w:val="clear" w:color="auto" w:fill="1A1A2E"/>
            <w:tcMar>
              <w:top w:w="80" w:type="dxa"/>
              <w:bottom w:w="80" w:type="dxa"/>
              <w:left w:w="120" w:type="dxa"/>
              <w:right w:w="80" w:type="dxa"/>
            </w:tcMar>
            <w:vAlign w:val="center"/>
            <w:tcW w:w="7654" w:type="dxa"/>
          </w:tcPr>
          <w:p>
            <w:pPr>
              <w:spacing w:before="0" w:after="0"/>
            </w:pPr>
            <w:r>
              <w:rPr>
                <w:rFonts w:ascii="Calibri" w:hAnsi="Calibri"/>
                <w:b/>
                <w:i w:val="0"/>
                <w:color w:val="FFFFFF"/>
                <w:sz w:val="19"/>
                <w:u w:val="none"/>
              </w:rPr>
              <w:t>Fields</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Session Context</w:t>
            </w:r>
          </w:p>
        </w:tc>
        <w:tc>
          <w:tcPr>
            <w:shd w:val="clear" w:color="auto" w:fill="FFFFFF"/>
            <w:tcMar>
              <w:top w:w="70" w:type="dxa"/>
              <w:bottom w:w="70" w:type="dxa"/>
              <w:left w:w="120" w:type="dxa"/>
              <w:right w:w="80" w:type="dxa"/>
            </w:tcMar>
            <w:vAlign w:val="top"/>
            <w:tcW w:w="7654" w:type="dxa"/>
          </w:tcPr>
          <w:p>
            <w:pPr>
              <w:spacing w:before="0" w:after="0"/>
            </w:pPr>
            <w:r>
              <w:rPr>
                <w:rFonts w:ascii="Calibri" w:hAnsi="Calibri"/>
                <w:b w:val="0"/>
                <w:i w:val="0"/>
                <w:color w:val="1A1A1A"/>
                <w:sz w:val="19"/>
                <w:u w:val="none"/>
              </w:rPr>
              <w:t>session_id, username, user_role, user_message</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Routing</w:t>
            </w:r>
          </w:p>
        </w:tc>
        <w:tc>
          <w:tcPr>
            <w:shd w:val="clear" w:color="auto" w:fill="F0F4F8"/>
            <w:tcMar>
              <w:top w:w="70" w:type="dxa"/>
              <w:bottom w:w="70" w:type="dxa"/>
              <w:left w:w="120" w:type="dxa"/>
              <w:right w:w="80" w:type="dxa"/>
            </w:tcMar>
            <w:vAlign w:val="top"/>
            <w:tcW w:w="7654" w:type="dxa"/>
          </w:tcPr>
          <w:p>
            <w:pPr>
              <w:spacing w:before="0" w:after="0"/>
            </w:pPr>
            <w:r>
              <w:rPr>
                <w:rFonts w:ascii="Calibri" w:hAnsi="Calibri"/>
                <w:b w:val="0"/>
                <w:i w:val="0"/>
                <w:color w:val="1A1A1A"/>
                <w:sz w:val="19"/>
                <w:u w:val="none"/>
              </w:rPr>
              <w:t>decision, route, intent</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AI Outputs</w:t>
            </w:r>
          </w:p>
        </w:tc>
        <w:tc>
          <w:tcPr>
            <w:shd w:val="clear" w:color="auto" w:fill="FFFFFF"/>
            <w:tcMar>
              <w:top w:w="70" w:type="dxa"/>
              <w:bottom w:w="70" w:type="dxa"/>
              <w:left w:w="120" w:type="dxa"/>
              <w:right w:w="80" w:type="dxa"/>
            </w:tcMar>
            <w:vAlign w:val="top"/>
            <w:tcW w:w="7654" w:type="dxa"/>
          </w:tcPr>
          <w:p>
            <w:pPr>
              <w:spacing w:before="0" w:after="0"/>
            </w:pPr>
            <w:r>
              <w:rPr>
                <w:rFonts w:ascii="Calibri" w:hAnsi="Calibri"/>
                <w:b w:val="0"/>
                <w:i w:val="0"/>
                <w:color w:val="1A1A1A"/>
                <w:sz w:val="19"/>
                <w:u w:val="none"/>
              </w:rPr>
              <w:t>root_cause_analysis, reflection, plan, knowledge_context, tool_result</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Approval</w:t>
            </w:r>
          </w:p>
        </w:tc>
        <w:tc>
          <w:tcPr>
            <w:shd w:val="clear" w:color="auto" w:fill="F0F4F8"/>
            <w:tcMar>
              <w:top w:w="70" w:type="dxa"/>
              <w:bottom w:w="70" w:type="dxa"/>
              <w:left w:w="120" w:type="dxa"/>
              <w:right w:w="80" w:type="dxa"/>
            </w:tcMar>
            <w:vAlign w:val="top"/>
            <w:tcW w:w="7654" w:type="dxa"/>
          </w:tcPr>
          <w:p>
            <w:pPr>
              <w:spacing w:before="0" w:after="0"/>
            </w:pPr>
            <w:r>
              <w:rPr>
                <w:rFonts w:ascii="Calibri" w:hAnsi="Calibri"/>
                <w:b w:val="0"/>
                <w:i w:val="0"/>
                <w:color w:val="1A1A1A"/>
                <w:sz w:val="19"/>
                <w:u w:val="none"/>
              </w:rPr>
              <w:t>approval_required, approval_status, approval_action</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Ticket</w:t>
            </w:r>
          </w:p>
        </w:tc>
        <w:tc>
          <w:tcPr>
            <w:shd w:val="clear" w:color="auto" w:fill="FFFFFF"/>
            <w:tcMar>
              <w:top w:w="70" w:type="dxa"/>
              <w:bottom w:w="70" w:type="dxa"/>
              <w:left w:w="120" w:type="dxa"/>
              <w:right w:w="80" w:type="dxa"/>
            </w:tcMar>
            <w:vAlign w:val="top"/>
            <w:tcW w:w="7654" w:type="dxa"/>
          </w:tcPr>
          <w:p>
            <w:pPr>
              <w:spacing w:before="0" w:after="0"/>
            </w:pPr>
            <w:r>
              <w:rPr>
                <w:rFonts w:ascii="Calibri" w:hAnsi="Calibri"/>
                <w:b w:val="0"/>
                <w:i w:val="0"/>
                <w:color w:val="1A1A1A"/>
                <w:sz w:val="19"/>
                <w:u w:val="none"/>
              </w:rPr>
              <w:t>ticket, ticket_lifecycle, assigned_team</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Multi-Step</w:t>
            </w:r>
          </w:p>
        </w:tc>
        <w:tc>
          <w:tcPr>
            <w:shd w:val="clear" w:color="auto" w:fill="F0F4F8"/>
            <w:tcMar>
              <w:top w:w="70" w:type="dxa"/>
              <w:bottom w:w="70" w:type="dxa"/>
              <w:left w:w="120" w:type="dxa"/>
              <w:right w:w="80" w:type="dxa"/>
            </w:tcMar>
            <w:vAlign w:val="top"/>
            <w:tcW w:w="7654" w:type="dxa"/>
          </w:tcPr>
          <w:p>
            <w:pPr>
              <w:spacing w:before="0" w:after="0"/>
            </w:pPr>
            <w:r>
              <w:rPr>
                <w:rFonts w:ascii="Calibri" w:hAnsi="Calibri"/>
                <w:b w:val="0"/>
                <w:i w:val="0"/>
                <w:color w:val="1A1A1A"/>
                <w:sz w:val="19"/>
                <w:u w:val="none"/>
              </w:rPr>
              <w:t>tool_chain, hypothesis_tracker, troubleshooting_iterations, troubleshooting_complete, next_tool</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Diagnostic</w:t>
            </w:r>
          </w:p>
        </w:tc>
        <w:tc>
          <w:tcPr>
            <w:shd w:val="clear" w:color="auto" w:fill="FFFFFF"/>
            <w:tcMar>
              <w:top w:w="70" w:type="dxa"/>
              <w:bottom w:w="70" w:type="dxa"/>
              <w:left w:w="120" w:type="dxa"/>
              <w:right w:w="80" w:type="dxa"/>
            </w:tcMar>
            <w:vAlign w:val="top"/>
            <w:tcW w:w="7654" w:type="dxa"/>
          </w:tcPr>
          <w:p>
            <w:pPr>
              <w:spacing w:before="0" w:after="0"/>
            </w:pPr>
            <w:r>
              <w:rPr>
                <w:rFonts w:ascii="Calibri" w:hAnsi="Calibri"/>
                <w:b w:val="0"/>
                <w:i w:val="0"/>
                <w:color w:val="1A1A1A"/>
                <w:sz w:val="19"/>
                <w:u w:val="none"/>
              </w:rPr>
              <w:t>diagnostic_interview, conversation_goal, active_issue</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SLA</w:t>
            </w:r>
          </w:p>
        </w:tc>
        <w:tc>
          <w:tcPr>
            <w:shd w:val="clear" w:color="auto" w:fill="F0F4F8"/>
            <w:tcMar>
              <w:top w:w="70" w:type="dxa"/>
              <w:bottom w:w="70" w:type="dxa"/>
              <w:left w:w="120" w:type="dxa"/>
              <w:right w:w="80" w:type="dxa"/>
            </w:tcMar>
            <w:vAlign w:val="top"/>
            <w:tcW w:w="7654" w:type="dxa"/>
          </w:tcPr>
          <w:p>
            <w:pPr>
              <w:spacing w:before="0" w:after="0"/>
            </w:pPr>
            <w:r>
              <w:rPr>
                <w:rFonts w:ascii="Calibri" w:hAnsi="Calibri"/>
                <w:b w:val="0"/>
                <w:i w:val="0"/>
                <w:color w:val="1A1A1A"/>
                <w:sz w:val="19"/>
                <w:u w:val="none"/>
              </w:rPr>
              <w:t>sla, notifications</w:t>
            </w:r>
          </w:p>
        </w:tc>
      </w:tr>
    </w:tbl>
    <w:p>
      <w:pPr>
        <w:spacing w:before="80" w:after="0"/>
      </w:pPr>
    </w:p>
    <w:p>
      <w:pPr>
        <w:keepNext w:val="0"/>
        <w:spacing w:before="80" w:after="120"/>
        <w:jc w:val="center"/>
      </w:pPr>
      <w:r>
        <w:rPr>
          <w:rFonts w:ascii="Calibri" w:hAnsi="Calibri"/>
          <w:b w:val="0"/>
          <w:i/>
          <w:color w:val="555555"/>
          <w:sz w:val="18"/>
          <w:u w:val="none"/>
        </w:rPr>
        <w:t>Table 6 — AgentState TypedDict — Field Groups</w:t>
      </w:r>
    </w:p>
    <w:p>
      <w:pPr>
        <w:pStyle w:val="Heading2"/>
        <w:keepNext/>
        <w:spacing w:before="240" w:after="80"/>
      </w:pPr>
      <w:r>
        <w:rPr>
          <w:rFonts w:ascii="Calibri" w:hAnsi="Calibri"/>
          <w:b/>
          <w:color w:val="C80000"/>
          <w:sz w:val="26"/>
        </w:rPr>
        <w:t>11.3 23-Node StateGraph Topology</w:t>
      </w:r>
    </w:p>
    <w:p>
      <w:pPr>
        <w:keepNext w:val="0"/>
        <w:spacing w:before="20" w:after="100"/>
      </w:pPr>
      <w:r>
        <w:rPr>
          <w:rFonts w:ascii="Calibri" w:hAnsi="Calibri"/>
          <w:b w:val="0"/>
          <w:i w:val="0"/>
          <w:color w:val="1A1A1A"/>
          <w:sz w:val="21"/>
          <w:u w:val="none"/>
        </w:rPr>
        <w:t>The 23-node state graph controls execution flow through conditional edge routing based on conversation state, intent classification, and diagnostic completion.</w:t>
      </w:r>
    </w:p>
    <w:p>
      <w:pPr>
        <w:keepNext/>
        <w:spacing w:before="160" w:after="80"/>
        <w:jc w:val="center"/>
      </w:pPr>
      <w:r>
        <w:drawing>
          <wp:inline xmlns:a="http://schemas.openxmlformats.org/drawingml/2006/main" xmlns:pic="http://schemas.openxmlformats.org/drawingml/2006/picture">
            <wp:extent cx="5669280" cy="8984702"/>
            <wp:docPr id="6" name="Picture 6"/>
            <wp:cNvGraphicFramePr>
              <a:graphicFrameLocks noChangeAspect="1"/>
            </wp:cNvGraphicFramePr>
            <a:graphic>
              <a:graphicData uri="http://schemas.openxmlformats.org/drawingml/2006/picture">
                <pic:pic>
                  <pic:nvPicPr>
                    <pic:cNvPr id="0" name="fig_11_1_langgraph_workflow.png"/>
                    <pic:cNvPicPr/>
                  </pic:nvPicPr>
                  <pic:blipFill>
                    <a:blip r:embed="rId14"/>
                    <a:stretch>
                      <a:fillRect/>
                    </a:stretch>
                  </pic:blipFill>
                  <pic:spPr>
                    <a:xfrm>
                      <a:off x="0" y="0"/>
                      <a:ext cx="5669280" cy="8984702"/>
                    </a:xfrm>
                    <a:prstGeom prst="rect"/>
                  </pic:spPr>
                </pic:pic>
              </a:graphicData>
            </a:graphic>
          </wp:inline>
        </w:drawing>
      </w:r>
    </w:p>
    <w:p>
      <w:pPr>
        <w:keepNext w:val="0"/>
        <w:spacing w:before="80" w:after="80"/>
        <w:jc w:val="center"/>
      </w:pPr>
      <w:r>
        <w:rPr>
          <w:rFonts w:ascii="Calibri" w:hAnsi="Calibri"/>
          <w:b w:val="0"/>
          <w:i/>
          <w:color w:val="555555"/>
          <w:sz w:val="18"/>
          <w:u w:val="none"/>
        </w:rPr>
        <w:t>Figure 6 — LangGraph 23-Node Workflow — Conditional State Graph Topology</w:t>
      </w:r>
    </w:p>
    <w:p>
      <w:pPr>
        <w:keepNext w:val="0"/>
        <w:spacing w:before="40" w:after="240"/>
      </w:pPr>
      <w:r>
        <w:rPr>
          <w:rFonts w:ascii="Calibri" w:hAnsi="Calibri"/>
          <w:b w:val="0"/>
          <w:i/>
          <w:color w:val="333333"/>
          <w:sz w:val="19"/>
          <w:u w:val="none"/>
        </w:rPr>
        <w:t>Figure 6 details the full 23-node state machine governing the AI agent execution lifecycle. Inbound interactions enter through the Router node, which separates conversational chat from diagnostic troubleshooting. The multi-step diagnostic loop iteratively invokes system tools (VPN, Active Directory, Ping) and routes through Root Cause and Reflection nodes before rendering terminal decisions (Ticket Creation, Action Execution, or User Clarification).</w:t>
      </w:r>
    </w:p>
    <w:p>
      <w:pPr>
        <w:pStyle w:val="Heading2"/>
        <w:keepNext/>
        <w:spacing w:before="240" w:after="80"/>
      </w:pPr>
      <w:r>
        <w:rPr>
          <w:rFonts w:ascii="Calibri" w:hAnsi="Calibri"/>
          <w:b/>
          <w:color w:val="C80000"/>
          <w:sz w:val="26"/>
        </w:rPr>
        <w:t>11.4 Conditional Routing Logic</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3402" w:type="dxa"/>
          </w:tcPr>
          <w:p>
            <w:pPr>
              <w:spacing w:before="0" w:after="0"/>
            </w:pPr>
            <w:r>
              <w:rPr>
                <w:rFonts w:ascii="Calibri" w:hAnsi="Calibri"/>
                <w:b/>
                <w:i w:val="0"/>
                <w:color w:val="FFFFFF"/>
                <w:sz w:val="19"/>
                <w:u w:val="none"/>
              </w:rPr>
              <w:t>Conditional Edge</w:t>
            </w:r>
          </w:p>
        </w:tc>
        <w:tc>
          <w:tcPr>
            <w:shd w:val="clear" w:color="auto" w:fill="1A1A2E"/>
            <w:tcMar>
              <w:top w:w="80" w:type="dxa"/>
              <w:bottom w:w="80" w:type="dxa"/>
              <w:left w:w="120" w:type="dxa"/>
              <w:right w:w="80" w:type="dxa"/>
            </w:tcMar>
            <w:vAlign w:val="center"/>
            <w:tcW w:w="6804" w:type="dxa"/>
          </w:tcPr>
          <w:p>
            <w:pPr>
              <w:spacing w:before="0" w:after="0"/>
            </w:pPr>
            <w:r>
              <w:rPr>
                <w:rFonts w:ascii="Calibri" w:hAnsi="Calibri"/>
                <w:b/>
                <w:i w:val="0"/>
                <w:color w:val="FFFFFF"/>
                <w:sz w:val="19"/>
                <w:u w:val="none"/>
              </w:rPr>
              <w:t>Routing Logic</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route_after_router</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decision == 'CHAT' → conversation; otherwise → memory</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context_router</w:t>
            </w:r>
          </w:p>
        </w:tc>
        <w:tc>
          <w:tcPr>
            <w:shd w:val="clear" w:color="auto" w:fill="F0F4F8"/>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Lambda on state['route']: ticket_lifecycle | ticket_status | service_request | intent</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route_after_diagnostic_interview</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decision_response populated → END; else → planner</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route_after_multi_step</w:t>
            </w:r>
          </w:p>
        </w:tc>
        <w:tc>
          <w:tcPr>
            <w:shd w:val="clear" w:color="auto" w:fill="F0F4F8"/>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troubleshooting_complete is False and next_tool is not None → tool; else → root_cause</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route_decision</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CREATE_TICKET → ticket; EXECUTE_ACTION → approval; else → END</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route_after_approval</w:t>
            </w:r>
          </w:p>
        </w:tc>
        <w:tc>
          <w:tcPr>
            <w:shd w:val="clear" w:color="auto" w:fill="F0F4F8"/>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approval_status == 'APPROVED' → action; else → END</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route_after_lifecycle</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ticket['ticket_id'] exists → assignment; else → notification</w:t>
            </w:r>
          </w:p>
        </w:tc>
      </w:tr>
    </w:tbl>
    <w:p>
      <w:pPr>
        <w:spacing w:before="80" w:after="0"/>
      </w:pPr>
    </w:p>
    <w:p>
      <w:pPr>
        <w:keepNext w:val="0"/>
        <w:spacing w:before="80" w:after="120"/>
        <w:jc w:val="center"/>
      </w:pPr>
      <w:r>
        <w:rPr>
          <w:rFonts w:ascii="Calibri" w:hAnsi="Calibri"/>
          <w:b w:val="0"/>
          <w:i/>
          <w:color w:val="555555"/>
          <w:sz w:val="18"/>
          <w:u w:val="none"/>
        </w:rPr>
        <w:t>Table 7 — LangGraph Conditional Edge Routing Logic</w:t>
      </w:r>
    </w:p>
    <w:p>
      <w:pPr>
        <w:pStyle w:val="Heading1"/>
        <w:keepNext/>
        <w:spacing w:before="360" w:after="120"/>
        <w:pBdr>
          <w:bottom w:val="single" w:sz="8" w:space="1" w:color="C80000"/>
        </w:pBdr>
      </w:pPr>
      <w:r>
        <w:rPr>
          <w:rFonts w:ascii="Calibri" w:hAnsi="Calibri"/>
          <w:b/>
          <w:color w:val="1A1A2E"/>
          <w:sz w:val="32"/>
        </w:rPr>
        <w:t>12. Conversation Lifecycle</w:t>
      </w:r>
    </w:p>
    <w:p>
      <w:pPr>
        <w:pStyle w:val="Heading2"/>
        <w:keepNext/>
        <w:spacing w:before="240" w:after="80"/>
      </w:pPr>
      <w:r>
        <w:rPr>
          <w:rFonts w:ascii="Calibri" w:hAnsi="Calibri"/>
          <w:b/>
          <w:color w:val="C80000"/>
          <w:sz w:val="26"/>
        </w:rPr>
        <w:t>12.1 Session State &amp; Memory Persistence</w:t>
      </w:r>
    </w:p>
    <w:p>
      <w:pPr>
        <w:keepNext w:val="0"/>
        <w:spacing w:before="20" w:after="100"/>
      </w:pPr>
      <w:r>
        <w:rPr>
          <w:rFonts w:ascii="Calibri" w:hAnsi="Calibri"/>
          <w:b w:val="0"/>
          <w:i w:val="0"/>
          <w:color w:val="1A1A1A"/>
          <w:sz w:val="21"/>
          <w:u w:val="none"/>
        </w:rPr>
        <w:t>Conversations are keyed by session_id in the platform database (`conversations` and `conversation_events` tables). The Memory node fetches dialogue history prior to pipeline execution and serializes updated state context upon completion.</w:t>
      </w:r>
    </w:p>
    <w:p>
      <w:pPr>
        <w:pStyle w:val="Heading2"/>
        <w:keepNext/>
        <w:spacing w:before="240" w:after="80"/>
      </w:pPr>
      <w:r>
        <w:rPr>
          <w:rFonts w:ascii="Calibri" w:hAnsi="Calibri"/>
          <w:b/>
          <w:color w:val="C80000"/>
          <w:sz w:val="26"/>
        </w:rPr>
        <w:t>12.2 Diagnostic Interview &amp; Information Sufficiency</w:t>
      </w:r>
    </w:p>
    <w:p>
      <w:pPr>
        <w:keepNext w:val="0"/>
        <w:spacing w:before="20" w:after="100"/>
      </w:pPr>
      <w:r>
        <w:rPr>
          <w:rFonts w:ascii="Calibri" w:hAnsi="Calibri"/>
          <w:b w:val="0"/>
          <w:i w:val="0"/>
          <w:color w:val="1A1A1A"/>
          <w:sz w:val="21"/>
          <w:u w:val="none"/>
        </w:rPr>
        <w:t>The Diagnostic Interview node evaluates whether sufficient contextual details (device ID, error codes, network location) are present before diagnostic planning begins. If required fields are missing, targeted clarification questions are rendered to the employee, pausing pipeline execution until the next turn.</w:t>
      </w:r>
    </w:p>
    <w:p>
      <w:pPr>
        <w:pStyle w:val="Heading1"/>
        <w:keepNext/>
        <w:spacing w:before="360" w:after="120"/>
        <w:pBdr>
          <w:bottom w:val="single" w:sz="8" w:space="1" w:color="C80000"/>
        </w:pBdr>
      </w:pPr>
      <w:r>
        <w:rPr>
          <w:rFonts w:ascii="Calibri" w:hAnsi="Calibri"/>
          <w:b/>
          <w:color w:val="1A1A2E"/>
          <w:sz w:val="32"/>
        </w:rPr>
        <w:t>13. ServiceNow Integration Architecture</w:t>
      </w:r>
    </w:p>
    <w:p>
      <w:pPr>
        <w:pStyle w:val="Heading2"/>
        <w:keepNext/>
        <w:spacing w:before="240" w:after="80"/>
      </w:pPr>
      <w:r>
        <w:rPr>
          <w:rFonts w:ascii="Calibri" w:hAnsi="Calibri"/>
          <w:b/>
          <w:color w:val="C80000"/>
          <w:sz w:val="26"/>
        </w:rPr>
        <w:t>13.1 Adapter Pattern &amp; ServiceNow Client</w:t>
      </w:r>
    </w:p>
    <w:p>
      <w:pPr>
        <w:keepNext w:val="0"/>
        <w:spacing w:before="20" w:after="100"/>
      </w:pPr>
      <w:r>
        <w:rPr>
          <w:rFonts w:ascii="Calibri" w:hAnsi="Calibri"/>
          <w:b w:val="0"/>
          <w:i w:val="0"/>
          <w:color w:val="1A1A1A"/>
          <w:sz w:val="21"/>
          <w:u w:val="none"/>
        </w:rPr>
        <w:t>Enterprise integrations implement an adapter design pattern with explicit mock/live environment toggles. `ServiceNowClient` manages OAuth2 Password Grant tokens with thread-safe RLock refresh protection.</w:t>
      </w:r>
    </w:p>
    <w:p>
      <w:pPr>
        <w:keepNext/>
        <w:spacing w:before="160" w:after="80"/>
        <w:jc w:val="center"/>
      </w:pPr>
      <w:r>
        <w:drawing>
          <wp:inline xmlns:a="http://schemas.openxmlformats.org/drawingml/2006/main" xmlns:pic="http://schemas.openxmlformats.org/drawingml/2006/picture">
            <wp:extent cx="5669280" cy="2233244"/>
            <wp:docPr id="7" name="Picture 7"/>
            <wp:cNvGraphicFramePr>
              <a:graphicFrameLocks noChangeAspect="1"/>
            </wp:cNvGraphicFramePr>
            <a:graphic>
              <a:graphicData uri="http://schemas.openxmlformats.org/drawingml/2006/picture">
                <pic:pic>
                  <pic:nvPicPr>
                    <pic:cNvPr id="0" name="fig_12_1_integration_topology.png"/>
                    <pic:cNvPicPr/>
                  </pic:nvPicPr>
                  <pic:blipFill>
                    <a:blip r:embed="rId15"/>
                    <a:stretch>
                      <a:fillRect/>
                    </a:stretch>
                  </pic:blipFill>
                  <pic:spPr>
                    <a:xfrm>
                      <a:off x="0" y="0"/>
                      <a:ext cx="5669280" cy="2233244"/>
                    </a:xfrm>
                    <a:prstGeom prst="rect"/>
                  </pic:spPr>
                </pic:pic>
              </a:graphicData>
            </a:graphic>
          </wp:inline>
        </w:drawing>
      </w:r>
    </w:p>
    <w:p>
      <w:pPr>
        <w:keepNext w:val="0"/>
        <w:spacing w:before="80" w:after="80"/>
        <w:jc w:val="center"/>
      </w:pPr>
      <w:r>
        <w:rPr>
          <w:rFonts w:ascii="Calibri" w:hAnsi="Calibri"/>
          <w:b w:val="0"/>
          <w:i/>
          <w:color w:val="555555"/>
          <w:sz w:val="18"/>
          <w:u w:val="none"/>
        </w:rPr>
        <w:t>Figure 7 — Enterprise Integration Adapter Topology</w:t>
      </w:r>
    </w:p>
    <w:p>
      <w:pPr>
        <w:keepNext w:val="0"/>
        <w:spacing w:before="40" w:after="240"/>
      </w:pPr>
      <w:r>
        <w:rPr>
          <w:rFonts w:ascii="Calibri" w:hAnsi="Calibri"/>
          <w:b w:val="0"/>
          <w:i/>
          <w:color w:val="333333"/>
          <w:sz w:val="19"/>
          <w:u w:val="none"/>
        </w:rPr>
        <w:t>Figure 7 illustrates the system integration topology connecting the core FastAPI backend with enterprise endpoints. ServiceNow interactions pass through a thread-safe token manager and a 3600-second metadata cache. External API calls to ServiceNow Table API, Microsoft Graph (Entra ID), and GlobalProtect VPN gateways are abstracted behind unified interfaces that toggle between live HTTPS calls and mock fixtures based on environment settings.</w:t>
      </w:r>
    </w:p>
    <w:p>
      <w:pPr>
        <w:pStyle w:val="Heading2"/>
        <w:keepNext/>
        <w:spacing w:before="240" w:after="80"/>
      </w:pPr>
      <w:r>
        <w:rPr>
          <w:rFonts w:ascii="Calibri" w:hAnsi="Calibri"/>
          <w:b/>
          <w:color w:val="C80000"/>
          <w:sz w:val="26"/>
        </w:rPr>
        <w:t>13.2 ServiceNow Metadata Validation Pipeline</w:t>
      </w:r>
    </w:p>
    <w:p>
      <w:pPr>
        <w:keepNext w:val="0"/>
        <w:spacing w:before="20" w:after="100"/>
      </w:pPr>
      <w:r>
        <w:rPr>
          <w:rFonts w:ascii="Calibri" w:hAnsi="Calibri"/>
          <w:b w:val="0"/>
          <w:i w:val="0"/>
          <w:color w:val="1A1A1A"/>
          <w:sz w:val="21"/>
          <w:u w:val="none"/>
        </w:rPr>
        <w:t>To prevent invalid field submission errors when creating incidents, the platform routes AI outputs through a rigorous 4-stage validation pipeline.</w:t>
      </w:r>
    </w:p>
    <w:p>
      <w:pPr>
        <w:keepNext/>
        <w:spacing w:before="160" w:after="80"/>
        <w:jc w:val="center"/>
      </w:pPr>
      <w:r>
        <w:drawing>
          <wp:inline xmlns:a="http://schemas.openxmlformats.org/drawingml/2006/main" xmlns:pic="http://schemas.openxmlformats.org/drawingml/2006/picture">
            <wp:extent cx="5669280" cy="19921022"/>
            <wp:docPr id="8" name="Picture 8"/>
            <wp:cNvGraphicFramePr>
              <a:graphicFrameLocks noChangeAspect="1"/>
            </wp:cNvGraphicFramePr>
            <a:graphic>
              <a:graphicData uri="http://schemas.openxmlformats.org/drawingml/2006/picture">
                <pic:pic>
                  <pic:nvPicPr>
                    <pic:cNvPr id="0" name="fig_12_2_servicenow_validation.png"/>
                    <pic:cNvPicPr/>
                  </pic:nvPicPr>
                  <pic:blipFill>
                    <a:blip r:embed="rId16"/>
                    <a:stretch>
                      <a:fillRect/>
                    </a:stretch>
                  </pic:blipFill>
                  <pic:spPr>
                    <a:xfrm>
                      <a:off x="0" y="0"/>
                      <a:ext cx="5669280" cy="19921022"/>
                    </a:xfrm>
                    <a:prstGeom prst="rect"/>
                  </pic:spPr>
                </pic:pic>
              </a:graphicData>
            </a:graphic>
          </wp:inline>
        </w:drawing>
      </w:r>
    </w:p>
    <w:p>
      <w:pPr>
        <w:keepNext w:val="0"/>
        <w:spacing w:before="80" w:after="80"/>
        <w:jc w:val="center"/>
      </w:pPr>
      <w:r>
        <w:rPr>
          <w:rFonts w:ascii="Calibri" w:hAnsi="Calibri"/>
          <w:b w:val="0"/>
          <w:i/>
          <w:color w:val="555555"/>
          <w:sz w:val="18"/>
          <w:u w:val="none"/>
        </w:rPr>
        <w:t>Figure 8 — ServiceNow Metadata Validation Pipeline</w:t>
      </w:r>
    </w:p>
    <w:p>
      <w:pPr>
        <w:keepNext w:val="0"/>
        <w:spacing w:before="40" w:after="240"/>
      </w:pPr>
      <w:r>
        <w:rPr>
          <w:rFonts w:ascii="Calibri" w:hAnsi="Calibri"/>
          <w:b w:val="0"/>
          <w:i/>
          <w:color w:val="333333"/>
          <w:sz w:val="19"/>
          <w:u w:val="none"/>
        </w:rPr>
        <w:t>Figure 8 outlines the deterministic validation chain applied to LLM classification outputs before invoking ServiceNow REST APIs. Raw AI predictions are first mapped to canonical ServiceNow choice values by the FieldMappingService using `incident_config.json`. The MetadataValidator checks choice existence against cached instance choices; if an invalid choice is detected, local taxonomy defaults apply before IncidentEnrichmentService computes impact, urgency, and priority values.</w:t>
      </w:r>
    </w:p>
    <w:p>
      <w:pPr>
        <w:pStyle w:val="Heading2"/>
        <w:keepNext/>
        <w:spacing w:before="240" w:after="80"/>
      </w:pPr>
      <w:r>
        <w:rPr>
          <w:rFonts w:ascii="Calibri" w:hAnsi="Calibri"/>
          <w:b/>
          <w:color w:val="C80000"/>
          <w:sz w:val="26"/>
        </w:rPr>
        <w:t>13.3 ServiceNow Incident Lifecycle</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Platform Status</w:t>
            </w:r>
          </w:p>
        </w:tc>
        <w:tc>
          <w:tcPr>
            <w:shd w:val="clear" w:color="auto" w:fill="1A1A2E"/>
            <w:tcMar>
              <w:top w:w="80" w:type="dxa"/>
              <w:bottom w:w="80" w:type="dxa"/>
              <w:left w:w="120" w:type="dxa"/>
              <w:right w:w="80" w:type="dxa"/>
            </w:tcMar>
            <w:vAlign w:val="center"/>
            <w:tcW w:w="3969" w:type="dxa"/>
          </w:tcPr>
          <w:p>
            <w:pPr>
              <w:spacing w:before="0" w:after="0"/>
            </w:pPr>
            <w:r>
              <w:rPr>
                <w:rFonts w:ascii="Calibri" w:hAnsi="Calibri"/>
                <w:b/>
                <w:i w:val="0"/>
                <w:color w:val="FFFFFF"/>
                <w:sz w:val="19"/>
                <w:u w:val="none"/>
              </w:rPr>
              <w:t>ServiceNow Trigger / Action</w:t>
            </w:r>
          </w:p>
        </w:tc>
        <w:tc>
          <w:tcPr>
            <w:shd w:val="clear" w:color="auto" w:fill="1A1A2E"/>
            <w:tcMar>
              <w:top w:w="80" w:type="dxa"/>
              <w:bottom w:w="80" w:type="dxa"/>
              <w:left w:w="120" w:type="dxa"/>
              <w:right w:w="80" w:type="dxa"/>
            </w:tcMar>
            <w:vAlign w:val="center"/>
            <w:tcW w:w="3685" w:type="dxa"/>
          </w:tcPr>
          <w:p>
            <w:pPr>
              <w:spacing w:before="0" w:after="0"/>
            </w:pPr>
            <w:r>
              <w:rPr>
                <w:rFonts w:ascii="Calibri" w:hAnsi="Calibri"/>
                <w:b/>
                <w:i w:val="0"/>
                <w:color w:val="FFFFFF"/>
                <w:sz w:val="19"/>
                <w:u w:val="none"/>
              </w:rPr>
              <w:t>Valid Next Status</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NEW</w:t>
            </w:r>
          </w:p>
        </w:tc>
        <w:tc>
          <w:tcPr>
            <w:shd w:val="clear" w:color="auto" w:fill="FFFFFF"/>
            <w:tcMar>
              <w:top w:w="70" w:type="dxa"/>
              <w:bottom w:w="70" w:type="dxa"/>
              <w:left w:w="120" w:type="dxa"/>
              <w:right w:w="80" w:type="dxa"/>
            </w:tcMar>
            <w:vAlign w:val="top"/>
            <w:tcW w:w="3969" w:type="dxa"/>
          </w:tcPr>
          <w:p>
            <w:pPr>
              <w:spacing w:before="0" w:after="0"/>
            </w:pPr>
            <w:r>
              <w:rPr>
                <w:rFonts w:ascii="Calibri" w:hAnsi="Calibri"/>
                <w:b w:val="0"/>
                <w:i w:val="0"/>
                <w:color w:val="1A1A1A"/>
                <w:sz w:val="19"/>
                <w:u w:val="none"/>
              </w:rPr>
              <w:t>Platform creates INC via OAuth2</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IN_PROGRESS or WAITING_MANAGER</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WAITING_MANAGER</w:t>
            </w:r>
          </w:p>
        </w:tc>
        <w:tc>
          <w:tcPr>
            <w:shd w:val="clear" w:color="auto" w:fill="F0F4F8"/>
            <w:tcMar>
              <w:top w:w="70" w:type="dxa"/>
              <w:bottom w:w="70" w:type="dxa"/>
              <w:left w:w="120" w:type="dxa"/>
              <w:right w:w="80" w:type="dxa"/>
            </w:tcMar>
            <w:vAlign w:val="top"/>
            <w:tcW w:w="3969" w:type="dxa"/>
          </w:tcPr>
          <w:p>
            <w:pPr>
              <w:spacing w:before="0" w:after="0"/>
            </w:pPr>
            <w:r>
              <w:rPr>
                <w:rFonts w:ascii="Calibri" w:hAnsi="Calibri"/>
                <w:b w:val="0"/>
                <w:i w:val="0"/>
                <w:color w:val="1A1A1A"/>
                <w:sz w:val="19"/>
                <w:u w:val="none"/>
              </w:rPr>
              <w:t>SOFTWARE_INSTALLATION / privileged request</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READY_FOR_ADMIN or REJECTED</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READY_FOR_ADMIN</w:t>
            </w:r>
          </w:p>
        </w:tc>
        <w:tc>
          <w:tcPr>
            <w:shd w:val="clear" w:color="auto" w:fill="FFFFFF"/>
            <w:tcMar>
              <w:top w:w="70" w:type="dxa"/>
              <w:bottom w:w="70" w:type="dxa"/>
              <w:left w:w="120" w:type="dxa"/>
              <w:right w:w="80" w:type="dxa"/>
            </w:tcMar>
            <w:vAlign w:val="top"/>
            <w:tcW w:w="3969" w:type="dxa"/>
          </w:tcPr>
          <w:p>
            <w:pPr>
              <w:spacing w:before="0" w:after="0"/>
            </w:pPr>
            <w:r>
              <w:rPr>
                <w:rFonts w:ascii="Calibri" w:hAnsi="Calibri"/>
                <w:b w:val="0"/>
                <w:i w:val="0"/>
                <w:color w:val="1A1A1A"/>
                <w:sz w:val="19"/>
                <w:u w:val="none"/>
              </w:rPr>
              <w:t>Manager approves</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ACCESS_GRANTED</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ACCESS_GRANTED</w:t>
            </w:r>
          </w:p>
        </w:tc>
        <w:tc>
          <w:tcPr>
            <w:shd w:val="clear" w:color="auto" w:fill="F0F4F8"/>
            <w:tcMar>
              <w:top w:w="70" w:type="dxa"/>
              <w:bottom w:w="70" w:type="dxa"/>
              <w:left w:w="120" w:type="dxa"/>
              <w:right w:w="80" w:type="dxa"/>
            </w:tcMar>
            <w:vAlign w:val="top"/>
            <w:tcW w:w="3969" w:type="dxa"/>
          </w:tcPr>
          <w:p>
            <w:pPr>
              <w:spacing w:before="0" w:after="0"/>
            </w:pPr>
            <w:r>
              <w:rPr>
                <w:rFonts w:ascii="Calibri" w:hAnsi="Calibri"/>
                <w:b w:val="0"/>
                <w:i w:val="0"/>
                <w:color w:val="1A1A1A"/>
                <w:sz w:val="19"/>
                <w:u w:val="none"/>
              </w:rPr>
              <w:t>Admin grants LAPS credentials</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COMPLETED</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IN_PROGRESS</w:t>
            </w:r>
          </w:p>
        </w:tc>
        <w:tc>
          <w:tcPr>
            <w:shd w:val="clear" w:color="auto" w:fill="FFFFFF"/>
            <w:tcMar>
              <w:top w:w="70" w:type="dxa"/>
              <w:bottom w:w="70" w:type="dxa"/>
              <w:left w:w="120" w:type="dxa"/>
              <w:right w:w="80" w:type="dxa"/>
            </w:tcMar>
            <w:vAlign w:val="top"/>
            <w:tcW w:w="3969" w:type="dxa"/>
          </w:tcPr>
          <w:p>
            <w:pPr>
              <w:spacing w:before="0" w:after="0"/>
            </w:pPr>
            <w:r>
              <w:rPr>
                <w:rFonts w:ascii="Calibri" w:hAnsi="Calibri"/>
                <w:b w:val="0"/>
                <w:i w:val="0"/>
                <w:color w:val="1A1A1A"/>
                <w:sz w:val="19"/>
                <w:u w:val="none"/>
              </w:rPr>
              <w:t>Assigned to team</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RESOLVED</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RESOLVED</w:t>
            </w:r>
          </w:p>
        </w:tc>
        <w:tc>
          <w:tcPr>
            <w:shd w:val="clear" w:color="auto" w:fill="F0F4F8"/>
            <w:tcMar>
              <w:top w:w="70" w:type="dxa"/>
              <w:bottom w:w="70" w:type="dxa"/>
              <w:left w:w="120" w:type="dxa"/>
              <w:right w:w="80" w:type="dxa"/>
            </w:tcMar>
            <w:vAlign w:val="top"/>
            <w:tcW w:w="3969" w:type="dxa"/>
          </w:tcPr>
          <w:p>
            <w:pPr>
              <w:spacing w:before="0" w:after="0"/>
            </w:pPr>
            <w:r>
              <w:rPr>
                <w:rFonts w:ascii="Calibri" w:hAnsi="Calibri"/>
                <w:b w:val="0"/>
                <w:i w:val="0"/>
                <w:color w:val="1A1A1A"/>
                <w:sz w:val="19"/>
                <w:u w:val="none"/>
              </w:rPr>
              <w:t>Engineer resolves</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CLOSED (auto)</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CLOSED</w:t>
            </w:r>
          </w:p>
        </w:tc>
        <w:tc>
          <w:tcPr>
            <w:shd w:val="clear" w:color="auto" w:fill="FFFFFF"/>
            <w:tcMar>
              <w:top w:w="70" w:type="dxa"/>
              <w:bottom w:w="70" w:type="dxa"/>
              <w:left w:w="120" w:type="dxa"/>
              <w:right w:w="80" w:type="dxa"/>
            </w:tcMar>
            <w:vAlign w:val="top"/>
            <w:tcW w:w="3969" w:type="dxa"/>
          </w:tcPr>
          <w:p>
            <w:pPr>
              <w:spacing w:before="0" w:after="0"/>
            </w:pPr>
            <w:r>
              <w:rPr>
                <w:rFonts w:ascii="Calibri" w:hAnsi="Calibri"/>
                <w:b w:val="0"/>
                <w:i w:val="0"/>
                <w:color w:val="1A1A1A"/>
                <w:sz w:val="19"/>
                <w:u w:val="none"/>
              </w:rPr>
              <w:t>Final state</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REJECTED</w:t>
            </w:r>
          </w:p>
        </w:tc>
        <w:tc>
          <w:tcPr>
            <w:shd w:val="clear" w:color="auto" w:fill="F0F4F8"/>
            <w:tcMar>
              <w:top w:w="70" w:type="dxa"/>
              <w:bottom w:w="70" w:type="dxa"/>
              <w:left w:w="120" w:type="dxa"/>
              <w:right w:w="80" w:type="dxa"/>
            </w:tcMar>
            <w:vAlign w:val="top"/>
            <w:tcW w:w="3969" w:type="dxa"/>
          </w:tcPr>
          <w:p>
            <w:pPr>
              <w:spacing w:before="0" w:after="0"/>
            </w:pPr>
            <w:r>
              <w:rPr>
                <w:rFonts w:ascii="Calibri" w:hAnsi="Calibri"/>
                <w:b w:val="0"/>
                <w:i w:val="0"/>
                <w:color w:val="1A1A1A"/>
                <w:sz w:val="19"/>
                <w:u w:val="none"/>
              </w:rPr>
              <w:t>Manager rejects request</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CLOSED</w:t>
            </w:r>
          </w:p>
        </w:tc>
      </w:tr>
    </w:tbl>
    <w:p>
      <w:pPr>
        <w:spacing w:before="80" w:after="0"/>
      </w:pPr>
    </w:p>
    <w:p>
      <w:pPr>
        <w:keepNext w:val="0"/>
        <w:spacing w:before="80" w:after="120"/>
        <w:jc w:val="center"/>
      </w:pPr>
      <w:r>
        <w:rPr>
          <w:rFonts w:ascii="Calibri" w:hAnsi="Calibri"/>
          <w:b w:val="0"/>
          <w:i/>
          <w:color w:val="555555"/>
          <w:sz w:val="18"/>
          <w:u w:val="none"/>
        </w:rPr>
        <w:t>Table 8 — ServiceNow Incident Lifecycle — Platform Status States</w:t>
      </w:r>
    </w:p>
    <w:p>
      <w:pPr>
        <w:pStyle w:val="Heading1"/>
        <w:keepNext/>
        <w:spacing w:before="360" w:after="120"/>
        <w:pBdr>
          <w:bottom w:val="single" w:sz="8" w:space="1" w:color="C80000"/>
        </w:pBdr>
      </w:pPr>
      <w:r>
        <w:rPr>
          <w:rFonts w:ascii="Calibri" w:hAnsi="Calibri"/>
          <w:b/>
          <w:color w:val="1A1A2E"/>
          <w:sz w:val="32"/>
        </w:rPr>
        <w:t>14. Security Architecture</w:t>
      </w:r>
    </w:p>
    <w:p>
      <w:pPr>
        <w:pStyle w:val="Heading2"/>
        <w:keepNext/>
        <w:spacing w:before="240" w:after="80"/>
      </w:pPr>
      <w:r>
        <w:rPr>
          <w:rFonts w:ascii="Calibri" w:hAnsi="Calibri"/>
          <w:b/>
          <w:color w:val="C80000"/>
          <w:sz w:val="26"/>
        </w:rPr>
        <w:t>14.1 Defence-in-Depth Layer Stack</w:t>
      </w:r>
    </w:p>
    <w:p>
      <w:pPr>
        <w:keepNext w:val="0"/>
        <w:spacing w:before="20" w:after="100"/>
      </w:pPr>
      <w:r>
        <w:rPr>
          <w:rFonts w:ascii="Calibri" w:hAnsi="Calibri"/>
          <w:b w:val="0"/>
          <w:i w:val="0"/>
          <w:color w:val="1A1A1A"/>
          <w:sz w:val="21"/>
          <w:u w:val="none"/>
        </w:rPr>
        <w:t>The security model implements strict defence-in-depth across perimeter, transport, application, and compliance audit layers.</w:t>
      </w:r>
    </w:p>
    <w:p>
      <w:pPr>
        <w:keepNext/>
        <w:spacing w:before="160" w:after="80"/>
        <w:jc w:val="center"/>
      </w:pPr>
      <w:r>
        <w:drawing>
          <wp:inline xmlns:a="http://schemas.openxmlformats.org/drawingml/2006/main" xmlns:pic="http://schemas.openxmlformats.org/drawingml/2006/picture">
            <wp:extent cx="5669280" cy="28524070"/>
            <wp:docPr id="9" name="Picture 9"/>
            <wp:cNvGraphicFramePr>
              <a:graphicFrameLocks noChangeAspect="1"/>
            </wp:cNvGraphicFramePr>
            <a:graphic>
              <a:graphicData uri="http://schemas.openxmlformats.org/drawingml/2006/picture">
                <pic:pic>
                  <pic:nvPicPr>
                    <pic:cNvPr id="0" name="fig_13_1_security_stack.png"/>
                    <pic:cNvPicPr/>
                  </pic:nvPicPr>
                  <pic:blipFill>
                    <a:blip r:embed="rId17"/>
                    <a:stretch>
                      <a:fillRect/>
                    </a:stretch>
                  </pic:blipFill>
                  <pic:spPr>
                    <a:xfrm>
                      <a:off x="0" y="0"/>
                      <a:ext cx="5669280" cy="28524070"/>
                    </a:xfrm>
                    <a:prstGeom prst="rect"/>
                  </pic:spPr>
                </pic:pic>
              </a:graphicData>
            </a:graphic>
          </wp:inline>
        </w:drawing>
      </w:r>
    </w:p>
    <w:p>
      <w:pPr>
        <w:keepNext w:val="0"/>
        <w:spacing w:before="80" w:after="80"/>
        <w:jc w:val="center"/>
      </w:pPr>
      <w:r>
        <w:rPr>
          <w:rFonts w:ascii="Calibri" w:hAnsi="Calibri"/>
          <w:b w:val="0"/>
          <w:i/>
          <w:color w:val="555555"/>
          <w:sz w:val="18"/>
          <w:u w:val="none"/>
        </w:rPr>
        <w:t>Figure 9 — Security Defence-in-Depth Layered Architecture</w:t>
      </w:r>
    </w:p>
    <w:p>
      <w:pPr>
        <w:keepNext w:val="0"/>
        <w:spacing w:before="40" w:after="240"/>
      </w:pPr>
      <w:r>
        <w:rPr>
          <w:rFonts w:ascii="Calibri" w:hAnsi="Calibri"/>
          <w:b w:val="0"/>
          <w:i/>
          <w:color w:val="333333"/>
          <w:sz w:val="19"/>
          <w:u w:val="none"/>
        </w:rPr>
        <w:t>Figure 9 details the 4-layer security architecture enforcing corporate data protection standards. Perimeter TLS 1.3 termination at Nginx is fortified by transport-layer HTTP security headers (HSTS, CSP, X-Frame-Options, X-Content-Type-Options). Application middleware enforces 512 KB request payload limits, sliding-window rate limiting, PromptGuard injection scanning, and JWT RBAC checks, while all state modifications append to an immutable SHA-256 audit log.</w:t>
      </w:r>
    </w:p>
    <w:p>
      <w:pPr>
        <w:pStyle w:val="Heading2"/>
        <w:keepNext/>
        <w:spacing w:before="240" w:after="80"/>
      </w:pPr>
      <w:r>
        <w:rPr>
          <w:rFonts w:ascii="Calibri" w:hAnsi="Calibri"/>
          <w:b/>
          <w:color w:val="C80000"/>
          <w:sz w:val="26"/>
        </w:rPr>
        <w:t>14.2 Authentication &amp; Authorization Flow</w:t>
      </w:r>
    </w:p>
    <w:p>
      <w:pPr>
        <w:keepNext w:val="0"/>
        <w:spacing w:before="20" w:after="100"/>
      </w:pPr>
      <w:r>
        <w:rPr>
          <w:rFonts w:ascii="Calibri" w:hAnsi="Calibri"/>
          <w:b w:val="0"/>
          <w:i w:val="0"/>
          <w:color w:val="1A1A1A"/>
          <w:sz w:val="21"/>
          <w:u w:val="none"/>
        </w:rPr>
        <w:t>User authentication utilizes bcrypt password hashing and PyJWT HS256 token issuance. Every endpoint verifies token claims and role authorization via `RoleChecker` dependencies.</w:t>
      </w:r>
    </w:p>
    <w:p>
      <w:pPr>
        <w:keepNext/>
        <w:spacing w:before="160" w:after="80"/>
        <w:jc w:val="center"/>
      </w:pPr>
      <w:r>
        <w:drawing>
          <wp:inline xmlns:a="http://schemas.openxmlformats.org/drawingml/2006/main" xmlns:pic="http://schemas.openxmlformats.org/drawingml/2006/picture">
            <wp:extent cx="5669280" cy="2858522"/>
            <wp:docPr id="10" name="Picture 10"/>
            <wp:cNvGraphicFramePr>
              <a:graphicFrameLocks noChangeAspect="1"/>
            </wp:cNvGraphicFramePr>
            <a:graphic>
              <a:graphicData uri="http://schemas.openxmlformats.org/drawingml/2006/picture">
                <pic:pic>
                  <pic:nvPicPr>
                    <pic:cNvPr id="0" name="fig_13_2_auth_flow.png"/>
                    <pic:cNvPicPr/>
                  </pic:nvPicPr>
                  <pic:blipFill>
                    <a:blip r:embed="rId18"/>
                    <a:stretch>
                      <a:fillRect/>
                    </a:stretch>
                  </pic:blipFill>
                  <pic:spPr>
                    <a:xfrm>
                      <a:off x="0" y="0"/>
                      <a:ext cx="5669280" cy="2858522"/>
                    </a:xfrm>
                    <a:prstGeom prst="rect"/>
                  </pic:spPr>
                </pic:pic>
              </a:graphicData>
            </a:graphic>
          </wp:inline>
        </w:drawing>
      </w:r>
    </w:p>
    <w:p>
      <w:pPr>
        <w:keepNext w:val="0"/>
        <w:spacing w:before="80" w:after="80"/>
        <w:jc w:val="center"/>
      </w:pPr>
      <w:r>
        <w:rPr>
          <w:rFonts w:ascii="Calibri" w:hAnsi="Calibri"/>
          <w:b w:val="0"/>
          <w:i/>
          <w:color w:val="555555"/>
          <w:sz w:val="18"/>
          <w:u w:val="none"/>
        </w:rPr>
        <w:t>Figure 10 — Authentication and Authorisation Sequence Flow</w:t>
      </w:r>
    </w:p>
    <w:p>
      <w:pPr>
        <w:keepNext w:val="0"/>
        <w:spacing w:before="40" w:after="240"/>
      </w:pPr>
      <w:r>
        <w:rPr>
          <w:rFonts w:ascii="Calibri" w:hAnsi="Calibri"/>
          <w:b w:val="0"/>
          <w:i/>
          <w:color w:val="333333"/>
          <w:sz w:val="19"/>
          <w:u w:val="none"/>
        </w:rPr>
        <w:t>Figure 10 demonstrates the credential verification and Bearer token lifecycle. Upon successful `/auth/login` authentication against bcrypt password hashes in the database, the API issues a 30-minute access token and a 7-day refresh token. Subsequent request headers are parsed by FastAPI `oauth2_scheme`, verifying HS256 signatures, token expiry, and user role entitlements prior to pipeline invocation.</w:t>
      </w:r>
    </w:p>
    <w:p>
      <w:pPr>
        <w:pStyle w:val="Heading2"/>
        <w:keepNext/>
        <w:spacing w:before="240" w:after="80"/>
      </w:pPr>
      <w:r>
        <w:rPr>
          <w:rFonts w:ascii="Calibri" w:hAnsi="Calibri"/>
          <w:b/>
          <w:color w:val="C80000"/>
          <w:sz w:val="26"/>
        </w:rPr>
        <w:t>14.3 Role-Based Access Control (RBAC)</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984" w:type="dxa"/>
          </w:tcPr>
          <w:p>
            <w:pPr>
              <w:spacing w:before="0" w:after="0"/>
            </w:pPr>
            <w:r>
              <w:rPr>
                <w:rFonts w:ascii="Calibri" w:hAnsi="Calibri"/>
                <w:b/>
                <w:i w:val="0"/>
                <w:color w:val="FFFFFF"/>
                <w:sz w:val="19"/>
                <w:u w:val="none"/>
              </w:rPr>
              <w:t>Role</w:t>
            </w:r>
          </w:p>
        </w:tc>
        <w:tc>
          <w:tcPr>
            <w:shd w:val="clear" w:color="auto" w:fill="1A1A2E"/>
            <w:tcMar>
              <w:top w:w="80" w:type="dxa"/>
              <w:bottom w:w="80" w:type="dxa"/>
              <w:left w:w="120" w:type="dxa"/>
              <w:right w:w="80" w:type="dxa"/>
            </w:tcMar>
            <w:vAlign w:val="center"/>
            <w:tcW w:w="8221" w:type="dxa"/>
          </w:tcPr>
          <w:p>
            <w:pPr>
              <w:spacing w:before="0" w:after="0"/>
            </w:pPr>
            <w:r>
              <w:rPr>
                <w:rFonts w:ascii="Calibri" w:hAnsi="Calibri"/>
                <w:b/>
                <w:i w:val="0"/>
                <w:color w:val="FFFFFF"/>
                <w:sz w:val="19"/>
                <w:u w:val="none"/>
              </w:rPr>
              <w:t>Permitted Endpoints</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EMPLOYEE</w:t>
            </w:r>
          </w:p>
        </w:tc>
        <w:tc>
          <w:tcPr>
            <w:shd w:val="clear" w:color="auto" w:fill="FFFFFF"/>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/chat, /my-tickets, /auth/me</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MANAGER</w:t>
            </w:r>
          </w:p>
        </w:tc>
        <w:tc>
          <w:tcPr>
            <w:shd w:val="clear" w:color="auto" w:fill="F0F4F8"/>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/chat, /manager/tickets/*, /analytics/*, /auth/me</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w:t>
            </w:r>
          </w:p>
        </w:tc>
        <w:tc>
          <w:tcPr>
            <w:shd w:val="clear" w:color="auto" w:fill="FFFFFF"/>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/tickets/*, /admin/queue, /admin/tickets/*, /analytics/*, /knowledge/*, /auth/me</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SUPERADMIN</w:t>
            </w:r>
          </w:p>
        </w:tc>
        <w:tc>
          <w:tcPr>
            <w:shd w:val="clear" w:color="auto" w:fill="F0F4F8"/>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All endpoints</w:t>
            </w:r>
          </w:p>
        </w:tc>
      </w:tr>
    </w:tbl>
    <w:p>
      <w:pPr>
        <w:spacing w:before="80" w:after="0"/>
      </w:pPr>
    </w:p>
    <w:p>
      <w:pPr>
        <w:keepNext w:val="0"/>
        <w:spacing w:before="80" w:after="120"/>
        <w:jc w:val="center"/>
      </w:pPr>
      <w:r>
        <w:rPr>
          <w:rFonts w:ascii="Calibri" w:hAnsi="Calibri"/>
          <w:b w:val="0"/>
          <w:i/>
          <w:color w:val="555555"/>
          <w:sz w:val="18"/>
          <w:u w:val="none"/>
        </w:rPr>
        <w:t>Table 9 — Role-Based Access Control Model</w:t>
      </w:r>
    </w:p>
    <w:p>
      <w:pPr>
        <w:pStyle w:val="Heading2"/>
        <w:keepNext/>
        <w:spacing w:before="240" w:after="80"/>
      </w:pPr>
      <w:r>
        <w:rPr>
          <w:rFonts w:ascii="Calibri" w:hAnsi="Calibri"/>
          <w:b/>
          <w:color w:val="C80000"/>
          <w:sz w:val="26"/>
        </w:rPr>
        <w:t>14.4 PromptGuard Injection Classifier</w:t>
      </w:r>
    </w:p>
    <w:p>
      <w:pPr>
        <w:keepNext w:val="0"/>
        <w:spacing w:before="20" w:after="100"/>
      </w:pPr>
      <w:r>
        <w:rPr>
          <w:rFonts w:ascii="Calibri" w:hAnsi="Calibri"/>
          <w:b w:val="0"/>
          <w:i w:val="0"/>
          <w:color w:val="1A1A1A"/>
          <w:sz w:val="21"/>
          <w:u w:val="none"/>
        </w:rPr>
        <w:t>PromptGuard protects the LLM pipeline against prompt injection attacks using full-phrase anchored regular expressions.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1587" w:type="dxa"/>
          </w:tcPr>
          <w:p>
            <w:pPr>
              <w:spacing w:before="0" w:after="0"/>
            </w:pPr>
            <w:r>
              <w:rPr>
                <w:rFonts w:ascii="Calibri" w:hAnsi="Calibri"/>
                <w:b/>
                <w:i w:val="0"/>
                <w:color w:val="FFFFFF"/>
                <w:sz w:val="19"/>
                <w:u w:val="none"/>
              </w:rPr>
              <w:t>Risk Level</w:t>
            </w:r>
          </w:p>
        </w:tc>
        <w:tc>
          <w:tcPr>
            <w:shd w:val="clear" w:color="auto" w:fill="1A1A2E"/>
            <w:tcMar>
              <w:top w:w="80" w:type="dxa"/>
              <w:bottom w:w="80" w:type="dxa"/>
              <w:left w:w="120" w:type="dxa"/>
              <w:right w:w="80" w:type="dxa"/>
            </w:tcMar>
            <w:vAlign w:val="center"/>
            <w:tcW w:w="2948" w:type="dxa"/>
          </w:tcPr>
          <w:p>
            <w:pPr>
              <w:spacing w:before="0" w:after="0"/>
            </w:pPr>
            <w:r>
              <w:rPr>
                <w:rFonts w:ascii="Calibri" w:hAnsi="Calibri"/>
                <w:b/>
                <w:i w:val="0"/>
                <w:color w:val="FFFFFF"/>
                <w:sz w:val="19"/>
                <w:u w:val="none"/>
              </w:rPr>
              <w:t>Action</w:t>
            </w:r>
          </w:p>
        </w:tc>
        <w:tc>
          <w:tcPr>
            <w:shd w:val="clear" w:color="auto" w:fill="1A1A2E"/>
            <w:tcMar>
              <w:top w:w="80" w:type="dxa"/>
              <w:bottom w:w="80" w:type="dxa"/>
              <w:left w:w="120" w:type="dxa"/>
              <w:right w:w="80" w:type="dxa"/>
            </w:tcMar>
            <w:vAlign w:val="center"/>
            <w:tcW w:w="5670" w:type="dxa"/>
          </w:tcPr>
          <w:p>
            <w:pPr>
              <w:spacing w:before="0" w:after="0"/>
            </w:pPr>
            <w:r>
              <w:rPr>
                <w:rFonts w:ascii="Calibri" w:hAnsi="Calibri"/>
                <w:b/>
                <w:i w:val="0"/>
                <w:color w:val="FFFFFF"/>
                <w:sz w:val="19"/>
                <w:u w:val="none"/>
              </w:rPr>
              <w:t>Pattern Examples</w:t>
            </w:r>
          </w:p>
        </w:tc>
      </w:tr>
      <w:tr>
        <w:tc>
          <w:tcPr>
            <w:shd w:val="clear" w:color="auto" w:fill="FFFFFF"/>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HIGH</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HTTP 400 + ImmutableAuditLog entry</w:t>
            </w:r>
          </w:p>
        </w:tc>
        <w:tc>
          <w:tcPr>
            <w:shd w:val="clear" w:color="auto" w:fill="FFFFFF"/>
            <w:tcMar>
              <w:top w:w="70" w:type="dxa"/>
              <w:bottom w:w="70" w:type="dxa"/>
              <w:left w:w="120" w:type="dxa"/>
              <w:right w:w="80" w:type="dxa"/>
            </w:tcMar>
            <w:vAlign w:val="top"/>
            <w:tcW w:w="5670" w:type="dxa"/>
          </w:tcPr>
          <w:p>
            <w:pPr>
              <w:spacing w:before="0" w:after="0"/>
            </w:pPr>
            <w:r>
              <w:rPr>
                <w:rFonts w:ascii="Calibri" w:hAnsi="Calibri"/>
                <w:b w:val="0"/>
                <w:i w:val="0"/>
                <w:color w:val="1A1A1A"/>
                <w:sz w:val="19"/>
                <w:u w:val="none"/>
              </w:rPr>
              <w:t>'ignore all instructions', 'you are now DAN', 'forget your previous instructions'</w:t>
            </w:r>
          </w:p>
        </w:tc>
      </w:tr>
      <w:tr>
        <w:tc>
          <w:tcPr>
            <w:shd w:val="clear" w:color="auto" w:fill="F0F4F8"/>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MEDIUM</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Sanitise fragment — pipeline continues</w:t>
            </w:r>
          </w:p>
        </w:tc>
        <w:tc>
          <w:tcPr>
            <w:shd w:val="clear" w:color="auto" w:fill="F0F4F8"/>
            <w:tcMar>
              <w:top w:w="70" w:type="dxa"/>
              <w:bottom w:w="70" w:type="dxa"/>
              <w:left w:w="120" w:type="dxa"/>
              <w:right w:w="80" w:type="dxa"/>
            </w:tcMar>
            <w:vAlign w:val="top"/>
            <w:tcW w:w="5670" w:type="dxa"/>
          </w:tcPr>
          <w:p>
            <w:pPr>
              <w:spacing w:before="0" w:after="0"/>
            </w:pPr>
            <w:r>
              <w:rPr>
                <w:rFonts w:ascii="Calibri" w:hAnsi="Calibri"/>
                <w:b w:val="0"/>
                <w:i w:val="0"/>
                <w:color w:val="1A1A1A"/>
                <w:sz w:val="19"/>
                <w:u w:val="none"/>
              </w:rPr>
              <w:t>'act as X without restrictions', 'from now on you must', [INST] markers</w:t>
            </w:r>
          </w:p>
        </w:tc>
      </w:tr>
      <w:tr>
        <w:tc>
          <w:tcPr>
            <w:shd w:val="clear" w:color="auto" w:fill="FFFFFF"/>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LOW</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Allow — emit structured warning log</w:t>
            </w:r>
          </w:p>
        </w:tc>
        <w:tc>
          <w:tcPr>
            <w:shd w:val="clear" w:color="auto" w:fill="FFFFFF"/>
            <w:tcMar>
              <w:top w:w="70" w:type="dxa"/>
              <w:bottom w:w="70" w:type="dxa"/>
              <w:left w:w="120" w:type="dxa"/>
              <w:right w:w="80" w:type="dxa"/>
            </w:tcMar>
            <w:vAlign w:val="top"/>
            <w:tcW w:w="5670" w:type="dxa"/>
          </w:tcPr>
          <w:p>
            <w:pPr>
              <w:spacing w:before="0" w:after="0"/>
            </w:pPr>
            <w:r>
              <w:rPr>
                <w:rFonts w:ascii="Calibri" w:hAnsi="Calibri"/>
                <w:b w:val="0"/>
                <w:i w:val="0"/>
                <w:color w:val="1A1A1A"/>
                <w:sz w:val="19"/>
                <w:u w:val="none"/>
              </w:rPr>
              <w:t>Ambiguous phrasing partially matching medium patterns</w:t>
            </w:r>
          </w:p>
        </w:tc>
      </w:tr>
    </w:tbl>
    <w:p>
      <w:pPr>
        <w:spacing w:before="80" w:after="0"/>
      </w:pPr>
    </w:p>
    <w:p>
      <w:pPr>
        <w:keepNext w:val="0"/>
        <w:spacing w:before="80" w:after="120"/>
        <w:jc w:val="center"/>
      </w:pPr>
      <w:r>
        <w:rPr>
          <w:rFonts w:ascii="Calibri" w:hAnsi="Calibri"/>
          <w:b w:val="0"/>
          <w:i/>
          <w:color w:val="555555"/>
          <w:sz w:val="18"/>
          <w:u w:val="none"/>
        </w:rPr>
        <w:t>Table 10 — PromptGuard Three-Tier Injection Classification</w:t>
      </w:r>
    </w:p>
    <w:p>
      <w:pPr>
        <w:pStyle w:val="Heading2"/>
        <w:keepNext/>
        <w:spacing w:before="240" w:after="80"/>
      </w:pPr>
      <w:r>
        <w:rPr>
          <w:rFonts w:ascii="Calibri" w:hAnsi="Calibri"/>
          <w:b/>
          <w:color w:val="C80000"/>
          <w:sz w:val="26"/>
        </w:rPr>
        <w:t>14.5 Immutable Audit Logging</w:t>
      </w:r>
    </w:p>
    <w:p>
      <w:pPr>
        <w:keepNext w:val="0"/>
        <w:spacing w:before="20" w:after="100"/>
      </w:pPr>
      <w:r>
        <w:rPr>
          <w:rFonts w:ascii="Calibri" w:hAnsi="Calibri"/>
          <w:b w:val="0"/>
          <w:i w:val="0"/>
          <w:color w:val="1A1A1A"/>
          <w:sz w:val="21"/>
          <w:u w:val="none"/>
        </w:rPr>
        <w:t>Compliance auditability is maintained by `ImmutableAuditLog`, which exposes only an append-only `record()` method. Every entry captures correlation ID, actor identity, action type, timestamp, and a SHA-256 hash of the JSON payload.</w:t>
      </w:r>
    </w:p>
    <w:p>
      <w:pPr>
        <w:pStyle w:val="Heading1"/>
        <w:keepNext/>
        <w:spacing w:before="360" w:after="120"/>
        <w:pBdr>
          <w:bottom w:val="single" w:sz="8" w:space="1" w:color="C80000"/>
        </w:pBdr>
      </w:pPr>
      <w:r>
        <w:rPr>
          <w:rFonts w:ascii="Calibri" w:hAnsi="Calibri"/>
          <w:b/>
          <w:color w:val="1A1A2E"/>
          <w:sz w:val="32"/>
        </w:rPr>
        <w:t>15. Database Architecture</w:t>
      </w:r>
    </w:p>
    <w:p>
      <w:pPr>
        <w:pStyle w:val="Heading2"/>
        <w:keepNext/>
        <w:spacing w:before="240" w:after="80"/>
      </w:pPr>
      <w:r>
        <w:rPr>
          <w:rFonts w:ascii="Calibri" w:hAnsi="Calibri"/>
          <w:b/>
          <w:color w:val="C80000"/>
          <w:sz w:val="26"/>
        </w:rPr>
        <w:t>15.1 Data Model Overview</w:t>
      </w:r>
    </w:p>
    <w:p>
      <w:pPr>
        <w:keepNext w:val="0"/>
        <w:spacing w:before="20" w:after="100"/>
      </w:pPr>
      <w:r>
        <w:rPr>
          <w:rFonts w:ascii="Calibri" w:hAnsi="Calibri"/>
          <w:b w:val="0"/>
          <w:i w:val="0"/>
          <w:color w:val="1A1A1A"/>
          <w:sz w:val="21"/>
          <w:u w:val="none"/>
        </w:rPr>
        <w:t>The database tier encompasses 19 SQLAlchemy ORM models organized across Identity, ITSM Workflow, AI Pipeline, Compliance Audit, SLA Tracking, and Platform Operations domains.</w:t>
      </w:r>
    </w:p>
    <w:p>
      <w:pPr>
        <w:pStyle w:val="Heading2"/>
        <w:keepNext/>
        <w:spacing w:before="240" w:after="80"/>
      </w:pPr>
      <w:r>
        <w:rPr>
          <w:rFonts w:ascii="Calibri" w:hAnsi="Calibri"/>
          <w:b/>
          <w:color w:val="C80000"/>
          <w:sz w:val="26"/>
        </w:rPr>
        <w:t>15.2 Core Entity Relationship Diagram</w:t>
      </w:r>
    </w:p>
    <w:p>
      <w:pPr>
        <w:keepNext w:val="0"/>
        <w:spacing w:before="20" w:after="100"/>
      </w:pPr>
      <w:r>
        <w:rPr>
          <w:rFonts w:ascii="Calibri" w:hAnsi="Calibri"/>
          <w:b w:val="0"/>
          <w:i w:val="0"/>
          <w:color w:val="1A1A1A"/>
          <w:sz w:val="21"/>
          <w:u w:val="none"/>
        </w:rPr>
        <w:t>Primary data models maintain relational integrity across user identities, tickets, approval records, and SLA event histories.</w:t>
      </w:r>
    </w:p>
    <w:p>
      <w:pPr>
        <w:keepNext/>
        <w:spacing w:before="160" w:after="80"/>
        <w:jc w:val="center"/>
      </w:pPr>
      <w:r>
        <w:drawing>
          <wp:inline xmlns:a="http://schemas.openxmlformats.org/drawingml/2006/main" xmlns:pic="http://schemas.openxmlformats.org/drawingml/2006/picture">
            <wp:extent cx="5669280" cy="6000635"/>
            <wp:docPr id="11" name="Picture 11"/>
            <wp:cNvGraphicFramePr>
              <a:graphicFrameLocks noChangeAspect="1"/>
            </wp:cNvGraphicFramePr>
            <a:graphic>
              <a:graphicData uri="http://schemas.openxmlformats.org/drawingml/2006/picture">
                <pic:pic>
                  <pic:nvPicPr>
                    <pic:cNvPr id="0" name="fig_14_1_er_diagram.png"/>
                    <pic:cNvPicPr/>
                  </pic:nvPicPr>
                  <pic:blipFill>
                    <a:blip r:embed="rId19"/>
                    <a:stretch>
                      <a:fillRect/>
                    </a:stretch>
                  </pic:blipFill>
                  <pic:spPr>
                    <a:xfrm>
                      <a:off x="0" y="0"/>
                      <a:ext cx="5669280" cy="6000635"/>
                    </a:xfrm>
                    <a:prstGeom prst="rect"/>
                  </pic:spPr>
                </pic:pic>
              </a:graphicData>
            </a:graphic>
          </wp:inline>
        </w:drawing>
      </w:r>
    </w:p>
    <w:p>
      <w:pPr>
        <w:keepNext w:val="0"/>
        <w:spacing w:before="80" w:after="80"/>
        <w:jc w:val="center"/>
      </w:pPr>
      <w:r>
        <w:rPr>
          <w:rFonts w:ascii="Calibri" w:hAnsi="Calibri"/>
          <w:b w:val="0"/>
          <w:i/>
          <w:color w:val="555555"/>
          <w:sz w:val="18"/>
          <w:u w:val="none"/>
        </w:rPr>
        <w:t>Figure 11 — Core Database Entity Relationship Diagram</w:t>
      </w:r>
    </w:p>
    <w:p>
      <w:pPr>
        <w:keepNext w:val="0"/>
        <w:spacing w:before="40" w:after="240"/>
      </w:pPr>
      <w:r>
        <w:rPr>
          <w:rFonts w:ascii="Calibri" w:hAnsi="Calibri"/>
          <w:b w:val="0"/>
          <w:i/>
          <w:color w:val="333333"/>
          <w:sz w:val="19"/>
          <w:u w:val="none"/>
        </w:rPr>
        <w:t>Figure 11 defines the core entity relationship schema governing the relational database. User records maintain 1-to-many relationships with Ticket entities. Each Ticket tracks historical lifecycle changes across SlaEscalationHistory, SlaAuditEvent, ApprovalHistory, TicketTimeline, and TicketComment tables, while AuditLog and RbacAuditLog maintain unconstrained append-only audit structures.</w:t>
      </w:r>
    </w:p>
    <w:p>
      <w:pPr>
        <w:pStyle w:val="Heading2"/>
        <w:keepNext/>
        <w:spacing w:before="240" w:after="80"/>
      </w:pPr>
      <w:r>
        <w:rPr>
          <w:rFonts w:ascii="Calibri" w:hAnsi="Calibri"/>
          <w:b/>
          <w:color w:val="C80000"/>
          <w:sz w:val="26"/>
        </w:rPr>
        <w:t>15.3 Core Entities Table</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Entity</w:t>
            </w:r>
          </w:p>
        </w:tc>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Table</w:t>
            </w:r>
          </w:p>
        </w:tc>
        <w:tc>
          <w:tcPr>
            <w:shd w:val="clear" w:color="auto" w:fill="1A1A2E"/>
            <w:tcMar>
              <w:top w:w="80" w:type="dxa"/>
              <w:bottom w:w="80" w:type="dxa"/>
              <w:left w:w="120" w:type="dxa"/>
              <w:right w:w="80" w:type="dxa"/>
            </w:tcMar>
            <w:vAlign w:val="center"/>
            <w:tcW w:w="5103" w:type="dxa"/>
          </w:tcPr>
          <w:p>
            <w:pPr>
              <w:spacing w:before="0" w:after="0"/>
            </w:pPr>
            <w:r>
              <w:rPr>
                <w:rFonts w:ascii="Calibri" w:hAnsi="Calibri"/>
                <w:b/>
                <w:i w:val="0"/>
                <w:color w:val="FFFFFF"/>
                <w:sz w:val="19"/>
                <w:u w:val="none"/>
              </w:rPr>
              <w:t>Key Fields</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User</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users</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id, username (UK), role, hashed_password, is_active</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Ticket</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tickets</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ticket_id (UK), category, status, request_type, servicenow_id, servicenow_number, sla_state, approval_status, laps_*</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AuditLog</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audit_logs</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correlation_id, event_type, actor, payload_hash, payload_json, timestamp</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SlaEscalationHistory</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sla_escalation_history</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ticket_id (FK), escalation_level, notified_recipients, escalated_at</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SlaAuditEvent</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sla_audit_events</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ticket_id (FK), event_type, sla_pct, sla_state, event_at</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RbacAuditLog</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rbac_audit_logs</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username, role, action, resource, outcome, correlation_id, timestamp</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ApprovalHistory</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approval_history</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ticket_id (FK), action, performed_by, notes, performed_at</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Conversation</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conversations</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session_id (UK), username, history_json, created_at, updated_at</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KnowledgeDraft</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knowledge_drafts</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title, root_cause, resolution, category, confidence, status, source_ticket_id (FK)</w:t>
            </w:r>
          </w:p>
        </w:tc>
      </w:tr>
    </w:tbl>
    <w:p>
      <w:pPr>
        <w:spacing w:before="80" w:after="0"/>
      </w:pPr>
    </w:p>
    <w:p>
      <w:pPr>
        <w:keepNext w:val="0"/>
        <w:spacing w:before="80" w:after="120"/>
        <w:jc w:val="center"/>
      </w:pPr>
      <w:r>
        <w:rPr>
          <w:rFonts w:ascii="Calibri" w:hAnsi="Calibri"/>
          <w:b w:val="0"/>
          <w:i/>
          <w:color w:val="555555"/>
          <w:sz w:val="18"/>
          <w:u w:val="none"/>
        </w:rPr>
        <w:t>Table 11 — Core Database Entities — Key Fields</w:t>
      </w:r>
    </w:p>
    <w:p>
      <w:pPr>
        <w:pStyle w:val="Heading1"/>
        <w:keepNext/>
        <w:spacing w:before="360" w:after="120"/>
        <w:pBdr>
          <w:bottom w:val="single" w:sz="8" w:space="1" w:color="C80000"/>
        </w:pBdr>
      </w:pPr>
      <w:r>
        <w:rPr>
          <w:rFonts w:ascii="Calibri" w:hAnsi="Calibri"/>
          <w:b/>
          <w:color w:val="1A1A2E"/>
          <w:sz w:val="32"/>
        </w:rPr>
        <w:t>16. API Request Lifecycle</w:t>
      </w:r>
    </w:p>
    <w:p>
      <w:pPr>
        <w:pStyle w:val="Heading2"/>
        <w:keepNext/>
        <w:spacing w:before="240" w:after="80"/>
      </w:pPr>
      <w:r>
        <w:rPr>
          <w:rFonts w:ascii="Calibri" w:hAnsi="Calibri"/>
          <w:b/>
          <w:color w:val="C80000"/>
          <w:sz w:val="26"/>
        </w:rPr>
        <w:t>16.1 End-to-End Chat API Request Lifecycle</w:t>
      </w:r>
    </w:p>
    <w:p>
      <w:pPr>
        <w:keepNext w:val="0"/>
        <w:spacing w:before="20" w:after="100"/>
      </w:pPr>
      <w:r>
        <w:rPr>
          <w:rFonts w:ascii="Calibri" w:hAnsi="Calibri"/>
          <w:b w:val="0"/>
          <w:i w:val="0"/>
          <w:color w:val="1A1A1A"/>
          <w:sz w:val="21"/>
          <w:u w:val="none"/>
        </w:rPr>
        <w:t>Inbound HTTP requests to `/chat` traverse sequential middleware components prior to AI state graph invocation.</w:t>
      </w:r>
    </w:p>
    <w:p>
      <w:pPr>
        <w:keepNext/>
        <w:spacing w:before="160" w:after="80"/>
        <w:jc w:val="center"/>
      </w:pPr>
      <w:r>
        <w:drawing>
          <wp:inline xmlns:a="http://schemas.openxmlformats.org/drawingml/2006/main" xmlns:pic="http://schemas.openxmlformats.org/drawingml/2006/picture">
            <wp:extent cx="5669280" cy="2390906"/>
            <wp:docPr id="12" name="Picture 12"/>
            <wp:cNvGraphicFramePr>
              <a:graphicFrameLocks noChangeAspect="1"/>
            </wp:cNvGraphicFramePr>
            <a:graphic>
              <a:graphicData uri="http://schemas.openxmlformats.org/drawingml/2006/picture">
                <pic:pic>
                  <pic:nvPicPr>
                    <pic:cNvPr id="0" name="fig_15_1_api_lifecycle.png"/>
                    <pic:cNvPicPr/>
                  </pic:nvPicPr>
                  <pic:blipFill>
                    <a:blip r:embed="rId20"/>
                    <a:stretch>
                      <a:fillRect/>
                    </a:stretch>
                  </pic:blipFill>
                  <pic:spPr>
                    <a:xfrm>
                      <a:off x="0" y="0"/>
                      <a:ext cx="5669280" cy="2390906"/>
                    </a:xfrm>
                    <a:prstGeom prst="rect"/>
                  </pic:spPr>
                </pic:pic>
              </a:graphicData>
            </a:graphic>
          </wp:inline>
        </w:drawing>
      </w:r>
    </w:p>
    <w:p>
      <w:pPr>
        <w:keepNext w:val="0"/>
        <w:spacing w:before="80" w:after="80"/>
        <w:jc w:val="center"/>
      </w:pPr>
      <w:r>
        <w:rPr>
          <w:rFonts w:ascii="Calibri" w:hAnsi="Calibri"/>
          <w:b w:val="0"/>
          <w:i/>
          <w:color w:val="555555"/>
          <w:sz w:val="18"/>
          <w:u w:val="none"/>
        </w:rPr>
        <w:t>Figure 12 — Chat Endpoint API Request Lifecycle Sequence</w:t>
      </w:r>
    </w:p>
    <w:p>
      <w:pPr>
        <w:keepNext w:val="0"/>
        <w:spacing w:before="40" w:after="240"/>
      </w:pPr>
      <w:r>
        <w:rPr>
          <w:rFonts w:ascii="Calibri" w:hAnsi="Calibri"/>
          <w:b w:val="0"/>
          <w:i/>
          <w:color w:val="333333"/>
          <w:sz w:val="19"/>
          <w:u w:val="none"/>
        </w:rPr>
        <w:t>Figure 12 traces the multi-layered execution path of an incoming POST `/chat` payload. Request execution begins at Nginx, moving sequentially through RequestSizeLimitMiddleware (&lt;=512 KB), RateLimiter (30 req/min sliding window), JWT Auth &amp; RoleChecker dependencies (EMPLOYEE role verification), and PromptGuard injection scanning. Only payloads successfully clearing all validation gates enter the LangGraph execution engine.</w:t>
      </w:r>
    </w:p>
    <w:p>
      <w:pPr>
        <w:pStyle w:val="Heading2"/>
        <w:keepNext/>
        <w:spacing w:before="240" w:after="80"/>
      </w:pPr>
      <w:r>
        <w:rPr>
          <w:rFonts w:ascii="Calibri" w:hAnsi="Calibri"/>
          <w:b/>
          <w:color w:val="C80000"/>
          <w:sz w:val="26"/>
        </w:rPr>
        <w:t>16.2 Middleware Failure Handling</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268" w:type="dxa"/>
          </w:tcPr>
          <w:p>
            <w:pPr>
              <w:spacing w:before="0" w:after="0"/>
            </w:pPr>
            <w:r>
              <w:rPr>
                <w:rFonts w:ascii="Calibri" w:hAnsi="Calibri"/>
                <w:b/>
                <w:i w:val="0"/>
                <w:color w:val="FFFFFF"/>
                <w:sz w:val="19"/>
                <w:u w:val="none"/>
              </w:rPr>
              <w:t>Layer</w:t>
            </w:r>
          </w:p>
        </w:tc>
        <w:tc>
          <w:tcPr>
            <w:shd w:val="clear" w:color="auto" w:fill="1A1A2E"/>
            <w:tcMar>
              <w:top w:w="80" w:type="dxa"/>
              <w:bottom w:w="80" w:type="dxa"/>
              <w:left w:w="120" w:type="dxa"/>
              <w:right w:w="80" w:type="dxa"/>
            </w:tcMar>
            <w:vAlign w:val="center"/>
            <w:tcW w:w="3118" w:type="dxa"/>
          </w:tcPr>
          <w:p>
            <w:pPr>
              <w:spacing w:before="0" w:after="0"/>
            </w:pPr>
            <w:r>
              <w:rPr>
                <w:rFonts w:ascii="Calibri" w:hAnsi="Calibri"/>
                <w:b/>
                <w:i w:val="0"/>
                <w:color w:val="FFFFFF"/>
                <w:sz w:val="19"/>
                <w:u w:val="none"/>
              </w:rPr>
              <w:t>Failure Response</w:t>
            </w:r>
          </w:p>
        </w:tc>
        <w:tc>
          <w:tcPr>
            <w:shd w:val="clear" w:color="auto" w:fill="1A1A2E"/>
            <w:tcMar>
              <w:top w:w="80" w:type="dxa"/>
              <w:bottom w:w="80" w:type="dxa"/>
              <w:left w:w="120" w:type="dxa"/>
              <w:right w:w="80" w:type="dxa"/>
            </w:tcMar>
            <w:vAlign w:val="center"/>
            <w:tcW w:w="4819" w:type="dxa"/>
          </w:tcPr>
          <w:p>
            <w:pPr>
              <w:spacing w:before="0" w:after="0"/>
            </w:pPr>
            <w:r>
              <w:rPr>
                <w:rFonts w:ascii="Calibri" w:hAnsi="Calibri"/>
                <w:b/>
                <w:i w:val="0"/>
                <w:color w:val="FFFFFF"/>
                <w:sz w:val="19"/>
                <w:u w:val="none"/>
              </w:rPr>
              <w:t>Audit Action</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Request Size Limit</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HTTP 413</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Warning log</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Rate Limiter</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HTTP 429 + Retry-After header</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Warning log</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JWT Auth</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HTTP 401</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SECURITY_UNAUTHORIZED_TOTAL metric incremented</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Role Checker</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HTTP 403</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RBAC audit log entry + SECURITY_PERMISSION_DENIED_TOTAL</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PromptGuard HIGH</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HTTP 400</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ImmutableAuditLog entry with matched pattern</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PromptGuard MEDIUM</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Request sanitised — pipeline continues</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Structured warning log emitted</w:t>
            </w:r>
          </w:p>
        </w:tc>
      </w:tr>
    </w:tbl>
    <w:p>
      <w:pPr>
        <w:spacing w:before="80" w:after="0"/>
      </w:pPr>
    </w:p>
    <w:p>
      <w:pPr>
        <w:keepNext w:val="0"/>
        <w:spacing w:before="80" w:after="120"/>
        <w:jc w:val="center"/>
      </w:pPr>
      <w:r>
        <w:rPr>
          <w:rFonts w:ascii="Calibri" w:hAnsi="Calibri"/>
          <w:b w:val="0"/>
          <w:i/>
          <w:color w:val="555555"/>
          <w:sz w:val="18"/>
          <w:u w:val="none"/>
        </w:rPr>
        <w:t>Table 12 — Middleware Chain Failure Responses</w:t>
      </w:r>
    </w:p>
    <w:p>
      <w:pPr>
        <w:pStyle w:val="Heading2"/>
        <w:keepNext/>
        <w:spacing w:before="240" w:after="80"/>
      </w:pPr>
      <w:r>
        <w:rPr>
          <w:rFonts w:ascii="Calibri" w:hAnsi="Calibri"/>
          <w:b/>
          <w:color w:val="C80000"/>
          <w:sz w:val="26"/>
        </w:rPr>
        <w:t>16.3 Full API Surface</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303"/>
        <w:gridCol w:w="2303"/>
        <w:gridCol w:w="2303"/>
        <w:gridCol w:w="2303"/>
      </w:tblGrid>
      <w:tr>
        <w:tc>
          <w:tcPr>
            <w:shd w:val="clear" w:color="auto" w:fill="1A1A2E"/>
            <w:tcMar>
              <w:top w:w="80" w:type="dxa"/>
              <w:bottom w:w="80" w:type="dxa"/>
              <w:left w:w="120" w:type="dxa"/>
              <w:right w:w="80" w:type="dxa"/>
            </w:tcMar>
            <w:vAlign w:val="center"/>
            <w:tcW w:w="1020" w:type="dxa"/>
          </w:tcPr>
          <w:p>
            <w:pPr>
              <w:spacing w:before="0" w:after="0"/>
            </w:pPr>
            <w:r>
              <w:rPr>
                <w:rFonts w:ascii="Calibri" w:hAnsi="Calibri"/>
                <w:b/>
                <w:i w:val="0"/>
                <w:color w:val="FFFFFF"/>
                <w:sz w:val="19"/>
                <w:u w:val="none"/>
              </w:rPr>
              <w:t>Method</w:t>
            </w:r>
          </w:p>
        </w:tc>
        <w:tc>
          <w:tcPr>
            <w:shd w:val="clear" w:color="auto" w:fill="1A1A2E"/>
            <w:tcMar>
              <w:top w:w="80" w:type="dxa"/>
              <w:bottom w:w="80" w:type="dxa"/>
              <w:left w:w="120" w:type="dxa"/>
              <w:right w:w="80" w:type="dxa"/>
            </w:tcMar>
            <w:vAlign w:val="center"/>
            <w:tcW w:w="3515" w:type="dxa"/>
          </w:tcPr>
          <w:p>
            <w:pPr>
              <w:spacing w:before="0" w:after="0"/>
            </w:pPr>
            <w:r>
              <w:rPr>
                <w:rFonts w:ascii="Calibri" w:hAnsi="Calibri"/>
                <w:b/>
                <w:i w:val="0"/>
                <w:color w:val="FFFFFF"/>
                <w:sz w:val="19"/>
                <w:u w:val="none"/>
              </w:rPr>
              <w:t>Endpoint</w:t>
            </w:r>
          </w:p>
        </w:tc>
        <w:tc>
          <w:tcPr>
            <w:shd w:val="clear" w:color="auto" w:fill="1A1A2E"/>
            <w:tcMar>
              <w:top w:w="80" w:type="dxa"/>
              <w:bottom w:w="80" w:type="dxa"/>
              <w:left w:w="120" w:type="dxa"/>
              <w:right w:w="80" w:type="dxa"/>
            </w:tcMar>
            <w:vAlign w:val="center"/>
            <w:tcW w:w="1984" w:type="dxa"/>
          </w:tcPr>
          <w:p>
            <w:pPr>
              <w:spacing w:before="0" w:after="0"/>
            </w:pPr>
            <w:r>
              <w:rPr>
                <w:rFonts w:ascii="Calibri" w:hAnsi="Calibri"/>
                <w:b/>
                <w:i w:val="0"/>
                <w:color w:val="FFFFFF"/>
                <w:sz w:val="19"/>
                <w:u w:val="none"/>
              </w:rPr>
              <w:t>Role</w:t>
            </w:r>
          </w:p>
        </w:tc>
        <w:tc>
          <w:tcPr>
            <w:shd w:val="clear" w:color="auto" w:fill="1A1A2E"/>
            <w:tcMar>
              <w:top w:w="80" w:type="dxa"/>
              <w:bottom w:w="80" w:type="dxa"/>
              <w:left w:w="120" w:type="dxa"/>
              <w:right w:w="80" w:type="dxa"/>
            </w:tcMar>
            <w:vAlign w:val="center"/>
            <w:tcW w:w="3685" w:type="dxa"/>
          </w:tcPr>
          <w:p>
            <w:pPr>
              <w:spacing w:before="0" w:after="0"/>
            </w:pPr>
            <w:r>
              <w:rPr>
                <w:rFonts w:ascii="Calibri" w:hAnsi="Calibri"/>
                <w:b/>
                <w:i w:val="0"/>
                <w:color w:val="FFFFFF"/>
                <w:sz w:val="19"/>
                <w:u w:val="none"/>
              </w:rPr>
              <w:t>Description</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POST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/auth/login</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Public</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Issue JWT access + refresh tokens</w:t>
            </w:r>
          </w:p>
        </w:tc>
      </w:tr>
      <w:tr>
        <w:tc>
          <w:tcPr>
            <w:shd w:val="clear" w:color="auto" w:fill="F0F4F8"/>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0F4F8"/>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/auth/me</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Authenticated</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Return current user identity and role</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POST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/chat</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EMPLOYEE</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Submit message to AI pipeline</w:t>
            </w:r>
          </w:p>
        </w:tc>
      </w:tr>
      <w:tr>
        <w:tc>
          <w:tcPr>
            <w:shd w:val="clear" w:color="auto" w:fill="F0F4F8"/>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0F4F8"/>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/my-tickets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EMPLOYEE</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List user's own tickets</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/tickets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 MANAGER</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List all tickets</w:t>
            </w:r>
          </w:p>
        </w:tc>
      </w:tr>
      <w:tr>
        <w:tc>
          <w:tcPr>
            <w:shd w:val="clear" w:color="auto" w:fill="F0F4F8"/>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0F4F8"/>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/tickets/{id}</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 MANAGER</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Get full ticket detail</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PUT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/tickets/{id}/status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Update ticket status</w:t>
            </w:r>
          </w:p>
        </w:tc>
      </w:tr>
      <w:tr>
        <w:tc>
          <w:tcPr>
            <w:shd w:val="clear" w:color="auto" w:fill="F0F4F8"/>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0F4F8"/>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/manager/tickets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MANAGER, ADMIN</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Pending approval queue</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POST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/manager/tickets/{id}/approve</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MANAGER</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Approve privileged request</w:t>
            </w:r>
          </w:p>
        </w:tc>
      </w:tr>
      <w:tr>
        <w:tc>
          <w:tcPr>
            <w:shd w:val="clear" w:color="auto" w:fill="F0F4F8"/>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POST</w:t>
            </w:r>
          </w:p>
        </w:tc>
        <w:tc>
          <w:tcPr>
            <w:shd w:val="clear" w:color="auto" w:fill="F0F4F8"/>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/manager/tickets/{id}/reject</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MANAGER</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Reject privileged request</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/admin/queue</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Admin action queue</w:t>
            </w:r>
          </w:p>
        </w:tc>
      </w:tr>
      <w:tr>
        <w:tc>
          <w:tcPr>
            <w:shd w:val="clear" w:color="auto" w:fill="F0F4F8"/>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POST</w:t>
            </w:r>
          </w:p>
        </w:tc>
        <w:tc>
          <w:tcPr>
            <w:shd w:val="clear" w:color="auto" w:fill="F0F4F8"/>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/admin/tickets/{id}/grant-access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Grant temporary admin access (LAPS)</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POST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/admin/tickets/{id}/complete</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Mark ticket complete</w:t>
            </w:r>
          </w:p>
        </w:tc>
      </w:tr>
      <w:tr>
        <w:tc>
          <w:tcPr>
            <w:shd w:val="clear" w:color="auto" w:fill="F0F4F8"/>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0F4F8"/>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/analytics/*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 MANAGER</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Analytics and reporting endpoints</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/knowledge/*</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ADMIN</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Knowledge base management</w:t>
            </w:r>
          </w:p>
        </w:tc>
      </w:tr>
      <w:tr>
        <w:tc>
          <w:tcPr>
            <w:shd w:val="clear" w:color="auto" w:fill="F0F4F8"/>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0F4F8"/>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/health</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Public</w:t>
            </w:r>
          </w:p>
        </w:tc>
        <w:tc>
          <w:tcPr>
            <w:shd w:val="clear" w:color="auto" w:fill="F0F4F8"/>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Liveness probe</w:t>
            </w:r>
          </w:p>
        </w:tc>
      </w:tr>
      <w:tr>
        <w:tc>
          <w:tcPr>
            <w:shd w:val="clear" w:color="auto" w:fill="FFFFFF"/>
            <w:tcMar>
              <w:top w:w="70" w:type="dxa"/>
              <w:bottom w:w="70" w:type="dxa"/>
              <w:left w:w="120" w:type="dxa"/>
              <w:right w:w="80" w:type="dxa"/>
            </w:tcMar>
            <w:vAlign w:val="top"/>
            <w:tcW w:w="1020" w:type="dxa"/>
          </w:tcPr>
          <w:p>
            <w:pPr>
              <w:spacing w:before="0" w:after="0"/>
            </w:pPr>
            <w:r>
              <w:rPr>
                <w:rFonts w:ascii="Calibri" w:hAnsi="Calibri"/>
                <w:b w:val="0"/>
                <w:i w:val="0"/>
                <w:color w:val="1A1A1A"/>
                <w:sz w:val="19"/>
                <w:u w:val="none"/>
              </w:rPr>
              <w:t>GET</w:t>
            </w:r>
          </w:p>
        </w:tc>
        <w:tc>
          <w:tcPr>
            <w:shd w:val="clear" w:color="auto" w:fill="FFFFFF"/>
            <w:tcMar>
              <w:top w:w="70" w:type="dxa"/>
              <w:bottom w:w="70" w:type="dxa"/>
              <w:left w:w="120" w:type="dxa"/>
              <w:right w:w="80" w:type="dxa"/>
            </w:tcMar>
            <w:vAlign w:val="top"/>
            <w:tcW w:w="3515" w:type="dxa"/>
          </w:tcPr>
          <w:p>
            <w:pPr>
              <w:spacing w:before="0" w:after="0"/>
            </w:pPr>
            <w:r>
              <w:rPr>
                <w:rFonts w:ascii="Calibri" w:hAnsi="Calibri"/>
                <w:b w:val="0"/>
                <w:i w:val="0"/>
                <w:color w:val="1A1A1A"/>
                <w:sz w:val="19"/>
                <w:u w:val="none"/>
              </w:rPr>
              <w:t>/metrics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Internal</w:t>
            </w:r>
          </w:p>
        </w:tc>
        <w:tc>
          <w:tcPr>
            <w:shd w:val="clear" w:color="auto" w:fill="FFFFFF"/>
            <w:tcMar>
              <w:top w:w="70" w:type="dxa"/>
              <w:bottom w:w="70" w:type="dxa"/>
              <w:left w:w="120" w:type="dxa"/>
              <w:right w:w="80" w:type="dxa"/>
            </w:tcMar>
            <w:vAlign w:val="top"/>
            <w:tcW w:w="3685" w:type="dxa"/>
          </w:tcPr>
          <w:p>
            <w:pPr>
              <w:spacing w:before="0" w:after="0"/>
            </w:pPr>
            <w:r>
              <w:rPr>
                <w:rFonts w:ascii="Calibri" w:hAnsi="Calibri"/>
                <w:b w:val="0"/>
                <w:i w:val="0"/>
                <w:color w:val="1A1A1A"/>
                <w:sz w:val="19"/>
                <w:u w:val="none"/>
              </w:rPr>
              <w:t>Prometheus metrics scrape endpoint</w:t>
            </w:r>
          </w:p>
        </w:tc>
      </w:tr>
    </w:tbl>
    <w:p>
      <w:pPr>
        <w:spacing w:before="80" w:after="0"/>
      </w:pPr>
    </w:p>
    <w:p>
      <w:pPr>
        <w:keepNext w:val="0"/>
        <w:spacing w:before="80" w:after="120"/>
        <w:jc w:val="center"/>
      </w:pPr>
      <w:r>
        <w:rPr>
          <w:rFonts w:ascii="Calibri" w:hAnsi="Calibri"/>
          <w:b w:val="0"/>
          <w:i/>
          <w:color w:val="555555"/>
          <w:sz w:val="18"/>
          <w:u w:val="none"/>
        </w:rPr>
        <w:t>Table 13 — Full API Surface</w:t>
      </w:r>
    </w:p>
    <w:p>
      <w:pPr>
        <w:pStyle w:val="Heading1"/>
        <w:keepNext/>
        <w:spacing w:before="360" w:after="120"/>
        <w:pBdr>
          <w:bottom w:val="single" w:sz="8" w:space="1" w:color="C80000"/>
        </w:pBdr>
      </w:pPr>
      <w:r>
        <w:rPr>
          <w:rFonts w:ascii="Calibri" w:hAnsi="Calibri"/>
          <w:b/>
          <w:color w:val="1A1A2E"/>
          <w:sz w:val="32"/>
        </w:rPr>
        <w:t>17. Deployment Architecture</w:t>
      </w:r>
    </w:p>
    <w:p>
      <w:pPr>
        <w:pStyle w:val="Heading2"/>
        <w:keepNext/>
        <w:spacing w:before="240" w:after="80"/>
      </w:pPr>
      <w:r>
        <w:rPr>
          <w:rFonts w:ascii="Calibri" w:hAnsi="Calibri"/>
          <w:b/>
          <w:color w:val="C80000"/>
          <w:sz w:val="26"/>
        </w:rPr>
        <w:t>17.1 Production Docker Topology</w:t>
      </w:r>
    </w:p>
    <w:p>
      <w:pPr>
        <w:keepNext w:val="0"/>
        <w:spacing w:before="20" w:after="100"/>
      </w:pPr>
      <w:r>
        <w:rPr>
          <w:rFonts w:ascii="Calibri" w:hAnsi="Calibri"/>
          <w:b w:val="0"/>
          <w:i w:val="0"/>
          <w:color w:val="1A1A1A"/>
          <w:sz w:val="21"/>
          <w:u w:val="none"/>
        </w:rPr>
        <w:t>Production deployment utilizes Docker Compose with isolated container networks, persistent named volumes, and container health check dependencies.</w:t>
      </w:r>
    </w:p>
    <w:p>
      <w:pPr>
        <w:keepNext/>
        <w:spacing w:before="160" w:after="80"/>
        <w:jc w:val="center"/>
      </w:pPr>
      <w:r>
        <w:drawing>
          <wp:inline xmlns:a="http://schemas.openxmlformats.org/drawingml/2006/main" xmlns:pic="http://schemas.openxmlformats.org/drawingml/2006/picture">
            <wp:extent cx="5669280" cy="7419488"/>
            <wp:docPr id="13" name="Picture 13"/>
            <wp:cNvGraphicFramePr>
              <a:graphicFrameLocks noChangeAspect="1"/>
            </wp:cNvGraphicFramePr>
            <a:graphic>
              <a:graphicData uri="http://schemas.openxmlformats.org/drawingml/2006/picture">
                <pic:pic>
                  <pic:nvPicPr>
                    <pic:cNvPr id="0" name="fig_16_1_deployment_topology.png"/>
                    <pic:cNvPicPr/>
                  </pic:nvPicPr>
                  <pic:blipFill>
                    <a:blip r:embed="rId21"/>
                    <a:stretch>
                      <a:fillRect/>
                    </a:stretch>
                  </pic:blipFill>
                  <pic:spPr>
                    <a:xfrm>
                      <a:off x="0" y="0"/>
                      <a:ext cx="5669280" cy="7419488"/>
                    </a:xfrm>
                    <a:prstGeom prst="rect"/>
                  </pic:spPr>
                </pic:pic>
              </a:graphicData>
            </a:graphic>
          </wp:inline>
        </w:drawing>
      </w:r>
    </w:p>
    <w:p>
      <w:pPr>
        <w:keepNext w:val="0"/>
        <w:spacing w:before="80" w:after="80"/>
        <w:jc w:val="center"/>
      </w:pPr>
      <w:r>
        <w:rPr>
          <w:rFonts w:ascii="Calibri" w:hAnsi="Calibri"/>
          <w:b w:val="0"/>
          <w:i/>
          <w:color w:val="555555"/>
          <w:sz w:val="18"/>
          <w:u w:val="none"/>
        </w:rPr>
        <w:t>Figure 13 — Docker Compose Production Deployment Topology</w:t>
      </w:r>
    </w:p>
    <w:p>
      <w:pPr>
        <w:keepNext w:val="0"/>
        <w:spacing w:before="40" w:after="240"/>
      </w:pPr>
      <w:r>
        <w:rPr>
          <w:rFonts w:ascii="Calibri" w:hAnsi="Calibri"/>
          <w:b w:val="0"/>
          <w:i/>
          <w:color w:val="333333"/>
          <w:sz w:val="19"/>
          <w:u w:val="none"/>
        </w:rPr>
        <w:t>Figure 13 illustrates the containerized service composition operating within the isolated `bridgestone-network` bridge. Nginx acts as the single external gateway exposing ports 80 and 443. Next.js frontend and FastAPI backend containers communicate over internal ports, depending on PostgreSQL and Redis health checks before accepting incoming connections.</w:t>
      </w:r>
    </w:p>
    <w:p>
      <w:pPr>
        <w:pStyle w:val="Heading2"/>
        <w:keepNext/>
        <w:spacing w:before="240" w:after="80"/>
      </w:pPr>
      <w:r>
        <w:rPr>
          <w:rFonts w:ascii="Calibri" w:hAnsi="Calibri"/>
          <w:b/>
          <w:color w:val="C80000"/>
          <w:sz w:val="26"/>
        </w:rPr>
        <w:t>17.2 Environment Matrix</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1843"/>
        <w:gridCol w:w="1843"/>
        <w:gridCol w:w="1843"/>
        <w:gridCol w:w="1843"/>
        <w:gridCol w:w="1843"/>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Environment</w:t>
            </w:r>
          </w:p>
        </w:tc>
        <w:tc>
          <w:tcPr>
            <w:shd w:val="clear" w:color="auto" w:fill="1A1A2E"/>
            <w:tcMar>
              <w:top w:w="80" w:type="dxa"/>
              <w:bottom w:w="80" w:type="dxa"/>
              <w:left w:w="120" w:type="dxa"/>
              <w:right w:w="80" w:type="dxa"/>
            </w:tcMar>
            <w:vAlign w:val="center"/>
            <w:tcW w:w="3118" w:type="dxa"/>
          </w:tcPr>
          <w:p>
            <w:pPr>
              <w:spacing w:before="0" w:after="0"/>
            </w:pPr>
            <w:r>
              <w:rPr>
                <w:rFonts w:ascii="Calibri" w:hAnsi="Calibri"/>
                <w:b/>
                <w:i w:val="0"/>
                <w:color w:val="FFFFFF"/>
                <w:sz w:val="19"/>
                <w:u w:val="none"/>
              </w:rPr>
              <w:t>Database</w:t>
            </w:r>
          </w:p>
        </w:tc>
        <w:tc>
          <w:tcPr>
            <w:shd w:val="clear" w:color="auto" w:fill="1A1A2E"/>
            <w:tcMar>
              <w:top w:w="80" w:type="dxa"/>
              <w:bottom w:w="80" w:type="dxa"/>
              <w:left w:w="120" w:type="dxa"/>
              <w:right w:w="80" w:type="dxa"/>
            </w:tcMar>
            <w:vAlign w:val="center"/>
            <w:tcW w:w="1587" w:type="dxa"/>
          </w:tcPr>
          <w:p>
            <w:pPr>
              <w:spacing w:before="0" w:after="0"/>
            </w:pPr>
            <w:r>
              <w:rPr>
                <w:rFonts w:ascii="Calibri" w:hAnsi="Calibri"/>
                <w:b/>
                <w:i w:val="0"/>
                <w:color w:val="FFFFFF"/>
                <w:sz w:val="19"/>
                <w:u w:val="none"/>
              </w:rPr>
              <w:t>ServiceNow</w:t>
            </w:r>
          </w:p>
        </w:tc>
        <w:tc>
          <w:tcPr>
            <w:shd w:val="clear" w:color="auto" w:fill="1A1A2E"/>
            <w:tcMar>
              <w:top w:w="80" w:type="dxa"/>
              <w:bottom w:w="80" w:type="dxa"/>
              <w:left w:w="120" w:type="dxa"/>
              <w:right w:w="80" w:type="dxa"/>
            </w:tcMar>
            <w:vAlign w:val="center"/>
            <w:tcW w:w="1587" w:type="dxa"/>
          </w:tcPr>
          <w:p>
            <w:pPr>
              <w:spacing w:before="0" w:after="0"/>
            </w:pPr>
            <w:r>
              <w:rPr>
                <w:rFonts w:ascii="Calibri" w:hAnsi="Calibri"/>
                <w:b/>
                <w:i w:val="0"/>
                <w:color w:val="FFFFFF"/>
                <w:sz w:val="19"/>
                <w:u w:val="none"/>
              </w:rPr>
              <w:t>Graph / AD</w:t>
            </w:r>
          </w:p>
        </w:tc>
        <w:tc>
          <w:tcPr>
            <w:shd w:val="clear" w:color="auto" w:fill="1A1A2E"/>
            <w:tcMar>
              <w:top w:w="80" w:type="dxa"/>
              <w:bottom w:w="80" w:type="dxa"/>
              <w:left w:w="120" w:type="dxa"/>
              <w:right w:w="80" w:type="dxa"/>
            </w:tcMar>
            <w:vAlign w:val="center"/>
            <w:tcW w:w="2494" w:type="dxa"/>
          </w:tcPr>
          <w:p>
            <w:pPr>
              <w:spacing w:before="0" w:after="0"/>
            </w:pPr>
            <w:r>
              <w:rPr>
                <w:rFonts w:ascii="Calibri" w:hAnsi="Calibri"/>
                <w:b/>
                <w:i w:val="0"/>
                <w:color w:val="FFFFFF"/>
                <w:sz w:val="19"/>
                <w:u w:val="none"/>
              </w:rPr>
              <w:t>Compose File</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Development</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SQLite (local)</w:t>
            </w:r>
          </w:p>
        </w:tc>
        <w:tc>
          <w:tcPr>
            <w:shd w:val="clear" w:color="auto" w:fill="FFFFFF"/>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Mock</w:t>
            </w:r>
          </w:p>
        </w:tc>
        <w:tc>
          <w:tcPr>
            <w:shd w:val="clear" w:color="auto" w:fill="FFFFFF"/>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Mock</w:t>
            </w:r>
          </w:p>
        </w:tc>
        <w:tc>
          <w:tcPr>
            <w:shd w:val="clear" w:color="auto" w:fill="FFFFFF"/>
            <w:tcMar>
              <w:top w:w="70" w:type="dxa"/>
              <w:bottom w:w="70" w:type="dxa"/>
              <w:left w:w="120" w:type="dxa"/>
              <w:right w:w="80" w:type="dxa"/>
            </w:tcMar>
            <w:vAlign w:val="top"/>
            <w:tcW w:w="2494" w:type="dxa"/>
          </w:tcPr>
          <w:p>
            <w:pPr>
              <w:spacing w:before="0" w:after="0"/>
            </w:pPr>
            <w:r>
              <w:rPr>
                <w:rFonts w:ascii="Calibri" w:hAnsi="Calibri"/>
                <w:b w:val="0"/>
                <w:i w:val="0"/>
                <w:color w:val="1A1A1A"/>
                <w:sz w:val="19"/>
                <w:u w:val="none"/>
              </w:rPr>
              <w:t>docker-compose.dev.yml</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QA</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PostgreSQL (container)</w:t>
            </w:r>
          </w:p>
        </w:tc>
        <w:tc>
          <w:tcPr>
            <w:shd w:val="clear" w:color="auto" w:fill="F0F4F8"/>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Mock</w:t>
            </w:r>
          </w:p>
        </w:tc>
        <w:tc>
          <w:tcPr>
            <w:shd w:val="clear" w:color="auto" w:fill="F0F4F8"/>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Mock</w:t>
            </w:r>
          </w:p>
        </w:tc>
        <w:tc>
          <w:tcPr>
            <w:shd w:val="clear" w:color="auto" w:fill="F0F4F8"/>
            <w:tcMar>
              <w:top w:w="70" w:type="dxa"/>
              <w:bottom w:w="70" w:type="dxa"/>
              <w:left w:w="120" w:type="dxa"/>
              <w:right w:w="80" w:type="dxa"/>
            </w:tcMar>
            <w:vAlign w:val="top"/>
            <w:tcW w:w="2494" w:type="dxa"/>
          </w:tcPr>
          <w:p>
            <w:pPr>
              <w:spacing w:before="0" w:after="0"/>
            </w:pPr>
            <w:r>
              <w:rPr>
                <w:rFonts w:ascii="Calibri" w:hAnsi="Calibri"/>
                <w:b w:val="0"/>
                <w:i w:val="0"/>
                <w:color w:val="1A1A1A"/>
                <w:sz w:val="19"/>
                <w:u w:val="none"/>
              </w:rPr>
              <w:t>docker-compose.qa.yml</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Backend-only</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SQLite (local)</w:t>
            </w:r>
          </w:p>
        </w:tc>
        <w:tc>
          <w:tcPr>
            <w:shd w:val="clear" w:color="auto" w:fill="FFFFFF"/>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Mock</w:t>
            </w:r>
          </w:p>
        </w:tc>
        <w:tc>
          <w:tcPr>
            <w:shd w:val="clear" w:color="auto" w:fill="FFFFFF"/>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Mock</w:t>
            </w:r>
          </w:p>
        </w:tc>
        <w:tc>
          <w:tcPr>
            <w:shd w:val="clear" w:color="auto" w:fill="FFFFFF"/>
            <w:tcMar>
              <w:top w:w="70" w:type="dxa"/>
              <w:bottom w:w="70" w:type="dxa"/>
              <w:left w:w="120" w:type="dxa"/>
              <w:right w:w="80" w:type="dxa"/>
            </w:tcMar>
            <w:vAlign w:val="top"/>
            <w:tcW w:w="2494" w:type="dxa"/>
          </w:tcPr>
          <w:p>
            <w:pPr>
              <w:spacing w:before="0" w:after="0"/>
            </w:pPr>
            <w:r>
              <w:rPr>
                <w:rFonts w:ascii="Calibri" w:hAnsi="Calibri"/>
                <w:b w:val="0"/>
                <w:i w:val="0"/>
                <w:color w:val="1A1A1A"/>
                <w:sz w:val="19"/>
                <w:u w:val="none"/>
              </w:rPr>
              <w:t>docker-compose.backend-only.yml</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Production</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PostgreSQL (container, persistent volume)</w:t>
            </w:r>
          </w:p>
        </w:tc>
        <w:tc>
          <w:tcPr>
            <w:shd w:val="clear" w:color="auto" w:fill="F0F4F8"/>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Live</w:t>
            </w:r>
          </w:p>
        </w:tc>
        <w:tc>
          <w:tcPr>
            <w:shd w:val="clear" w:color="auto" w:fill="F0F4F8"/>
            <w:tcMar>
              <w:top w:w="70" w:type="dxa"/>
              <w:bottom w:w="70" w:type="dxa"/>
              <w:left w:w="120" w:type="dxa"/>
              <w:right w:w="80" w:type="dxa"/>
            </w:tcMar>
            <w:vAlign w:val="top"/>
            <w:tcW w:w="1587" w:type="dxa"/>
          </w:tcPr>
          <w:p>
            <w:pPr>
              <w:spacing w:before="0" w:after="0"/>
            </w:pPr>
            <w:r>
              <w:rPr>
                <w:rFonts w:ascii="Calibri" w:hAnsi="Calibri"/>
                <w:b w:val="0"/>
                <w:i w:val="0"/>
                <w:color w:val="1A1A1A"/>
                <w:sz w:val="19"/>
                <w:u w:val="none"/>
              </w:rPr>
              <w:t>Live</w:t>
            </w:r>
          </w:p>
        </w:tc>
        <w:tc>
          <w:tcPr>
            <w:shd w:val="clear" w:color="auto" w:fill="F0F4F8"/>
            <w:tcMar>
              <w:top w:w="70" w:type="dxa"/>
              <w:bottom w:w="70" w:type="dxa"/>
              <w:left w:w="120" w:type="dxa"/>
              <w:right w:w="80" w:type="dxa"/>
            </w:tcMar>
            <w:vAlign w:val="top"/>
            <w:tcW w:w="2494" w:type="dxa"/>
          </w:tcPr>
          <w:p>
            <w:pPr>
              <w:spacing w:before="0" w:after="0"/>
            </w:pPr>
            <w:r>
              <w:rPr>
                <w:rFonts w:ascii="Calibri" w:hAnsi="Calibri"/>
                <w:b w:val="0"/>
                <w:i w:val="0"/>
                <w:color w:val="1A1A1A"/>
                <w:sz w:val="19"/>
                <w:u w:val="none"/>
              </w:rPr>
              <w:t>docker-compose.prod.yml</w:t>
            </w:r>
          </w:p>
        </w:tc>
      </w:tr>
    </w:tbl>
    <w:p>
      <w:pPr>
        <w:spacing w:before="80" w:after="0"/>
      </w:pPr>
    </w:p>
    <w:p>
      <w:pPr>
        <w:keepNext w:val="0"/>
        <w:spacing w:before="80" w:after="120"/>
        <w:jc w:val="center"/>
      </w:pPr>
      <w:r>
        <w:rPr>
          <w:rFonts w:ascii="Calibri" w:hAnsi="Calibri"/>
          <w:b w:val="0"/>
          <w:i/>
          <w:color w:val="555555"/>
          <w:sz w:val="18"/>
          <w:u w:val="none"/>
        </w:rPr>
        <w:t>Table 14 — Environment Matrix</w:t>
      </w:r>
    </w:p>
    <w:p>
      <w:pPr>
        <w:pStyle w:val="Heading1"/>
        <w:keepNext/>
        <w:spacing w:before="360" w:after="120"/>
        <w:pBdr>
          <w:bottom w:val="single" w:sz="8" w:space="1" w:color="C80000"/>
        </w:pBdr>
      </w:pPr>
      <w:r>
        <w:rPr>
          <w:rFonts w:ascii="Calibri" w:hAnsi="Calibri"/>
          <w:b/>
          <w:color w:val="1A1A2E"/>
          <w:sz w:val="32"/>
        </w:rPr>
        <w:t>18. Monitoring &amp; Observability Architecture</w:t>
      </w:r>
    </w:p>
    <w:p>
      <w:pPr>
        <w:pStyle w:val="Heading2"/>
        <w:keepNext/>
        <w:spacing w:before="240" w:after="80"/>
      </w:pPr>
      <w:r>
        <w:rPr>
          <w:rFonts w:ascii="Calibri" w:hAnsi="Calibri"/>
          <w:b/>
          <w:color w:val="C80000"/>
          <w:sz w:val="26"/>
        </w:rPr>
        <w:t>18.1 Observability Architecture &amp; Metrics</w:t>
      </w:r>
    </w:p>
    <w:p>
      <w:pPr>
        <w:keepNext w:val="0"/>
        <w:spacing w:before="20" w:after="100"/>
      </w:pPr>
      <w:r>
        <w:rPr>
          <w:rFonts w:ascii="Calibri" w:hAnsi="Calibri"/>
          <w:b w:val="0"/>
          <w:i w:val="0"/>
          <w:color w:val="1A1A1A"/>
          <w:sz w:val="21"/>
          <w:u w:val="none"/>
        </w:rPr>
        <w:t>The observability framework integrates Prometheus metric scraping (`/metrics`), Grafana dashboards, structured JSON logging, and OpenTelemetry-compatible tracing spans.</w:t>
      </w:r>
    </w:p>
    <w:p>
      <w:pPr>
        <w:pStyle w:val="Heading2"/>
        <w:keepNext/>
        <w:spacing w:before="240" w:after="80"/>
      </w:pPr>
      <w:r>
        <w:rPr>
          <w:rFonts w:ascii="Calibri" w:hAnsi="Calibri"/>
          <w:b/>
          <w:color w:val="C80000"/>
          <w:sz w:val="26"/>
        </w:rPr>
        <w:t>18.2 Prometheus Metric Categories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984" w:type="dxa"/>
          </w:tcPr>
          <w:p>
            <w:pPr>
              <w:spacing w:before="0" w:after="0"/>
            </w:pPr>
            <w:r>
              <w:rPr>
                <w:rFonts w:ascii="Calibri" w:hAnsi="Calibri"/>
                <w:b/>
                <w:i w:val="0"/>
                <w:color w:val="FFFFFF"/>
                <w:sz w:val="19"/>
                <w:u w:val="none"/>
              </w:rPr>
              <w:t>Category</w:t>
            </w:r>
          </w:p>
        </w:tc>
        <w:tc>
          <w:tcPr>
            <w:shd w:val="clear" w:color="auto" w:fill="1A1A2E"/>
            <w:tcMar>
              <w:top w:w="80" w:type="dxa"/>
              <w:bottom w:w="80" w:type="dxa"/>
              <w:left w:w="120" w:type="dxa"/>
              <w:right w:w="80" w:type="dxa"/>
            </w:tcMar>
            <w:vAlign w:val="center"/>
            <w:tcW w:w="8221" w:type="dxa"/>
          </w:tcPr>
          <w:p>
            <w:pPr>
              <w:spacing w:before="0" w:after="0"/>
            </w:pPr>
            <w:r>
              <w:rPr>
                <w:rFonts w:ascii="Calibri" w:hAnsi="Calibri"/>
                <w:b/>
                <w:i w:val="0"/>
                <w:color w:val="FFFFFF"/>
                <w:sz w:val="19"/>
                <w:u w:val="none"/>
              </w:rPr>
              <w:t>Key Metrics</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HTTP</w:t>
            </w:r>
          </w:p>
        </w:tc>
        <w:tc>
          <w:tcPr>
            <w:shd w:val="clear" w:color="auto" w:fill="FFFFFF"/>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http_requests_total, http_failures_total, http_request_duration_seconds</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Security</w:t>
            </w:r>
          </w:p>
        </w:tc>
        <w:tc>
          <w:tcPr>
            <w:shd w:val="clear" w:color="auto" w:fill="F0F4F8"/>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security_logins_total, security_failed_logins_total, security_permission_denied_total, security_jwt_expired_total</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LLM</w:t>
            </w:r>
          </w:p>
        </w:tc>
        <w:tc>
          <w:tcPr>
            <w:shd w:val="clear" w:color="auto" w:fill="FFFFFF"/>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llm_requests_total, llm_success_total, llm_failure_total, llm_latency_seconds</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AI Agent</w:t>
            </w:r>
          </w:p>
        </w:tc>
        <w:tc>
          <w:tcPr>
            <w:shd w:val="clear" w:color="auto" w:fill="F0F4F8"/>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agent_execution_duration_seconds  [label: agent_name]</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Pipeline</w:t>
            </w:r>
          </w:p>
        </w:tc>
        <w:tc>
          <w:tcPr>
            <w:shd w:val="clear" w:color="auto" w:fill="FFFFFF"/>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pipeline_span_duration_seconds  [labels: service, provider, status]</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Database</w:t>
            </w:r>
          </w:p>
        </w:tc>
        <w:tc>
          <w:tcPr>
            <w:shd w:val="clear" w:color="auto" w:fill="F0F4F8"/>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db_connections_active</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SLA</w:t>
            </w:r>
          </w:p>
        </w:tc>
        <w:tc>
          <w:tcPr>
            <w:shd w:val="clear" w:color="auto" w:fill="FFFFFF"/>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sla_escalation_total, sla_breaches_total</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ServiceNow</w:t>
            </w:r>
          </w:p>
        </w:tc>
        <w:tc>
          <w:tcPr>
            <w:shd w:val="clear" w:color="auto" w:fill="F0F4F8"/>
            <w:tcMar>
              <w:top w:w="70" w:type="dxa"/>
              <w:bottom w:w="70" w:type="dxa"/>
              <w:left w:w="120" w:type="dxa"/>
              <w:right w:w="80" w:type="dxa"/>
            </w:tcMar>
            <w:vAlign w:val="top"/>
            <w:tcW w:w="8221" w:type="dxa"/>
          </w:tcPr>
          <w:p>
            <w:pPr>
              <w:spacing w:before="0" w:after="0"/>
            </w:pPr>
            <w:r>
              <w:rPr>
                <w:rFonts w:ascii="Calibri" w:hAnsi="Calibri"/>
                <w:b w:val="0"/>
                <w:i w:val="0"/>
                <w:color w:val="1A1A1A"/>
                <w:sz w:val="19"/>
                <w:u w:val="none"/>
              </w:rPr>
              <w:t>servicenow_api_calls_total, servicenow_api_errors_total</w:t>
            </w:r>
          </w:p>
        </w:tc>
      </w:tr>
    </w:tbl>
    <w:p>
      <w:pPr>
        <w:spacing w:before="80" w:after="0"/>
      </w:pPr>
    </w:p>
    <w:p>
      <w:pPr>
        <w:keepNext w:val="0"/>
        <w:spacing w:before="80" w:after="120"/>
        <w:jc w:val="center"/>
      </w:pPr>
      <w:r>
        <w:rPr>
          <w:rFonts w:ascii="Calibri" w:hAnsi="Calibri"/>
          <w:b w:val="0"/>
          <w:i/>
          <w:color w:val="555555"/>
          <w:sz w:val="18"/>
          <w:u w:val="none"/>
        </w:rPr>
        <w:t>Table 15 — Prometheus Metric Categories</w:t>
      </w:r>
    </w:p>
    <w:p>
      <w:pPr>
        <w:pStyle w:val="Heading2"/>
        <w:keepNext/>
        <w:spacing w:before="240" w:after="80"/>
      </w:pPr>
      <w:r>
        <w:rPr>
          <w:rFonts w:ascii="Calibri" w:hAnsi="Calibri"/>
          <w:b/>
          <w:color w:val="C80000"/>
          <w:sz w:val="26"/>
        </w:rPr>
        <w:t>18.3 Background Jobs &amp; APScheduler</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268" w:type="dxa"/>
          </w:tcPr>
          <w:p>
            <w:pPr>
              <w:spacing w:before="0" w:after="0"/>
            </w:pPr>
            <w:r>
              <w:rPr>
                <w:rFonts w:ascii="Calibri" w:hAnsi="Calibri"/>
                <w:b/>
                <w:i w:val="0"/>
                <w:color w:val="FFFFFF"/>
                <w:sz w:val="19"/>
                <w:u w:val="none"/>
              </w:rPr>
              <w:t>Job</w:t>
            </w:r>
          </w:p>
        </w:tc>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Schedule</w:t>
            </w:r>
          </w:p>
        </w:tc>
        <w:tc>
          <w:tcPr>
            <w:shd w:val="clear" w:color="auto" w:fill="1A1A2E"/>
            <w:tcMar>
              <w:top w:w="80" w:type="dxa"/>
              <w:bottom w:w="80" w:type="dxa"/>
              <w:left w:w="120" w:type="dxa"/>
              <w:right w:w="80" w:type="dxa"/>
            </w:tcMar>
            <w:vAlign w:val="center"/>
            <w:tcW w:w="5386" w:type="dxa"/>
          </w:tcPr>
          <w:p>
            <w:pPr>
              <w:spacing w:before="0" w:after="0"/>
            </w:pPr>
            <w:r>
              <w:rPr>
                <w:rFonts w:ascii="Calibri" w:hAnsi="Calibri"/>
                <w:b/>
                <w:i w:val="0"/>
                <w:color w:val="FFFFFF"/>
                <w:sz w:val="19"/>
                <w:u w:val="none"/>
              </w:rPr>
              <w:t>Responsibility</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sla_monitor_job</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Every 60 seconds</w:t>
            </w:r>
          </w:p>
        </w:tc>
        <w:tc>
          <w:tcPr>
            <w:shd w:val="clear" w:color="auto" w:fill="FFFFFF"/>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Evaluate open tickets against SLA thresholds; transition SLA state machine</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notification_job</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Every 30 seconds</w:t>
            </w:r>
          </w:p>
        </w:tc>
        <w:tc>
          <w:tcPr>
            <w:shd w:val="clear" w:color="auto" w:fill="F0F4F8"/>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Dispatch pending notifications to recipients</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auto_close_job</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Every 60 seconds</w:t>
            </w:r>
          </w:p>
        </w:tc>
        <w:tc>
          <w:tcPr>
            <w:shd w:val="clear" w:color="auto" w:fill="FFFFFF"/>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Auto-close tickets in PENDING state beyond hold period</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cleanup_job</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Daily at midnight (0 0 * * *)</w:t>
            </w:r>
          </w:p>
        </w:tc>
        <w:tc>
          <w:tcPr>
            <w:shd w:val="clear" w:color="auto" w:fill="F0F4F8"/>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Purge expired sessions and stale temporary records</w:t>
            </w:r>
          </w:p>
        </w:tc>
      </w:tr>
    </w:tbl>
    <w:p>
      <w:pPr>
        <w:spacing w:before="80" w:after="0"/>
      </w:pPr>
    </w:p>
    <w:p>
      <w:pPr>
        <w:keepNext w:val="0"/>
        <w:spacing w:before="80" w:after="120"/>
        <w:jc w:val="center"/>
      </w:pPr>
      <w:r>
        <w:rPr>
          <w:rFonts w:ascii="Calibri" w:hAnsi="Calibri"/>
          <w:b w:val="0"/>
          <w:i/>
          <w:color w:val="555555"/>
          <w:sz w:val="18"/>
          <w:u w:val="none"/>
        </w:rPr>
        <w:t>Table 16 — APScheduler Background Jobs</w:t>
      </w:r>
    </w:p>
    <w:p>
      <w:pPr>
        <w:pStyle w:val="Heading1"/>
        <w:keepNext/>
        <w:spacing w:before="360" w:after="120"/>
        <w:pBdr>
          <w:bottom w:val="single" w:sz="8" w:space="1" w:color="C80000"/>
        </w:pBdr>
      </w:pPr>
      <w:r>
        <w:rPr>
          <w:rFonts w:ascii="Calibri" w:hAnsi="Calibri"/>
          <w:b/>
          <w:color w:val="1A1A2E"/>
          <w:sz w:val="32"/>
        </w:rPr>
        <w:t>19. Technology Stack</w:t>
      </w:r>
    </w:p>
    <w:p>
      <w:pPr>
        <w:pStyle w:val="Heading2"/>
        <w:keepNext/>
        <w:spacing w:before="240" w:after="80"/>
      </w:pPr>
      <w:r>
        <w:rPr>
          <w:rFonts w:ascii="Calibri" w:hAnsi="Calibri"/>
          <w:b/>
          <w:color w:val="C80000"/>
          <w:sz w:val="26"/>
        </w:rPr>
        <w:t>19.1 Backend Stack</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303"/>
        <w:gridCol w:w="2303"/>
        <w:gridCol w:w="2303"/>
        <w:gridCol w:w="2303"/>
      </w:tblGrid>
      <w:tr>
        <w:tc>
          <w:tcPr>
            <w:shd w:val="clear" w:color="auto" w:fill="1A1A2E"/>
            <w:tcMar>
              <w:top w:w="80" w:type="dxa"/>
              <w:bottom w:w="80" w:type="dxa"/>
              <w:left w:w="120" w:type="dxa"/>
              <w:right w:w="80" w:type="dxa"/>
            </w:tcMar>
            <w:vAlign w:val="center"/>
            <w:tcW w:w="1984" w:type="dxa"/>
          </w:tcPr>
          <w:p>
            <w:pPr>
              <w:spacing w:before="0" w:after="0"/>
            </w:pPr>
            <w:r>
              <w:rPr>
                <w:rFonts w:ascii="Calibri" w:hAnsi="Calibri"/>
                <w:b/>
                <w:i w:val="0"/>
                <w:color w:val="FFFFFF"/>
                <w:sz w:val="19"/>
                <w:u w:val="none"/>
              </w:rPr>
              <w:t>Component</w:t>
            </w:r>
          </w:p>
        </w:tc>
        <w:tc>
          <w:tcPr>
            <w:shd w:val="clear" w:color="auto" w:fill="1A1A2E"/>
            <w:tcMar>
              <w:top w:w="80" w:type="dxa"/>
              <w:bottom w:w="80" w:type="dxa"/>
              <w:left w:w="120" w:type="dxa"/>
              <w:right w:w="80" w:type="dxa"/>
            </w:tcMar>
            <w:vAlign w:val="center"/>
            <w:tcW w:w="2154" w:type="dxa"/>
          </w:tcPr>
          <w:p>
            <w:pPr>
              <w:spacing w:before="0" w:after="0"/>
            </w:pPr>
            <w:r>
              <w:rPr>
                <w:rFonts w:ascii="Calibri" w:hAnsi="Calibri"/>
                <w:b/>
                <w:i w:val="0"/>
                <w:color w:val="FFFFFF"/>
                <w:sz w:val="19"/>
                <w:u w:val="none"/>
              </w:rPr>
              <w:t>Technology</w:t>
            </w:r>
          </w:p>
        </w:tc>
        <w:tc>
          <w:tcPr>
            <w:shd w:val="clear" w:color="auto" w:fill="1A1A2E"/>
            <w:tcMar>
              <w:top w:w="80" w:type="dxa"/>
              <w:bottom w:w="80" w:type="dxa"/>
              <w:left w:w="120" w:type="dxa"/>
              <w:right w:w="80" w:type="dxa"/>
            </w:tcMar>
            <w:vAlign w:val="center"/>
            <w:tcW w:w="1984" w:type="dxa"/>
          </w:tcPr>
          <w:p>
            <w:pPr>
              <w:spacing w:before="0" w:after="0"/>
            </w:pPr>
            <w:r>
              <w:rPr>
                <w:rFonts w:ascii="Calibri" w:hAnsi="Calibri"/>
                <w:b/>
                <w:i w:val="0"/>
                <w:color w:val="FFFFFF"/>
                <w:sz w:val="19"/>
                <w:u w:val="none"/>
              </w:rPr>
              <w:t>Version</w:t>
            </w:r>
          </w:p>
        </w:tc>
        <w:tc>
          <w:tcPr>
            <w:shd w:val="clear" w:color="auto" w:fill="1A1A2E"/>
            <w:tcMar>
              <w:top w:w="80" w:type="dxa"/>
              <w:bottom w:w="80" w:type="dxa"/>
              <w:left w:w="120" w:type="dxa"/>
              <w:right w:w="80" w:type="dxa"/>
            </w:tcMar>
            <w:vAlign w:val="center"/>
            <w:tcW w:w="4082" w:type="dxa"/>
          </w:tcPr>
          <w:p>
            <w:pPr>
              <w:spacing w:before="0" w:after="0"/>
            </w:pPr>
            <w:r>
              <w:rPr>
                <w:rFonts w:ascii="Calibri" w:hAnsi="Calibri"/>
                <w:b/>
                <w:i w:val="0"/>
                <w:color w:val="FFFFFF"/>
                <w:sz w:val="19"/>
                <w:u w:val="none"/>
              </w:rPr>
              <w:t>Justification</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Runtime</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Python</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3.12</w:t>
            </w:r>
          </w:p>
        </w:tc>
        <w:tc>
          <w:tcPr>
            <w:shd w:val="clear" w:color="auto" w:fill="FFFFFF"/>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Latest stable; required by LangGraph and google-genai SDK</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API Framework</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FastAPI + Uvicorn</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0.115</w:t>
            </w:r>
          </w:p>
        </w:tc>
        <w:tc>
          <w:tcPr>
            <w:shd w:val="clear" w:color="auto" w:fill="F0F4F8"/>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Async-native, OpenAPI auto-documentation, Pydantic v2 integration</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AI Orchestration</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LangGraph StateGraph</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Latest</w:t>
            </w:r>
          </w:p>
        </w:tc>
        <w:tc>
          <w:tcPr>
            <w:shd w:val="clear" w:color="auto" w:fill="FFFFFF"/>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Deterministic, testable AI pipeline control flow with conditional edges</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Primary AI</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Google Gemini</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gemini-2.5-flash</w:t>
            </w:r>
          </w:p>
        </w:tc>
        <w:tc>
          <w:tcPr>
            <w:shd w:val="clear" w:color="auto" w:fill="F0F4F8"/>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Large context window, function calling, developer free-tier access</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Fallback AI</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Anthropic Claude</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Claude 3 Sonnet</w:t>
            </w:r>
          </w:p>
        </w:tc>
        <w:tc>
          <w:tcPr>
            <w:shd w:val="clear" w:color="auto" w:fill="FFFFFF"/>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Independent provider for resilience against Gemini outages</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ORM</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SQLAlchemy</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2.x</w:t>
            </w:r>
          </w:p>
        </w:tc>
        <w:tc>
          <w:tcPr>
            <w:shd w:val="clear" w:color="auto" w:fill="F0F4F8"/>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Database-agnostic; SQLite and PostgreSQL parity</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Auth</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PyJWT + bcrypt</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FFFFF"/>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HS256 token issuance; bcrypt password hashing</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HTTP Client</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requests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0F4F8"/>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Synchronous HTTP for ServiceNow REST API calls</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Scheduling</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APScheduler</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FFFFF"/>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In-process job scheduler with interval and cron triggers</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Metrics</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prometheus-client</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0F4F8"/>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Standard Prometheus Counter, Gauge, Histogram instrumentation</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Validation</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Pydantic v2</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FFFFF"/>
            <w:tcMar>
              <w:top w:w="70" w:type="dxa"/>
              <w:bottom w:w="70" w:type="dxa"/>
              <w:left w:w="120" w:type="dxa"/>
              <w:right w:w="80" w:type="dxa"/>
            </w:tcMar>
            <w:vAlign w:val="top"/>
            <w:tcW w:w="4082" w:type="dxa"/>
          </w:tcPr>
          <w:p>
            <w:pPr>
              <w:spacing w:before="0" w:after="0"/>
            </w:pPr>
            <w:r>
              <w:rPr>
                <w:rFonts w:ascii="Calibri" w:hAnsi="Calibri"/>
                <w:b w:val="0"/>
                <w:i w:val="0"/>
                <w:color w:val="1A1A1A"/>
                <w:sz w:val="19"/>
                <w:u w:val="none"/>
              </w:rPr>
              <w:t>Schema enforcement on all AI outputs and API models</w:t>
            </w:r>
          </w:p>
        </w:tc>
      </w:tr>
    </w:tbl>
    <w:p>
      <w:pPr>
        <w:spacing w:before="80" w:after="0"/>
      </w:pPr>
    </w:p>
    <w:p>
      <w:pPr>
        <w:pStyle w:val="Heading2"/>
        <w:keepNext/>
        <w:spacing w:before="240" w:after="80"/>
      </w:pPr>
      <w:r>
        <w:rPr>
          <w:rFonts w:ascii="Calibri" w:hAnsi="Calibri"/>
          <w:b/>
          <w:color w:val="C80000"/>
          <w:sz w:val="26"/>
        </w:rPr>
        <w:t>19.2 Frontend Stack</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303"/>
        <w:gridCol w:w="2303"/>
        <w:gridCol w:w="2303"/>
        <w:gridCol w:w="2303"/>
      </w:tblGrid>
      <w:tr>
        <w:tc>
          <w:tcPr>
            <w:shd w:val="clear" w:color="auto" w:fill="1A1A2E"/>
            <w:tcMar>
              <w:top w:w="80" w:type="dxa"/>
              <w:bottom w:w="80" w:type="dxa"/>
              <w:left w:w="120" w:type="dxa"/>
              <w:right w:w="80" w:type="dxa"/>
            </w:tcMar>
            <w:vAlign w:val="center"/>
            <w:tcW w:w="1984" w:type="dxa"/>
          </w:tcPr>
          <w:p>
            <w:pPr>
              <w:spacing w:before="0" w:after="0"/>
            </w:pPr>
            <w:r>
              <w:rPr>
                <w:rFonts w:ascii="Calibri" w:hAnsi="Calibri"/>
                <w:b/>
                <w:i w:val="0"/>
                <w:color w:val="FFFFFF"/>
                <w:sz w:val="19"/>
                <w:u w:val="none"/>
              </w:rPr>
              <w:t>Component</w:t>
            </w:r>
          </w:p>
        </w:tc>
        <w:tc>
          <w:tcPr>
            <w:shd w:val="clear" w:color="auto" w:fill="1A1A2E"/>
            <w:tcMar>
              <w:top w:w="80" w:type="dxa"/>
              <w:bottom w:w="80" w:type="dxa"/>
              <w:left w:w="120" w:type="dxa"/>
              <w:right w:w="80" w:type="dxa"/>
            </w:tcMar>
            <w:vAlign w:val="center"/>
            <w:tcW w:w="2154" w:type="dxa"/>
          </w:tcPr>
          <w:p>
            <w:pPr>
              <w:spacing w:before="0" w:after="0"/>
            </w:pPr>
            <w:r>
              <w:rPr>
                <w:rFonts w:ascii="Calibri" w:hAnsi="Calibri"/>
                <w:b/>
                <w:i w:val="0"/>
                <w:color w:val="FFFFFF"/>
                <w:sz w:val="19"/>
                <w:u w:val="none"/>
              </w:rPr>
              <w:t>Technology</w:t>
            </w:r>
          </w:p>
        </w:tc>
        <w:tc>
          <w:tcPr>
            <w:shd w:val="clear" w:color="auto" w:fill="1A1A2E"/>
            <w:tcMar>
              <w:top w:w="80" w:type="dxa"/>
              <w:bottom w:w="80" w:type="dxa"/>
              <w:left w:w="120" w:type="dxa"/>
              <w:right w:w="80" w:type="dxa"/>
            </w:tcMar>
            <w:vAlign w:val="center"/>
            <w:tcW w:w="1417" w:type="dxa"/>
          </w:tcPr>
          <w:p>
            <w:pPr>
              <w:spacing w:before="0" w:after="0"/>
            </w:pPr>
            <w:r>
              <w:rPr>
                <w:rFonts w:ascii="Calibri" w:hAnsi="Calibri"/>
                <w:b/>
                <w:i w:val="0"/>
                <w:color w:val="FFFFFF"/>
                <w:sz w:val="19"/>
                <w:u w:val="none"/>
              </w:rPr>
              <w:t>Version</w:t>
            </w:r>
          </w:p>
        </w:tc>
        <w:tc>
          <w:tcPr>
            <w:shd w:val="clear" w:color="auto" w:fill="1A1A2E"/>
            <w:tcMar>
              <w:top w:w="80" w:type="dxa"/>
              <w:bottom w:w="80" w:type="dxa"/>
              <w:left w:w="120" w:type="dxa"/>
              <w:right w:w="80" w:type="dxa"/>
            </w:tcMar>
            <w:vAlign w:val="center"/>
            <w:tcW w:w="4649" w:type="dxa"/>
          </w:tcPr>
          <w:p>
            <w:pPr>
              <w:spacing w:before="0" w:after="0"/>
            </w:pPr>
            <w:r>
              <w:rPr>
                <w:rFonts w:ascii="Calibri" w:hAnsi="Calibri"/>
                <w:b/>
                <w:i w:val="0"/>
                <w:color w:val="FFFFFF"/>
                <w:sz w:val="19"/>
                <w:u w:val="none"/>
              </w:rPr>
              <w:t>Justification</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Framework</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Next.js</w:t>
            </w:r>
          </w:p>
        </w:tc>
        <w:tc>
          <w:tcPr>
            <w:shd w:val="clear" w:color="auto" w:fill="FFFFFF"/>
            <w:tcMar>
              <w:top w:w="70" w:type="dxa"/>
              <w:bottom w:w="70" w:type="dxa"/>
              <w:left w:w="120" w:type="dxa"/>
              <w:right w:w="80" w:type="dxa"/>
            </w:tcMar>
            <w:vAlign w:val="top"/>
            <w:tcW w:w="1417" w:type="dxa"/>
          </w:tcPr>
          <w:p>
            <w:pPr>
              <w:spacing w:before="0" w:after="0"/>
            </w:pPr>
            <w:r>
              <w:rPr>
                <w:rFonts w:ascii="Calibri" w:hAnsi="Calibri"/>
                <w:b w:val="0"/>
                <w:i w:val="0"/>
                <w:color w:val="1A1A1A"/>
                <w:sz w:val="19"/>
                <w:u w:val="none"/>
              </w:rPr>
              <w:t>16.2</w:t>
            </w:r>
          </w:p>
        </w:tc>
        <w:tc>
          <w:tcPr>
            <w:shd w:val="clear" w:color="auto" w:fill="FFFFFF"/>
            <w:tcMar>
              <w:top w:w="70" w:type="dxa"/>
              <w:bottom w:w="70" w:type="dxa"/>
              <w:left w:w="120" w:type="dxa"/>
              <w:right w:w="80" w:type="dxa"/>
            </w:tcMar>
            <w:vAlign w:val="top"/>
            <w:tcW w:w="4649" w:type="dxa"/>
          </w:tcPr>
          <w:p>
            <w:pPr>
              <w:spacing w:before="0" w:after="0"/>
            </w:pPr>
            <w:r>
              <w:rPr>
                <w:rFonts w:ascii="Calibri" w:hAnsi="Calibri"/>
                <w:b w:val="0"/>
                <w:i w:val="0"/>
                <w:color w:val="1A1A1A"/>
                <w:sz w:val="19"/>
                <w:u w:val="none"/>
              </w:rPr>
              <w:t>App Router, SSR, API route proxying to backend</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Runtime</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React</w:t>
            </w:r>
          </w:p>
        </w:tc>
        <w:tc>
          <w:tcPr>
            <w:shd w:val="clear" w:color="auto" w:fill="F0F4F8"/>
            <w:tcMar>
              <w:top w:w="70" w:type="dxa"/>
              <w:bottom w:w="70" w:type="dxa"/>
              <w:left w:w="120" w:type="dxa"/>
              <w:right w:w="80" w:type="dxa"/>
            </w:tcMar>
            <w:vAlign w:val="top"/>
            <w:tcW w:w="1417" w:type="dxa"/>
          </w:tcPr>
          <w:p>
            <w:pPr>
              <w:spacing w:before="0" w:after="0"/>
            </w:pPr>
            <w:r>
              <w:rPr>
                <w:rFonts w:ascii="Calibri" w:hAnsi="Calibri"/>
                <w:b w:val="0"/>
                <w:i w:val="0"/>
                <w:color w:val="1A1A1A"/>
                <w:sz w:val="19"/>
                <w:u w:val="none"/>
              </w:rPr>
              <w:t>19</w:t>
            </w:r>
          </w:p>
        </w:tc>
        <w:tc>
          <w:tcPr>
            <w:shd w:val="clear" w:color="auto" w:fill="F0F4F8"/>
            <w:tcMar>
              <w:top w:w="70" w:type="dxa"/>
              <w:bottom w:w="70" w:type="dxa"/>
              <w:left w:w="120" w:type="dxa"/>
              <w:right w:w="80" w:type="dxa"/>
            </w:tcMar>
            <w:vAlign w:val="top"/>
            <w:tcW w:w="4649" w:type="dxa"/>
          </w:tcPr>
          <w:p>
            <w:pPr>
              <w:spacing w:before="0" w:after="0"/>
            </w:pPr>
            <w:r>
              <w:rPr>
                <w:rFonts w:ascii="Calibri" w:hAnsi="Calibri"/>
                <w:b w:val="0"/>
                <w:i w:val="0"/>
                <w:color w:val="1A1A1A"/>
                <w:sz w:val="19"/>
                <w:u w:val="none"/>
              </w:rPr>
              <w:t>Server Components, concurrent rendering</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Language</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TypeScript</w:t>
            </w:r>
          </w:p>
        </w:tc>
        <w:tc>
          <w:tcPr>
            <w:shd w:val="clear" w:color="auto" w:fill="FFFFFF"/>
            <w:tcMar>
              <w:top w:w="70" w:type="dxa"/>
              <w:bottom w:w="70" w:type="dxa"/>
              <w:left w:w="120" w:type="dxa"/>
              <w:right w:w="80" w:type="dxa"/>
            </w:tcMar>
            <w:vAlign w:val="top"/>
            <w:tcW w:w="1417" w:type="dxa"/>
          </w:tcPr>
          <w:p>
            <w:pPr>
              <w:spacing w:before="0" w:after="0"/>
            </w:pPr>
            <w:r>
              <w:rPr>
                <w:rFonts w:ascii="Calibri" w:hAnsi="Calibri"/>
                <w:b w:val="0"/>
                <w:i w:val="0"/>
                <w:color w:val="1A1A1A"/>
                <w:sz w:val="19"/>
                <w:u w:val="none"/>
              </w:rPr>
              <w:t>5</w:t>
            </w:r>
          </w:p>
        </w:tc>
        <w:tc>
          <w:tcPr>
            <w:shd w:val="clear" w:color="auto" w:fill="FFFFFF"/>
            <w:tcMar>
              <w:top w:w="70" w:type="dxa"/>
              <w:bottom w:w="70" w:type="dxa"/>
              <w:left w:w="120" w:type="dxa"/>
              <w:right w:w="80" w:type="dxa"/>
            </w:tcMar>
            <w:vAlign w:val="top"/>
            <w:tcW w:w="4649" w:type="dxa"/>
          </w:tcPr>
          <w:p>
            <w:pPr>
              <w:spacing w:before="0" w:after="0"/>
            </w:pPr>
            <w:r>
              <w:rPr>
                <w:rFonts w:ascii="Calibri" w:hAnsi="Calibri"/>
                <w:b w:val="0"/>
                <w:i w:val="0"/>
                <w:color w:val="1A1A1A"/>
                <w:sz w:val="19"/>
                <w:u w:val="none"/>
              </w:rPr>
              <w:t>Type safety across all four portal surfaces</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Styling</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Tailwind CSS</w:t>
            </w:r>
          </w:p>
        </w:tc>
        <w:tc>
          <w:tcPr>
            <w:shd w:val="clear" w:color="auto" w:fill="F0F4F8"/>
            <w:tcMar>
              <w:top w:w="70" w:type="dxa"/>
              <w:bottom w:w="70" w:type="dxa"/>
              <w:left w:w="120" w:type="dxa"/>
              <w:right w:w="80" w:type="dxa"/>
            </w:tcMar>
            <w:vAlign w:val="top"/>
            <w:tcW w:w="1417" w:type="dxa"/>
          </w:tcPr>
          <w:p>
            <w:pPr>
              <w:spacing w:before="0" w:after="0"/>
            </w:pPr>
            <w:r>
              <w:rPr>
                <w:rFonts w:ascii="Calibri" w:hAnsi="Calibri"/>
                <w:b w:val="0"/>
                <w:i w:val="0"/>
                <w:color w:val="1A1A1A"/>
                <w:sz w:val="19"/>
                <w:u w:val="none"/>
              </w:rPr>
              <w:t>4</w:t>
            </w:r>
          </w:p>
        </w:tc>
        <w:tc>
          <w:tcPr>
            <w:shd w:val="clear" w:color="auto" w:fill="F0F4F8"/>
            <w:tcMar>
              <w:top w:w="70" w:type="dxa"/>
              <w:bottom w:w="70" w:type="dxa"/>
              <w:left w:w="120" w:type="dxa"/>
              <w:right w:w="80" w:type="dxa"/>
            </w:tcMar>
            <w:vAlign w:val="top"/>
            <w:tcW w:w="4649" w:type="dxa"/>
          </w:tcPr>
          <w:p>
            <w:pPr>
              <w:spacing w:before="0" w:after="0"/>
            </w:pPr>
            <w:r>
              <w:rPr>
                <w:rFonts w:ascii="Calibri" w:hAnsi="Calibri"/>
                <w:b w:val="0"/>
                <w:i w:val="0"/>
                <w:color w:val="1A1A1A"/>
                <w:sz w:val="19"/>
                <w:u w:val="none"/>
              </w:rPr>
              <w:t>Utility-first; design system consistency</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Animation</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Framer Motion</w:t>
            </w:r>
          </w:p>
        </w:tc>
        <w:tc>
          <w:tcPr>
            <w:shd w:val="clear" w:color="auto" w:fill="FFFFFF"/>
            <w:tcMar>
              <w:top w:w="70" w:type="dxa"/>
              <w:bottom w:w="70" w:type="dxa"/>
              <w:left w:w="120" w:type="dxa"/>
              <w:right w:w="80" w:type="dxa"/>
            </w:tcMar>
            <w:vAlign w:val="top"/>
            <w:tcW w:w="1417" w:type="dxa"/>
          </w:tcPr>
          <w:p>
            <w:pPr>
              <w:spacing w:before="0" w:after="0"/>
            </w:pPr>
            <w:r>
              <w:rPr>
                <w:rFonts w:ascii="Calibri" w:hAnsi="Calibri"/>
                <w:b w:val="0"/>
                <w:i w:val="0"/>
                <w:color w:val="1A1A1A"/>
                <w:sz w:val="19"/>
                <w:u w:val="none"/>
              </w:rPr>
              <w:t>12</w:t>
            </w:r>
          </w:p>
        </w:tc>
        <w:tc>
          <w:tcPr>
            <w:shd w:val="clear" w:color="auto" w:fill="FFFFFF"/>
            <w:tcMar>
              <w:top w:w="70" w:type="dxa"/>
              <w:bottom w:w="70" w:type="dxa"/>
              <w:left w:w="120" w:type="dxa"/>
              <w:right w:w="80" w:type="dxa"/>
            </w:tcMar>
            <w:vAlign w:val="top"/>
            <w:tcW w:w="4649" w:type="dxa"/>
          </w:tcPr>
          <w:p>
            <w:pPr>
              <w:spacing w:before="0" w:after="0"/>
            </w:pPr>
            <w:r>
              <w:rPr>
                <w:rFonts w:ascii="Calibri" w:hAnsi="Calibri"/>
                <w:b w:val="0"/>
                <w:i w:val="0"/>
                <w:color w:val="1A1A1A"/>
                <w:sz w:val="19"/>
                <w:u w:val="none"/>
              </w:rPr>
              <w:t>Micro-animations for portal interactions</w:t>
            </w:r>
          </w:p>
        </w:tc>
      </w:tr>
      <w:tr>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Charts</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Recharts</w:t>
            </w:r>
          </w:p>
        </w:tc>
        <w:tc>
          <w:tcPr>
            <w:shd w:val="clear" w:color="auto" w:fill="F0F4F8"/>
            <w:tcMar>
              <w:top w:w="70" w:type="dxa"/>
              <w:bottom w:w="70" w:type="dxa"/>
              <w:left w:w="120" w:type="dxa"/>
              <w:right w:w="80" w:type="dxa"/>
            </w:tcMar>
            <w:vAlign w:val="top"/>
            <w:tcW w:w="1417" w:type="dxa"/>
          </w:tcPr>
          <w:p>
            <w:pPr>
              <w:spacing w:before="0" w:after="0"/>
            </w:pPr>
            <w:r>
              <w:rPr>
                <w:rFonts w:ascii="Calibri" w:hAnsi="Calibri"/>
                <w:b w:val="0"/>
                <w:i w:val="0"/>
                <w:color w:val="1A1A1A"/>
                <w:sz w:val="19"/>
                <w:u w:val="none"/>
              </w:rPr>
              <w:t>3</w:t>
            </w:r>
          </w:p>
        </w:tc>
        <w:tc>
          <w:tcPr>
            <w:shd w:val="clear" w:color="auto" w:fill="F0F4F8"/>
            <w:tcMar>
              <w:top w:w="70" w:type="dxa"/>
              <w:bottom w:w="70" w:type="dxa"/>
              <w:left w:w="120" w:type="dxa"/>
              <w:right w:w="80" w:type="dxa"/>
            </w:tcMar>
            <w:vAlign w:val="top"/>
            <w:tcW w:w="4649" w:type="dxa"/>
          </w:tcPr>
          <w:p>
            <w:pPr>
              <w:spacing w:before="0" w:after="0"/>
            </w:pPr>
            <w:r>
              <w:rPr>
                <w:rFonts w:ascii="Calibri" w:hAnsi="Calibri"/>
                <w:b w:val="0"/>
                <w:i w:val="0"/>
                <w:color w:val="1A1A1A"/>
                <w:sz w:val="19"/>
                <w:u w:val="none"/>
              </w:rPr>
              <w:t>Analytics dashboard visualisations</w:t>
            </w:r>
          </w:p>
        </w:tc>
      </w:tr>
      <w:tr>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Icons</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Lucide React</w:t>
            </w:r>
          </w:p>
        </w:tc>
        <w:tc>
          <w:tcPr>
            <w:shd w:val="clear" w:color="auto" w:fill="FFFFFF"/>
            <w:tcMar>
              <w:top w:w="70" w:type="dxa"/>
              <w:bottom w:w="70" w:type="dxa"/>
              <w:left w:w="120" w:type="dxa"/>
              <w:right w:w="80" w:type="dxa"/>
            </w:tcMar>
            <w:vAlign w:val="top"/>
            <w:tcW w:w="1417" w:type="dxa"/>
          </w:tcPr>
          <w:p>
            <w:pPr>
              <w:spacing w:before="0" w:after="0"/>
            </w:pPr>
            <w:r>
              <w:rPr>
                <w:rFonts w:ascii="Calibri" w:hAnsi="Calibri"/>
                <w:b w:val="0"/>
                <w:i w:val="0"/>
                <w:color w:val="1A1A1A"/>
                <w:sz w:val="19"/>
                <w:u w:val="none"/>
              </w:rPr>
              <w:t>Latest</w:t>
            </w:r>
          </w:p>
        </w:tc>
        <w:tc>
          <w:tcPr>
            <w:shd w:val="clear" w:color="auto" w:fill="FFFFFF"/>
            <w:tcMar>
              <w:top w:w="70" w:type="dxa"/>
              <w:bottom w:w="70" w:type="dxa"/>
              <w:left w:w="120" w:type="dxa"/>
              <w:right w:w="80" w:type="dxa"/>
            </w:tcMar>
            <w:vAlign w:val="top"/>
            <w:tcW w:w="4649" w:type="dxa"/>
          </w:tcPr>
          <w:p>
            <w:pPr>
              <w:spacing w:before="0" w:after="0"/>
            </w:pPr>
            <w:r>
              <w:rPr>
                <w:rFonts w:ascii="Calibri" w:hAnsi="Calibri"/>
                <w:b w:val="0"/>
                <w:i w:val="0"/>
                <w:color w:val="1A1A1A"/>
                <w:sz w:val="19"/>
                <w:u w:val="none"/>
              </w:rPr>
              <w:t>Consistent enterprise iconography</w:t>
            </w:r>
          </w:p>
        </w:tc>
      </w:tr>
    </w:tbl>
    <w:p>
      <w:pPr>
        <w:spacing w:before="80" w:after="0"/>
      </w:pPr>
    </w:p>
    <w:p>
      <w:pPr>
        <w:pStyle w:val="Heading2"/>
        <w:keepNext/>
        <w:spacing w:before="240" w:after="80"/>
      </w:pPr>
      <w:r>
        <w:rPr>
          <w:rFonts w:ascii="Calibri" w:hAnsi="Calibri"/>
          <w:b/>
          <w:color w:val="C80000"/>
          <w:sz w:val="26"/>
        </w:rPr>
        <w:t>19.3 Infrastructure Stack</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268" w:type="dxa"/>
          </w:tcPr>
          <w:p>
            <w:pPr>
              <w:spacing w:before="0" w:after="0"/>
            </w:pPr>
            <w:r>
              <w:rPr>
                <w:rFonts w:ascii="Calibri" w:hAnsi="Calibri"/>
                <w:b/>
                <w:i w:val="0"/>
                <w:color w:val="FFFFFF"/>
                <w:sz w:val="19"/>
                <w:u w:val="none"/>
              </w:rPr>
              <w:t>Component</w:t>
            </w:r>
          </w:p>
        </w:tc>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Technology</w:t>
            </w:r>
          </w:p>
        </w:tc>
        <w:tc>
          <w:tcPr>
            <w:shd w:val="clear" w:color="auto" w:fill="1A1A2E"/>
            <w:tcMar>
              <w:top w:w="80" w:type="dxa"/>
              <w:bottom w:w="80" w:type="dxa"/>
              <w:left w:w="120" w:type="dxa"/>
              <w:right w:w="80" w:type="dxa"/>
            </w:tcMar>
            <w:vAlign w:val="center"/>
            <w:tcW w:w="5386" w:type="dxa"/>
          </w:tcPr>
          <w:p>
            <w:pPr>
              <w:spacing w:before="0" w:after="0"/>
            </w:pPr>
            <w:r>
              <w:rPr>
                <w:rFonts w:ascii="Calibri" w:hAnsi="Calibri"/>
                <w:b/>
                <w:i w:val="0"/>
                <w:color w:val="FFFFFF"/>
                <w:sz w:val="19"/>
                <w:u w:val="none"/>
              </w:rPr>
              <w:t>Justification</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Reverse Proxy</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Nginx stable-alpine</w:t>
            </w:r>
          </w:p>
        </w:tc>
        <w:tc>
          <w:tcPr>
            <w:shd w:val="clear" w:color="auto" w:fill="FFFFFF"/>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TLS termination, path-based routing, upstream proxy</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Database (prod)</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PostgreSQL 14</w:t>
            </w:r>
          </w:p>
        </w:tc>
        <w:tc>
          <w:tcPr>
            <w:shd w:val="clear" w:color="auto" w:fill="F0F4F8"/>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ACID compliance, persistent volume, health check support</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Cache</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Redis</w:t>
            </w:r>
          </w:p>
        </w:tc>
        <w:tc>
          <w:tcPr>
            <w:shd w:val="clear" w:color="auto" w:fill="FFFFFF"/>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Session cache and ServiceNow metadata cache (production)</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Containerisation</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Docker + Compose</w:t>
            </w:r>
          </w:p>
        </w:tc>
        <w:tc>
          <w:tcPr>
            <w:shd w:val="clear" w:color="auto" w:fill="F0F4F8"/>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Environment-consistent deployment across dev, QA and production</w:t>
            </w:r>
          </w:p>
        </w:tc>
      </w:tr>
      <w:tr>
        <w:tc>
          <w:tcPr>
            <w:shd w:val="clear" w:color="auto" w:fill="FFFFFF"/>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Metrics Collection</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Prometheus</w:t>
            </w:r>
          </w:p>
        </w:tc>
        <w:tc>
          <w:tcPr>
            <w:shd w:val="clear" w:color="auto" w:fill="FFFFFF"/>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Industry-standard scrape-based metrics</w:t>
            </w:r>
          </w:p>
        </w:tc>
      </w:tr>
      <w:tr>
        <w:tc>
          <w:tcPr>
            <w:shd w:val="clear" w:color="auto" w:fill="F0F4F8"/>
            <w:tcMar>
              <w:top w:w="70" w:type="dxa"/>
              <w:bottom w:w="70" w:type="dxa"/>
              <w:left w:w="120" w:type="dxa"/>
              <w:right w:w="80" w:type="dxa"/>
            </w:tcMar>
            <w:vAlign w:val="top"/>
            <w:tcW w:w="2268" w:type="dxa"/>
          </w:tcPr>
          <w:p>
            <w:pPr>
              <w:spacing w:before="0" w:after="0"/>
            </w:pPr>
            <w:r>
              <w:rPr>
                <w:rFonts w:ascii="Calibri" w:hAnsi="Calibri"/>
                <w:b w:val="0"/>
                <w:i w:val="0"/>
                <w:color w:val="1A1A1A"/>
                <w:sz w:val="19"/>
                <w:u w:val="none"/>
              </w:rPr>
              <w:t>Dashboards</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Grafana</w:t>
            </w:r>
          </w:p>
        </w:tc>
        <w:tc>
          <w:tcPr>
            <w:shd w:val="clear" w:color="auto" w:fill="F0F4F8"/>
            <w:tcMar>
              <w:top w:w="70" w:type="dxa"/>
              <w:bottom w:w="70" w:type="dxa"/>
              <w:left w:w="120" w:type="dxa"/>
              <w:right w:w="80" w:type="dxa"/>
            </w:tcMar>
            <w:vAlign w:val="top"/>
            <w:tcW w:w="5386" w:type="dxa"/>
          </w:tcPr>
          <w:p>
            <w:pPr>
              <w:spacing w:before="0" w:after="0"/>
            </w:pPr>
            <w:r>
              <w:rPr>
                <w:rFonts w:ascii="Calibri" w:hAnsi="Calibri"/>
                <w:b w:val="0"/>
                <w:i w:val="0"/>
                <w:color w:val="1A1A1A"/>
                <w:sz w:val="19"/>
                <w:u w:val="none"/>
              </w:rPr>
              <w:t>Prometheus datasource; provisioning-as-code via volume mounts</w:t>
            </w:r>
          </w:p>
        </w:tc>
      </w:tr>
    </w:tbl>
    <w:p>
      <w:pPr>
        <w:spacing w:before="80" w:after="0"/>
      </w:pPr>
    </w:p>
    <w:p>
      <w:pPr>
        <w:pStyle w:val="Heading1"/>
        <w:keepNext/>
        <w:spacing w:before="360" w:after="120"/>
        <w:pBdr>
          <w:bottom w:val="single" w:sz="8" w:space="1" w:color="C80000"/>
        </w:pBdr>
      </w:pPr>
      <w:r>
        <w:rPr>
          <w:rFonts w:ascii="Calibri" w:hAnsi="Calibri"/>
          <w:b/>
          <w:color w:val="1A1A2E"/>
          <w:sz w:val="32"/>
        </w:rPr>
        <w:t>20. Architecture Decision Records</w:t>
      </w:r>
    </w:p>
    <w:p>
      <w:pPr>
        <w:keepNext w:val="0"/>
        <w:spacing w:before="20" w:after="100"/>
      </w:pPr>
      <w:r>
        <w:rPr>
          <w:rFonts w:ascii="Calibri" w:hAnsi="Calibri"/>
          <w:b w:val="0"/>
          <w:i w:val="0"/>
          <w:color w:val="1A1A1A"/>
          <w:sz w:val="21"/>
          <w:u w:val="none"/>
        </w:rPr>
        <w:t>Architecture Decision Records (ADRs) capture major architectural choices, design rationale, and accepted technical trade-offs.</w:t>
      </w:r>
    </w:p>
    <w:p>
      <w:pPr>
        <w:pStyle w:val="Heading2"/>
        <w:keepNext/>
        <w:spacing w:before="240" w:after="80"/>
      </w:pPr>
      <w:r>
        <w:rPr>
          <w:rFonts w:ascii="Calibri" w:hAnsi="Calibri"/>
          <w:b/>
          <w:color w:val="C80000"/>
          <w:sz w:val="26"/>
        </w:rPr>
        <w:t>ADR-001 — LangGraph StateGraph for AI Pipeline Orchestration</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Field</w:t>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t>Content</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Status</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Accepted</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Context</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The AI pipeline requires conditional branching, state persistence across nodes and multi-step tool-execution loops.</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Use LangGraph StateGraph with typed AgentState TypedDict and conditional edge routing functions.</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Consequences</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Nodes are independently testable; routing logic is centralised in edge functions.</w:t>
            </w:r>
          </w:p>
        </w:tc>
      </w:tr>
    </w:tbl>
    <w:p>
      <w:pPr>
        <w:spacing w:before="80" w:after="0"/>
      </w:pPr>
    </w:p>
    <w:p>
      <w:pPr>
        <w:pStyle w:val="Heading2"/>
        <w:keepNext/>
        <w:spacing w:before="240" w:after="80"/>
      </w:pPr>
      <w:r>
        <w:rPr>
          <w:rFonts w:ascii="Calibri" w:hAnsi="Calibri"/>
          <w:b/>
          <w:color w:val="C80000"/>
          <w:sz w:val="26"/>
        </w:rPr>
        <w:t>ADR-002 — Three-Tier AI Provider Fallback</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Field</w:t>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t>Content</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Status</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Accepted</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Context</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 single AI provider dependency creates a single point of failure.</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Implement BaseAIProvider abstraction: Gemini (primary) → Claude (fallback) → keyword-rules deterministic engine.</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Consequences</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Guarantees operational continuity during provider outages.</w:t>
            </w:r>
          </w:p>
        </w:tc>
      </w:tr>
    </w:tbl>
    <w:p>
      <w:pPr>
        <w:spacing w:before="80" w:after="0"/>
      </w:pPr>
    </w:p>
    <w:p>
      <w:pPr>
        <w:pStyle w:val="Heading2"/>
        <w:keepNext/>
        <w:spacing w:before="240" w:after="80"/>
      </w:pPr>
      <w:r>
        <w:rPr>
          <w:rFonts w:ascii="Calibri" w:hAnsi="Calibri"/>
          <w:b/>
          <w:color w:val="C80000"/>
          <w:sz w:val="26"/>
        </w:rPr>
        <w:t>ADR-003 — Configuration-Driven ITSM Taxonomy</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Field</w:t>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t>Content</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Status</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Accepted</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Context</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ServiceNow field values change when the instance is reconfigured.</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All ITSM taxonomy externalised to incident_config.json, loaded at startup by ConfigurationService.</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Consequences</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Taxonomy changes require only JSON updates without Python code edits.</w:t>
            </w:r>
          </w:p>
        </w:tc>
      </w:tr>
    </w:tbl>
    <w:p>
      <w:pPr>
        <w:spacing w:before="80" w:after="0"/>
      </w:pPr>
    </w:p>
    <w:p>
      <w:pPr>
        <w:pStyle w:val="Heading2"/>
        <w:keepNext/>
        <w:spacing w:before="240" w:after="80"/>
      </w:pPr>
      <w:r>
        <w:rPr>
          <w:rFonts w:ascii="Calibri" w:hAnsi="Calibri"/>
          <w:b/>
          <w:color w:val="C80000"/>
          <w:sz w:val="26"/>
        </w:rPr>
        <w:t>ADR-004 — In-Process Sliding-Window Rate Limiter</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Field</w:t>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t>Content</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Status</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Accepted</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Context</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External rate limiting dependencies add complexity for single-process setups.</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Implement pure-Python _SlidingWindowStore using threading.Lock and collections.deque.</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Consequences</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Zero external dependencies for single-instance deployments.</w:t>
            </w:r>
          </w:p>
        </w:tc>
      </w:tr>
    </w:tbl>
    <w:p>
      <w:pPr>
        <w:spacing w:before="80" w:after="0"/>
      </w:pPr>
    </w:p>
    <w:p>
      <w:pPr>
        <w:pStyle w:val="Heading2"/>
        <w:keepNext/>
        <w:spacing w:before="240" w:after="80"/>
      </w:pPr>
      <w:r>
        <w:rPr>
          <w:rFonts w:ascii="Calibri" w:hAnsi="Calibri"/>
          <w:b/>
          <w:color w:val="C80000"/>
          <w:sz w:val="26"/>
        </w:rPr>
        <w:t>ADR-005 — Adapter Pattern with Mock/Live Toggle</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Field</w:t>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t>Content</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Status</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Accepted</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Context</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Enterprise integrations require live credentials unavailable in dev/CI.</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All integrations implement a BaseAdapter interface with mock toggles via env vars.</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Consequences</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Enables complete local offline pipeline testing.</w:t>
            </w:r>
          </w:p>
        </w:tc>
      </w:tr>
    </w:tbl>
    <w:p>
      <w:pPr>
        <w:spacing w:before="80" w:after="0"/>
      </w:pPr>
    </w:p>
    <w:p>
      <w:pPr>
        <w:pStyle w:val="Heading2"/>
        <w:keepNext/>
        <w:spacing w:before="240" w:after="80"/>
      </w:pPr>
      <w:r>
        <w:rPr>
          <w:rFonts w:ascii="Calibri" w:hAnsi="Calibri"/>
          <w:b/>
          <w:color w:val="C80000"/>
          <w:sz w:val="26"/>
        </w:rPr>
        <w:t>ADR-006 — ServiceNow as Authoritative System of Record</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Field</w:t>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t>Content</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Status</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Accepted</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Context</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Without clear authority boundaries, ticket state could diverge.</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Every platform ticket carries servicenow_id and servicenow_number. ServiceNow is authoritative.</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Consequences</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All incidents remain fully traceable to a ServiceNow INC number.</w:t>
            </w:r>
          </w:p>
        </w:tc>
      </w:tr>
    </w:tbl>
    <w:p>
      <w:pPr>
        <w:spacing w:before="80" w:after="0"/>
      </w:pPr>
    </w:p>
    <w:p>
      <w:pPr>
        <w:pStyle w:val="Heading2"/>
        <w:keepNext/>
        <w:spacing w:before="240" w:after="80"/>
      </w:pPr>
      <w:r>
        <w:rPr>
          <w:rFonts w:ascii="Calibri" w:hAnsi="Calibri"/>
          <w:b/>
          <w:color w:val="C80000"/>
          <w:sz w:val="26"/>
        </w:rPr>
        <w:t>ADR-007 — Append-Only Immutable Audit Log</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Field</w:t>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t>Content</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Status</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Accepted</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Context</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Enterprise compliance requires tamper-evident audit logs.</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ImmutableAuditLog exposes only record(). SHA-256 payload hashes stored alongside JSON payloads.</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Consequences</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Audit trail is non-repudiable under normal operation.</w:t>
            </w:r>
          </w:p>
        </w:tc>
      </w:tr>
    </w:tbl>
    <w:p>
      <w:pPr>
        <w:spacing w:before="80" w:after="0"/>
      </w:pPr>
    </w:p>
    <w:p>
      <w:pPr>
        <w:pStyle w:val="Heading2"/>
        <w:keepNext/>
        <w:spacing w:before="240" w:after="80"/>
      </w:pPr>
      <w:r>
        <w:rPr>
          <w:rFonts w:ascii="Calibri" w:hAnsi="Calibri"/>
          <w:b/>
          <w:color w:val="C80000"/>
          <w:sz w:val="26"/>
        </w:rPr>
        <w:t>ADR-008 — Auto Schema Migration on Startup</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t>Field</w:t>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t>Content</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Status</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Accepted</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Context</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Maintaining Alembic migration chains adds friction during rapid POC iteration.</w:t>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On startup, inspect schema and add missing columns via ALTER TABLE idempotently.</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Consequences</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Zero-friction schema evolution during development phases.</w:t>
            </w:r>
          </w:p>
        </w:tc>
      </w:tr>
    </w:tbl>
    <w:p>
      <w:pPr>
        <w:spacing w:before="80" w:after="0"/>
      </w:pPr>
    </w:p>
    <w:p>
      <w:pPr>
        <w:pStyle w:val="Heading1"/>
        <w:keepNext/>
        <w:spacing w:before="360" w:after="120"/>
        <w:pBdr>
          <w:bottom w:val="single" w:sz="8" w:space="1" w:color="C80000"/>
        </w:pBdr>
      </w:pPr>
      <w:r>
        <w:rPr>
          <w:rFonts w:ascii="Calibri" w:hAnsi="Calibri"/>
          <w:b/>
          <w:color w:val="1A1A2E"/>
          <w:sz w:val="32"/>
        </w:rPr>
        <w:t>21. Engineering Challenges</w:t>
      </w:r>
    </w:p>
    <w:p>
      <w:pPr>
        <w:pStyle w:val="Heading2"/>
        <w:keepNext/>
        <w:spacing w:before="240" w:after="80"/>
      </w:pPr>
      <w:r>
        <w:rPr>
          <w:rFonts w:ascii="Calibri" w:hAnsi="Calibri"/>
          <w:b/>
          <w:color w:val="C80000"/>
          <w:sz w:val="26"/>
        </w:rPr>
        <w:t>21.1 AI Non-Determinism at ITSM Boundaries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Challenge</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LLM outputs are stochastic. Category values produced by AI may fail ServiceNow validation.</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Resolution</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Four-stage validation chain: AI output → FieldMappingService → MetadataValidator → IncidentEnrichmentService before submitting API payloads.</w:t>
            </w:r>
          </w:p>
        </w:tc>
      </w:tr>
    </w:tbl>
    <w:p>
      <w:pPr>
        <w:spacing w:before="80" w:after="0"/>
      </w:pPr>
    </w:p>
    <w:p>
      <w:pPr>
        <w:pStyle w:val="Heading2"/>
        <w:keepNext/>
        <w:spacing w:before="240" w:after="80"/>
      </w:pPr>
      <w:r>
        <w:rPr>
          <w:rFonts w:ascii="Calibri" w:hAnsi="Calibri"/>
          <w:b/>
          <w:color w:val="C80000"/>
          <w:sz w:val="26"/>
        </w:rPr>
        <w:t>21.2 Multi-Step Troubleshooting Loop Termination</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Challenge</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Tool execution loops must terminate deterministically without token budget exhaustion.</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Resolution</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AgentState tracks troubleshooting_iterations and troubleshooting_complete flag, enforcing loop exit conditions.</w:t>
            </w:r>
          </w:p>
        </w:tc>
      </w:tr>
    </w:tbl>
    <w:p>
      <w:pPr>
        <w:spacing w:before="80" w:after="0"/>
      </w:pPr>
    </w:p>
    <w:p>
      <w:pPr>
        <w:pStyle w:val="Heading2"/>
        <w:keepNext/>
        <w:spacing w:before="240" w:after="80"/>
      </w:pPr>
      <w:r>
        <w:rPr>
          <w:rFonts w:ascii="Calibri" w:hAnsi="Calibri"/>
          <w:b/>
          <w:color w:val="C80000"/>
          <w:sz w:val="26"/>
        </w:rPr>
        <w:t>21.3 Concurrent ServiceNow OAuth2 Token Refresh</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Challenge</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Multiple concurrent requests could trigger duplicate token refresh calls.</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Resolution</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ServiceNowClient uses a threading.RLock gating refresh calls with a 60-second safety buffer.</w:t>
            </w:r>
          </w:p>
        </w:tc>
      </w:tr>
    </w:tbl>
    <w:p>
      <w:pPr>
        <w:spacing w:before="80" w:after="0"/>
      </w:pPr>
    </w:p>
    <w:p>
      <w:pPr>
        <w:pStyle w:val="Heading2"/>
        <w:keepNext/>
        <w:spacing w:before="240" w:after="80"/>
      </w:pPr>
      <w:r>
        <w:rPr>
          <w:rFonts w:ascii="Calibri" w:hAnsi="Calibri"/>
          <w:b/>
          <w:color w:val="C80000"/>
          <w:sz w:val="26"/>
        </w:rPr>
        <w:t>21.4 ServiceNow Metadata Cache Consistency</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Challenge</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Instance reconfiguration can render choice values stale.</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Resolution</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TTL-based cache with graceful fallback to incident_config.json on API downtime.</w:t>
            </w:r>
          </w:p>
        </w:tc>
      </w:tr>
    </w:tbl>
    <w:p>
      <w:pPr>
        <w:spacing w:before="80" w:after="0"/>
      </w:pPr>
    </w:p>
    <w:p>
      <w:pPr>
        <w:pStyle w:val="Heading2"/>
        <w:keepNext/>
        <w:spacing w:before="240" w:after="80"/>
      </w:pPr>
      <w:r>
        <w:rPr>
          <w:rFonts w:ascii="Calibri" w:hAnsi="Calibri"/>
          <w:b/>
          <w:color w:val="C80000"/>
          <w:sz w:val="26"/>
        </w:rPr>
        <w:t>21.5 Approval Workflow State Race Conditions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Challenge</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Concurrent manager approval and admin access grants could cause inconsistent state.</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Resolution</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Strict pre-condition state checks in ApprovalService with full audit trail logging.</w:t>
            </w:r>
          </w:p>
        </w:tc>
      </w:tr>
    </w:tbl>
    <w:p>
      <w:pPr>
        <w:spacing w:before="80" w:after="0"/>
      </w:pPr>
    </w:p>
    <w:p>
      <w:pPr>
        <w:pStyle w:val="Heading2"/>
        <w:keepNext/>
        <w:spacing w:before="240" w:after="80"/>
      </w:pPr>
      <w:r>
        <w:rPr>
          <w:rFonts w:ascii="Calibri" w:hAnsi="Calibri"/>
          <w:b/>
          <w:color w:val="C80000"/>
          <w:sz w:val="26"/>
        </w:rPr>
        <w:t>21.6 Prompt Injection Without Over-Blocking</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1701" w:type="dxa"/>
          </w:tcPr>
          <w:p>
            <w:pPr>
              <w:spacing w:before="0" w:after="0"/>
            </w:pPr>
            <w:r>
              <w:rPr>
                <w:rFonts w:ascii="Calibri" w:hAnsi="Calibri"/>
                <w:b/>
                <w:i w:val="0"/>
                <w:color w:val="FFFFFF"/>
                <w:sz w:val="19"/>
                <w:u w:val="none"/>
              </w:rPr>
            </w:r>
          </w:p>
        </w:tc>
        <w:tc>
          <w:tcPr>
            <w:shd w:val="clear" w:color="auto" w:fill="1A1A2E"/>
            <w:tcMar>
              <w:top w:w="80" w:type="dxa"/>
              <w:bottom w:w="80" w:type="dxa"/>
              <w:left w:w="120" w:type="dxa"/>
              <w:right w:w="80" w:type="dxa"/>
            </w:tcMar>
            <w:vAlign w:val="center"/>
            <w:tcW w:w="8505" w:type="dxa"/>
          </w:tcPr>
          <w:p>
            <w:pPr>
              <w:spacing w:before="0" w:after="0"/>
            </w:pPr>
            <w:r>
              <w:rPr>
                <w:rFonts w:ascii="Calibri" w:hAnsi="Calibri"/>
                <w:b/>
                <w:i w:val="0"/>
                <w:color w:val="FFFFFF"/>
                <w:sz w:val="19"/>
                <w:u w:val="none"/>
              </w:rPr>
            </w:r>
          </w:p>
        </w:tc>
      </w:tr>
      <w:tr>
        <w:tc>
          <w:tcPr>
            <w:shd w:val="clear" w:color="auto" w:fill="FFFFFF"/>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Challenge</w:t>
            </w:r>
          </w:p>
        </w:tc>
        <w:tc>
          <w:tcPr>
            <w:shd w:val="clear" w:color="auto" w:fill="FFFFFF"/>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Keyword guards risk blocking valid IT prompts containing words like 'system' or 'act'.</w:t>
            </w:r>
          </w:p>
        </w:tc>
      </w:tr>
      <w:tr>
        <w:tc>
          <w:tcPr>
            <w:shd w:val="clear" w:color="auto" w:fill="F0F4F8"/>
            <w:tcMar>
              <w:top w:w="70" w:type="dxa"/>
              <w:bottom w:w="70" w:type="dxa"/>
              <w:left w:w="120" w:type="dxa"/>
              <w:right w:w="80" w:type="dxa"/>
            </w:tcMar>
            <w:vAlign w:val="top"/>
            <w:tcW w:w="1701" w:type="dxa"/>
          </w:tcPr>
          <w:p>
            <w:pPr>
              <w:spacing w:before="0" w:after="0"/>
            </w:pPr>
            <w:r>
              <w:rPr>
                <w:rFonts w:ascii="Calibri" w:hAnsi="Calibri"/>
                <w:b w:val="0"/>
                <w:i w:val="0"/>
                <w:color w:val="1A1A1A"/>
                <w:sz w:val="19"/>
                <w:u w:val="none"/>
              </w:rPr>
              <w:t>Resolution</w:t>
            </w:r>
          </w:p>
        </w:tc>
        <w:tc>
          <w:tcPr>
            <w:shd w:val="clear" w:color="auto" w:fill="F0F4F8"/>
            <w:tcMar>
              <w:top w:w="70" w:type="dxa"/>
              <w:bottom w:w="70" w:type="dxa"/>
              <w:left w:w="120" w:type="dxa"/>
              <w:right w:w="80" w:type="dxa"/>
            </w:tcMar>
            <w:vAlign w:val="top"/>
            <w:tcW w:w="8505" w:type="dxa"/>
          </w:tcPr>
          <w:p>
            <w:pPr>
              <w:spacing w:before="0" w:after="0"/>
            </w:pPr>
            <w:r>
              <w:rPr>
                <w:rFonts w:ascii="Calibri" w:hAnsi="Calibri"/>
                <w:b w:val="0"/>
                <w:i w:val="0"/>
                <w:color w:val="1A1A1A"/>
                <w:sz w:val="19"/>
                <w:u w:val="none"/>
              </w:rPr>
              <w:t>Full-phrase anchored regex patterns in PromptGuard ensuring accurate classification.</w:t>
            </w:r>
          </w:p>
        </w:tc>
      </w:tr>
    </w:tbl>
    <w:p>
      <w:pPr>
        <w:spacing w:before="80" w:after="0"/>
      </w:pPr>
    </w:p>
    <w:p>
      <w:pPr>
        <w:pStyle w:val="Heading1"/>
        <w:keepNext/>
        <w:spacing w:before="360" w:after="120"/>
        <w:pBdr>
          <w:bottom w:val="single" w:sz="8" w:space="1" w:color="C80000"/>
        </w:pBdr>
      </w:pPr>
      <w:r>
        <w:rPr>
          <w:rFonts w:ascii="Calibri" w:hAnsi="Calibri"/>
          <w:b/>
          <w:color w:val="1A1A2E"/>
          <w:sz w:val="32"/>
        </w:rPr>
        <w:t>22. Future Roadmap</w:t>
      </w:r>
    </w:p>
    <w:p>
      <w:pPr>
        <w:pStyle w:val="Heading2"/>
        <w:keepNext/>
        <w:spacing w:before="240" w:after="80"/>
      </w:pPr>
      <w:r>
        <w:rPr>
          <w:rFonts w:ascii="Calibri" w:hAnsi="Calibri"/>
          <w:b/>
          <w:color w:val="C80000"/>
          <w:sz w:val="26"/>
        </w:rPr>
        <w:t>22.1 Near-Term (0–6 Months)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3402" w:type="dxa"/>
          </w:tcPr>
          <w:p>
            <w:pPr>
              <w:spacing w:before="0" w:after="0"/>
            </w:pPr>
            <w:r>
              <w:rPr>
                <w:rFonts w:ascii="Calibri" w:hAnsi="Calibri"/>
                <w:b/>
                <w:i w:val="0"/>
                <w:color w:val="FFFFFF"/>
                <w:sz w:val="19"/>
                <w:u w:val="none"/>
              </w:rPr>
              <w:t>Initiative</w:t>
            </w:r>
          </w:p>
        </w:tc>
        <w:tc>
          <w:tcPr>
            <w:shd w:val="clear" w:color="auto" w:fill="1A1A2E"/>
            <w:tcMar>
              <w:top w:w="80" w:type="dxa"/>
              <w:bottom w:w="80" w:type="dxa"/>
              <w:left w:w="120" w:type="dxa"/>
              <w:right w:w="80" w:type="dxa"/>
            </w:tcMar>
            <w:vAlign w:val="center"/>
            <w:tcW w:w="6804" w:type="dxa"/>
          </w:tcPr>
          <w:p>
            <w:pPr>
              <w:spacing w:before="0" w:after="0"/>
            </w:pPr>
            <w:r>
              <w:rPr>
                <w:rFonts w:ascii="Calibri" w:hAnsi="Calibri"/>
                <w:b/>
                <w:i w:val="0"/>
                <w:color w:val="FFFFFF"/>
                <w:sz w:val="19"/>
                <w:u w:val="none"/>
              </w:rPr>
              <w:t>Architectural Impact</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Alembic Migration Chain</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Replace auto-migration with versioned schema migrations</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Redis-Backed Rate Limiter</w:t>
            </w:r>
          </w:p>
        </w:tc>
        <w:tc>
          <w:tcPr>
            <w:shd w:val="clear" w:color="auto" w:fill="F0F4F8"/>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Replace in-process store with Redis to support multi-replica scaling</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Bi-Directional ServiceNow Sync</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Webhook receiver for ServiceNow state alignment</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Entra ID Live Integration</w:t>
            </w:r>
          </w:p>
        </w:tc>
        <w:tc>
          <w:tcPr>
            <w:shd w:val="clear" w:color="auto" w:fill="F0F4F8"/>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Replace mock AD adapter with production MS Graph OAuth2 flow</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Knowledge Base Vector Search</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Upgrade keyword retrieval to vector embeddings (pgvector)</w:t>
            </w:r>
          </w:p>
        </w:tc>
      </w:tr>
    </w:tbl>
    <w:p>
      <w:pPr>
        <w:spacing w:before="80" w:after="0"/>
      </w:pPr>
    </w:p>
    <w:p>
      <w:pPr>
        <w:pStyle w:val="Heading2"/>
        <w:keepNext/>
        <w:spacing w:before="240" w:after="80"/>
      </w:pPr>
      <w:r>
        <w:rPr>
          <w:rFonts w:ascii="Calibri" w:hAnsi="Calibri"/>
          <w:b/>
          <w:color w:val="C80000"/>
          <w:sz w:val="26"/>
        </w:rPr>
        <w:t>22.2 Medium-Term (6–18 Months)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3402" w:type="dxa"/>
          </w:tcPr>
          <w:p>
            <w:pPr>
              <w:spacing w:before="0" w:after="0"/>
            </w:pPr>
            <w:r>
              <w:rPr>
                <w:rFonts w:ascii="Calibri" w:hAnsi="Calibri"/>
                <w:b/>
                <w:i w:val="0"/>
                <w:color w:val="FFFFFF"/>
                <w:sz w:val="19"/>
                <w:u w:val="none"/>
              </w:rPr>
              <w:t>Initiative</w:t>
            </w:r>
          </w:p>
        </w:tc>
        <w:tc>
          <w:tcPr>
            <w:shd w:val="clear" w:color="auto" w:fill="1A1A2E"/>
            <w:tcMar>
              <w:top w:w="80" w:type="dxa"/>
              <w:bottom w:w="80" w:type="dxa"/>
              <w:left w:w="120" w:type="dxa"/>
              <w:right w:w="80" w:type="dxa"/>
            </w:tcMar>
            <w:vAlign w:val="center"/>
            <w:tcW w:w="6804" w:type="dxa"/>
          </w:tcPr>
          <w:p>
            <w:pPr>
              <w:spacing w:before="0" w:after="0"/>
            </w:pPr>
            <w:r>
              <w:rPr>
                <w:rFonts w:ascii="Calibri" w:hAnsi="Calibri"/>
                <w:b/>
                <w:i w:val="0"/>
                <w:color w:val="FFFFFF"/>
                <w:sz w:val="19"/>
                <w:u w:val="none"/>
              </w:rPr>
              <w:t>Architectural Impact</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Windows LAPS / CyberArk PAM</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Replace mock credentials with live LAPS / PAM integration</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Kubernetes Deployment</w:t>
            </w:r>
          </w:p>
        </w:tc>
        <w:tc>
          <w:tcPr>
            <w:shd w:val="clear" w:color="auto" w:fill="F0F4F8"/>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Multi-replica deployment with Redis shared state</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OpenTelemetry Integration</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Export traces to Jaeger, Datadog or Azure Monitor</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Multi-Model AI Routing</w:t>
            </w:r>
          </w:p>
        </w:tc>
        <w:tc>
          <w:tcPr>
            <w:shd w:val="clear" w:color="auto" w:fill="F0F4F8"/>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Route requests to domain-optimised AI models</w:t>
            </w:r>
          </w:p>
        </w:tc>
      </w:tr>
    </w:tbl>
    <w:p>
      <w:pPr>
        <w:spacing w:before="80" w:after="0"/>
      </w:pPr>
    </w:p>
    <w:p>
      <w:pPr>
        <w:pStyle w:val="Heading2"/>
        <w:keepNext/>
        <w:spacing w:before="240" w:after="80"/>
      </w:pPr>
      <w:r>
        <w:rPr>
          <w:rFonts w:ascii="Calibri" w:hAnsi="Calibri"/>
          <w:b/>
          <w:color w:val="C80000"/>
          <w:sz w:val="26"/>
        </w:rPr>
        <w:t>22.3 Long-Term (18+ Months)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4606"/>
        <w:gridCol w:w="4606"/>
      </w:tblGrid>
      <w:tr>
        <w:tc>
          <w:tcPr>
            <w:shd w:val="clear" w:color="auto" w:fill="1A1A2E"/>
            <w:tcMar>
              <w:top w:w="80" w:type="dxa"/>
              <w:bottom w:w="80" w:type="dxa"/>
              <w:left w:w="120" w:type="dxa"/>
              <w:right w:w="80" w:type="dxa"/>
            </w:tcMar>
            <w:vAlign w:val="center"/>
            <w:tcW w:w="3402" w:type="dxa"/>
          </w:tcPr>
          <w:p>
            <w:pPr>
              <w:spacing w:before="0" w:after="0"/>
            </w:pPr>
            <w:r>
              <w:rPr>
                <w:rFonts w:ascii="Calibri" w:hAnsi="Calibri"/>
                <w:b/>
                <w:i w:val="0"/>
                <w:color w:val="FFFFFF"/>
                <w:sz w:val="19"/>
                <w:u w:val="none"/>
              </w:rPr>
              <w:t>Initiative</w:t>
            </w:r>
          </w:p>
        </w:tc>
        <w:tc>
          <w:tcPr>
            <w:shd w:val="clear" w:color="auto" w:fill="1A1A2E"/>
            <w:tcMar>
              <w:top w:w="80" w:type="dxa"/>
              <w:bottom w:w="80" w:type="dxa"/>
              <w:left w:w="120" w:type="dxa"/>
              <w:right w:w="80" w:type="dxa"/>
            </w:tcMar>
            <w:vAlign w:val="center"/>
            <w:tcW w:w="6804" w:type="dxa"/>
          </w:tcPr>
          <w:p>
            <w:pPr>
              <w:spacing w:before="0" w:after="0"/>
            </w:pPr>
            <w:r>
              <w:rPr>
                <w:rFonts w:ascii="Calibri" w:hAnsi="Calibri"/>
                <w:b/>
                <w:i w:val="0"/>
                <w:color w:val="FFFFFF"/>
                <w:sz w:val="19"/>
                <w:u w:val="none"/>
              </w:rPr>
              <w:t>Architectural Impact</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Predictive SLA Management</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ML breach risk prediction model</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Incident Pattern Clustering</w:t>
            </w:r>
          </w:p>
        </w:tc>
        <w:tc>
          <w:tcPr>
            <w:shd w:val="clear" w:color="auto" w:fill="F0F4F8"/>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Automated grouping of incidents into ServiceNow Problems</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Multi-Tenant Architecture</w:t>
            </w:r>
          </w:p>
        </w:tc>
        <w:tc>
          <w:tcPr>
            <w:shd w:val="clear" w:color="auto" w:fill="FFFFFF"/>
            <w:tcMar>
              <w:top w:w="70" w:type="dxa"/>
              <w:bottom w:w="70" w:type="dxa"/>
              <w:left w:w="120" w:type="dxa"/>
              <w:right w:w="80" w:type="dxa"/>
            </w:tcMar>
            <w:vAlign w:val="top"/>
            <w:tcW w:w="6804" w:type="dxa"/>
          </w:tcPr>
          <w:p>
            <w:pPr>
              <w:spacing w:before="0" w:after="0"/>
            </w:pPr>
            <w:r>
              <w:rPr>
                <w:rFonts w:ascii="Calibri" w:hAnsi="Calibri"/>
                <w:b w:val="0"/>
                <w:i w:val="0"/>
                <w:color w:val="1A1A1A"/>
                <w:sz w:val="19"/>
                <w:u w:val="none"/>
              </w:rPr>
              <w:t>Isolated data and AI contexts for subsidiaries</w:t>
            </w:r>
          </w:p>
        </w:tc>
      </w:tr>
    </w:tbl>
    <w:p>
      <w:pPr>
        <w:spacing w:before="80" w:after="0"/>
      </w:pPr>
    </w:p>
    <w:p>
      <w:pPr>
        <w:pStyle w:val="Heading1"/>
        <w:keepNext/>
        <w:spacing w:before="360" w:after="120"/>
        <w:pBdr>
          <w:bottom w:val="single" w:sz="8" w:space="1" w:color="C80000"/>
        </w:pBdr>
      </w:pPr>
      <w:r>
        <w:rPr>
          <w:rFonts w:ascii="Calibri" w:hAnsi="Calibri"/>
          <w:b/>
          <w:color w:val="1A1A2E"/>
          <w:sz w:val="32"/>
        </w:rPr>
        <w:t>23. Conclusion</w:t>
      </w:r>
    </w:p>
    <w:p>
      <w:pPr>
        <w:keepNext w:val="0"/>
        <w:spacing w:before="20" w:after="100"/>
      </w:pPr>
      <w:r>
        <w:rPr>
          <w:rFonts w:ascii="Calibri" w:hAnsi="Calibri"/>
          <w:b w:val="0"/>
          <w:i w:val="0"/>
          <w:color w:val="1A1A1A"/>
          <w:sz w:val="21"/>
          <w:u w:val="none"/>
        </w:rPr>
        <w:t>The Bridgestone IT AI Assistant establishes a production-credible architecture combining AI reasoning with deterministic enterprise controls, minimal operational complexity, and complete compliance auditability.</w:t>
      </w:r>
    </w:p>
    <w:p>
      <w:pPr>
        <w:pStyle w:val="Heading1"/>
        <w:keepNext/>
        <w:spacing w:before="360" w:after="120"/>
        <w:pBdr>
          <w:bottom w:val="single" w:sz="8" w:space="1" w:color="C80000"/>
        </w:pBdr>
      </w:pPr>
      <w:r>
        <w:rPr>
          <w:rFonts w:ascii="Calibri" w:hAnsi="Calibri"/>
          <w:b/>
          <w:color w:val="1A1A2E"/>
          <w:sz w:val="32"/>
        </w:rPr>
        <w:t>24. Appendix</w:t>
      </w:r>
    </w:p>
    <w:p>
      <w:pPr>
        <w:pStyle w:val="Heading2"/>
        <w:keepNext/>
        <w:spacing w:before="240" w:after="80"/>
      </w:pPr>
      <w:r>
        <w:rPr>
          <w:rFonts w:ascii="Calibri" w:hAnsi="Calibri"/>
          <w:b/>
          <w:color w:val="C80000"/>
          <w:sz w:val="26"/>
        </w:rPr>
        <w:t>24.1 ServiceNow Field Mapping Reference</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Platform Concept</w:t>
            </w:r>
          </w:p>
        </w:tc>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ServiceNow Field</w:t>
            </w:r>
          </w:p>
        </w:tc>
        <w:tc>
          <w:tcPr>
            <w:shd w:val="clear" w:color="auto" w:fill="1A1A2E"/>
            <w:tcMar>
              <w:top w:w="80" w:type="dxa"/>
              <w:bottom w:w="80" w:type="dxa"/>
              <w:left w:w="120" w:type="dxa"/>
              <w:right w:w="80" w:type="dxa"/>
            </w:tcMar>
            <w:vAlign w:val="center"/>
            <w:tcW w:w="5103" w:type="dxa"/>
          </w:tcPr>
          <w:p>
            <w:pPr>
              <w:spacing w:before="0" w:after="0"/>
            </w:pPr>
            <w:r>
              <w:rPr>
                <w:rFonts w:ascii="Calibri" w:hAnsi="Calibri"/>
                <w:b/>
                <w:i w:val="0"/>
                <w:color w:val="FFFFFF"/>
                <w:sz w:val="19"/>
                <w:u w:val="none"/>
              </w:rPr>
              <w:t>Resolution Method</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Category</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category</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AI → FieldMappingService → MetadataValidator</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Subcategory</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subcategory</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AI → subcategory_map in incident_config.json</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Assignment Group</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assignment_group</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assignment_group_map in incident_config.json</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CMDB CI</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cmdb_ci</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ci_map in incident_config.json</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Impact</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impact</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category_impact rules in incident_config.json</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Urgency</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urgency</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category_urgency rules in incident_config.json</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Priority</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priority</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Priority matrix derived from impact × urgency</w:t>
            </w:r>
          </w:p>
        </w:tc>
      </w:tr>
      <w:tr>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Contact Type</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contact_type</w:t>
            </w:r>
          </w:p>
        </w:tc>
        <w:tc>
          <w:tcPr>
            <w:shd w:val="clear" w:color="auto" w:fill="F0F4F8"/>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Static: 'Virtual Agent'</w:t>
            </w:r>
          </w:p>
        </w:tc>
      </w:tr>
      <w:tr>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Caller</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caller_id</w:t>
            </w:r>
          </w:p>
        </w:tc>
        <w:tc>
          <w:tcPr>
            <w:shd w:val="clear" w:color="auto" w:fill="FFFFFF"/>
            <w:tcMar>
              <w:top w:w="70" w:type="dxa"/>
              <w:bottom w:w="70" w:type="dxa"/>
              <w:left w:w="120" w:type="dxa"/>
              <w:right w:w="80" w:type="dxa"/>
            </w:tcMar>
            <w:vAlign w:val="top"/>
            <w:tcW w:w="5103" w:type="dxa"/>
          </w:tcPr>
          <w:p>
            <w:pPr>
              <w:spacing w:before="0" w:after="0"/>
            </w:pPr>
            <w:r>
              <w:rPr>
                <w:rFonts w:ascii="Calibri" w:hAnsi="Calibri"/>
                <w:b w:val="0"/>
                <w:i w:val="0"/>
                <w:color w:val="1A1A1A"/>
                <w:sz w:val="19"/>
                <w:u w:val="none"/>
              </w:rPr>
              <w:t>Authenticated username from JWT</w:t>
            </w:r>
          </w:p>
        </w:tc>
      </w:tr>
    </w:tbl>
    <w:p>
      <w:pPr>
        <w:spacing w:before="80" w:after="0"/>
      </w:pPr>
    </w:p>
    <w:p>
      <w:pPr>
        <w:keepNext w:val="0"/>
        <w:spacing w:before="80" w:after="120"/>
        <w:jc w:val="center"/>
      </w:pPr>
      <w:r>
        <w:rPr>
          <w:rFonts w:ascii="Calibri" w:hAnsi="Calibri"/>
          <w:b w:val="0"/>
          <w:i/>
          <w:color w:val="555555"/>
          <w:sz w:val="18"/>
          <w:u w:val="none"/>
        </w:rPr>
        <w:t>Table 17 — ServiceNow Field Mapping Reference</w:t>
      </w:r>
    </w:p>
    <w:p>
      <w:pPr>
        <w:pStyle w:val="Heading2"/>
        <w:keepNext/>
        <w:spacing w:before="240" w:after="80"/>
      </w:pPr>
      <w:r>
        <w:rPr>
          <w:rFonts w:ascii="Calibri" w:hAnsi="Calibri"/>
          <w:b/>
          <w:color w:val="C80000"/>
          <w:sz w:val="26"/>
        </w:rPr>
        <w:t>24.2 Environment Variables Reference</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3071"/>
        <w:gridCol w:w="3071"/>
        <w:gridCol w:w="3071"/>
      </w:tblGrid>
      <w:tr>
        <w:tc>
          <w:tcPr>
            <w:shd w:val="clear" w:color="auto" w:fill="1A1A2E"/>
            <w:tcMar>
              <w:top w:w="80" w:type="dxa"/>
              <w:bottom w:w="80" w:type="dxa"/>
              <w:left w:w="120" w:type="dxa"/>
              <w:right w:w="80" w:type="dxa"/>
            </w:tcMar>
            <w:vAlign w:val="center"/>
            <w:tcW w:w="3402" w:type="dxa"/>
          </w:tcPr>
          <w:p>
            <w:pPr>
              <w:spacing w:before="0" w:after="0"/>
            </w:pPr>
            <w:r>
              <w:rPr>
                <w:rFonts w:ascii="Calibri" w:hAnsi="Calibri"/>
                <w:b/>
                <w:i w:val="0"/>
                <w:color w:val="FFFFFF"/>
                <w:sz w:val="19"/>
                <w:u w:val="none"/>
              </w:rPr>
              <w:t>Variable</w:t>
            </w:r>
          </w:p>
        </w:tc>
        <w:tc>
          <w:tcPr>
            <w:shd w:val="clear" w:color="auto" w:fill="1A1A2E"/>
            <w:tcMar>
              <w:top w:w="80" w:type="dxa"/>
              <w:bottom w:w="80" w:type="dxa"/>
              <w:left w:w="120" w:type="dxa"/>
              <w:right w:w="80" w:type="dxa"/>
            </w:tcMar>
            <w:vAlign w:val="center"/>
            <w:tcW w:w="1984" w:type="dxa"/>
          </w:tcPr>
          <w:p>
            <w:pPr>
              <w:spacing w:before="0" w:after="0"/>
            </w:pPr>
            <w:r>
              <w:rPr>
                <w:rFonts w:ascii="Calibri" w:hAnsi="Calibri"/>
                <w:b/>
                <w:i w:val="0"/>
                <w:color w:val="FFFFFF"/>
                <w:sz w:val="19"/>
                <w:u w:val="none"/>
              </w:rPr>
              <w:t>Default</w:t>
            </w:r>
          </w:p>
        </w:tc>
        <w:tc>
          <w:tcPr>
            <w:shd w:val="clear" w:color="auto" w:fill="1A1A2E"/>
            <w:tcMar>
              <w:top w:w="80" w:type="dxa"/>
              <w:bottom w:w="80" w:type="dxa"/>
              <w:left w:w="120" w:type="dxa"/>
              <w:right w:w="80" w:type="dxa"/>
            </w:tcMar>
            <w:vAlign w:val="center"/>
            <w:tcW w:w="4819" w:type="dxa"/>
          </w:tcPr>
          <w:p>
            <w:pPr>
              <w:spacing w:before="0" w:after="0"/>
            </w:pPr>
            <w:r>
              <w:rPr>
                <w:rFonts w:ascii="Calibri" w:hAnsi="Calibri"/>
                <w:b/>
                <w:i w:val="0"/>
                <w:color w:val="FFFFFF"/>
                <w:sz w:val="19"/>
                <w:u w:val="none"/>
              </w:rPr>
              <w:t>Description</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SECRET_KEY</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dev default</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JWT signing secret</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DATABASE_URL</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sqlite:///./bridgestone.db</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SQLAlchemy connection string</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REDIS_URL</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redis://redis:6379/0</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Redis connection (prod)</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GEMINI_API_KEY</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Google Gemini API key</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ANTHROPIC_API_KEY</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Anthropic Claude API key</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SERVICENOW_INSTANCE_URL</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ServiceNow instance base URL</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SERVICENOW_USERNAME</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ServiceNow API username</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SERVICENOW_CLIENT_ID</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OAuth2 client ID</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SERVICENOW_CLIENT_SECRET</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OAuth2 client secret</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SERVICENOW_AUTH_TYPE</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basic</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Auth mode: basic or oauth2</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SERVICENOW_METADATA_CACHE_TTL_SECONDS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3600</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Metadata cache TTL</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USE_MOCK_SERVICENOW</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true</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Disable live ServiceNow calls</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USE_MOCK_GRAPH</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true</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Disable live MS Graph calls</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USE_MOCK_AD</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true</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Disable live Active Directory calls</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RATE_LIMIT_CHAT</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30</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Max chat requests per window</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RATE_LIMIT_CHAT_WINDOW</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60</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Chat rate limit window in seconds</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RATE_LIMIT_LOGIN</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10</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Max login attempts per window</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RATE_LIMIT_ENABLED</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true</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Enable rate limiting</w:t>
            </w:r>
          </w:p>
        </w:tc>
      </w:tr>
      <w:tr>
        <w:tc>
          <w:tcPr>
            <w:shd w:val="clear" w:color="auto" w:fill="FFFFFF"/>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HSTS_ENABLED</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false</w:t>
            </w:r>
          </w:p>
        </w:tc>
        <w:tc>
          <w:tcPr>
            <w:shd w:val="clear" w:color="auto" w:fill="FFFFFF"/>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Enable HSTS headers</w:t>
            </w:r>
          </w:p>
        </w:tc>
      </w:tr>
      <w:tr>
        <w:tc>
          <w:tcPr>
            <w:shd w:val="clear" w:color="auto" w:fill="F0F4F8"/>
            <w:tcMar>
              <w:top w:w="70" w:type="dxa"/>
              <w:bottom w:w="70" w:type="dxa"/>
              <w:left w:w="120" w:type="dxa"/>
              <w:right w:w="80" w:type="dxa"/>
            </w:tcMar>
            <w:vAlign w:val="top"/>
            <w:tcW w:w="3402" w:type="dxa"/>
          </w:tcPr>
          <w:p>
            <w:pPr>
              <w:spacing w:before="0" w:after="0"/>
            </w:pPr>
            <w:r>
              <w:rPr>
                <w:rFonts w:ascii="Calibri" w:hAnsi="Calibri"/>
                <w:b w:val="0"/>
                <w:i w:val="0"/>
                <w:color w:val="1A1A1A"/>
                <w:sz w:val="19"/>
                <w:u w:val="none"/>
              </w:rPr>
              <w:t>MAX_REQUEST_SIZE_KB</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512</w:t>
            </w:r>
          </w:p>
        </w:tc>
        <w:tc>
          <w:tcPr>
            <w:shd w:val="clear" w:color="auto" w:fill="F0F4F8"/>
            <w:tcMar>
              <w:top w:w="70" w:type="dxa"/>
              <w:bottom w:w="70" w:type="dxa"/>
              <w:left w:w="120" w:type="dxa"/>
              <w:right w:w="80" w:type="dxa"/>
            </w:tcMar>
            <w:vAlign w:val="top"/>
            <w:tcW w:w="4819" w:type="dxa"/>
          </w:tcPr>
          <w:p>
            <w:pPr>
              <w:spacing w:before="0" w:after="0"/>
            </w:pPr>
            <w:r>
              <w:rPr>
                <w:rFonts w:ascii="Calibri" w:hAnsi="Calibri"/>
                <w:b w:val="0"/>
                <w:i w:val="0"/>
                <w:color w:val="1A1A1A"/>
                <w:sz w:val="19"/>
                <w:u w:val="none"/>
              </w:rPr>
              <w:t>Max request body size in KB</w:t>
            </w:r>
          </w:p>
        </w:tc>
      </w:tr>
    </w:tbl>
    <w:p>
      <w:pPr>
        <w:spacing w:before="80" w:after="0"/>
      </w:pPr>
    </w:p>
    <w:p>
      <w:pPr>
        <w:keepNext w:val="0"/>
        <w:spacing w:before="80" w:after="120"/>
        <w:jc w:val="center"/>
      </w:pPr>
      <w:r>
        <w:rPr>
          <w:rFonts w:ascii="Calibri" w:hAnsi="Calibri"/>
          <w:b w:val="0"/>
          <w:i/>
          <w:color w:val="555555"/>
          <w:sz w:val="18"/>
          <w:u w:val="none"/>
        </w:rPr>
        <w:t>Table 18 — Environment Variables Reference</w:t>
      </w:r>
    </w:p>
    <w:p>
      <w:pPr>
        <w:pStyle w:val="Heading2"/>
        <w:keepNext/>
        <w:spacing w:before="240" w:after="80"/>
      </w:pPr>
      <w:r>
        <w:rPr>
          <w:rFonts w:ascii="Calibri" w:hAnsi="Calibri"/>
          <w:b/>
          <w:color w:val="C80000"/>
          <w:sz w:val="26"/>
        </w:rPr>
        <w:t>24.3 LangGraph Node Inventory — All 23 Nodes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303"/>
        <w:gridCol w:w="2303"/>
        <w:gridCol w:w="2303"/>
        <w:gridCol w:w="2303"/>
      </w:tblGrid>
      <w:tr>
        <w:tc>
          <w:tcPr>
            <w:shd w:val="clear" w:color="auto" w:fill="1A1A2E"/>
            <w:tcMar>
              <w:top w:w="80" w:type="dxa"/>
              <w:bottom w:w="80" w:type="dxa"/>
              <w:left w:w="120" w:type="dxa"/>
              <w:right w:w="80" w:type="dxa"/>
            </w:tcMar>
            <w:vAlign w:val="center"/>
            <w:tcW w:w="567" w:type="dxa"/>
          </w:tcPr>
          <w:p>
            <w:pPr>
              <w:spacing w:before="0" w:after="0"/>
            </w:pPr>
            <w:r>
              <w:rPr>
                <w:rFonts w:ascii="Calibri" w:hAnsi="Calibri"/>
                <w:b/>
                <w:i w:val="0"/>
                <w:color w:val="FFFFFF"/>
                <w:sz w:val="19"/>
                <w:u w:val="none"/>
              </w:rPr>
              <w:t>#</w:t>
            </w:r>
          </w:p>
        </w:tc>
        <w:tc>
          <w:tcPr>
            <w:shd w:val="clear" w:color="auto" w:fill="1A1A2E"/>
            <w:tcMar>
              <w:top w:w="80" w:type="dxa"/>
              <w:bottom w:w="80" w:type="dxa"/>
              <w:left w:w="120" w:type="dxa"/>
              <w:right w:w="80" w:type="dxa"/>
            </w:tcMar>
            <w:vAlign w:val="center"/>
            <w:tcW w:w="2154" w:type="dxa"/>
          </w:tcPr>
          <w:p>
            <w:pPr>
              <w:spacing w:before="0" w:after="0"/>
            </w:pPr>
            <w:r>
              <w:rPr>
                <w:rFonts w:ascii="Calibri" w:hAnsi="Calibri"/>
                <w:b/>
                <w:i w:val="0"/>
                <w:color w:val="FFFFFF"/>
                <w:sz w:val="19"/>
                <w:u w:val="none"/>
              </w:rPr>
              <w:t>Node</w:t>
            </w:r>
          </w:p>
        </w:tc>
        <w:tc>
          <w:tcPr>
            <w:shd w:val="clear" w:color="auto" w:fill="1A1A2E"/>
            <w:tcMar>
              <w:top w:w="80" w:type="dxa"/>
              <w:bottom w:w="80" w:type="dxa"/>
              <w:left w:w="120" w:type="dxa"/>
              <w:right w:w="80" w:type="dxa"/>
            </w:tcMar>
            <w:vAlign w:val="center"/>
            <w:tcW w:w="2948" w:type="dxa"/>
          </w:tcPr>
          <w:p>
            <w:pPr>
              <w:spacing w:before="0" w:after="0"/>
            </w:pPr>
            <w:r>
              <w:rPr>
                <w:rFonts w:ascii="Calibri" w:hAnsi="Calibri"/>
                <w:b/>
                <w:i w:val="0"/>
                <w:color w:val="FFFFFF"/>
                <w:sz w:val="19"/>
                <w:u w:val="none"/>
              </w:rPr>
              <w:t>Source File</w:t>
            </w:r>
          </w:p>
        </w:tc>
        <w:tc>
          <w:tcPr>
            <w:shd w:val="clear" w:color="auto" w:fill="1A1A2E"/>
            <w:tcMar>
              <w:top w:w="80" w:type="dxa"/>
              <w:bottom w:w="80" w:type="dxa"/>
              <w:left w:w="120" w:type="dxa"/>
              <w:right w:w="80" w:type="dxa"/>
            </w:tcMar>
            <w:vAlign w:val="center"/>
            <w:tcW w:w="4536" w:type="dxa"/>
          </w:tcPr>
          <w:p>
            <w:pPr>
              <w:spacing w:before="0" w:after="0"/>
            </w:pPr>
            <w:r>
              <w:rPr>
                <w:rFonts w:ascii="Calibri" w:hAnsi="Calibri"/>
                <w:b/>
                <w:i w:val="0"/>
                <w:color w:val="FFFFFF"/>
                <w:sz w:val="19"/>
                <w:u w:val="none"/>
              </w:rPr>
              <w:t>Responsibility</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router</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router_node.py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Classify message as CHAT or TROUBLESHOOT</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2</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conversation</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conversation_node.py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Handle general conversational messages; end immediately</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3</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memory</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memory_node.py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Load conversation history and active context into state</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4</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context_router</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context_router_node.py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Route to appropriate pipeline based on conversation context</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5</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intent</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intent_node.py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Classify IT issue into a diagnostic category</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6</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diagnostic_interview</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diagnostic_interview_node.py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Conduct structured diagnostic questioning; short-circuit if questions pending</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7</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planner</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planner_node.py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Generate ordered tool execution plan</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8</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knowledge</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knowledge_node.py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Retrieve relevant KB articles and resolution precedents</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9</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tool</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tool_node.py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Execute selected enterprise tool (VPN, AD, network, printer)</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10</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multi_step</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multi_step_node.py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Evaluate tool results; decide whether to loop or proceed to root cause</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11</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root_cause</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root_cause_node.py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Synthesise root cause from tool chain results</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12</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reflection</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reflection_node.py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Evaluate reasoning quality and flag low-confidence decisions</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13</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decision</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decision_node.py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Choose terminal action: CREATE_TICKET, EXECUTE_ACTION, or ASK_MORE_INFO</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14</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approval</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approval_node.py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Evaluate approval requirement; set approval_status</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15</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action</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action_node.py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Execute approved enterprise action</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16</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ticket</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ticket_node.py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Classify, enrich, validate, create ServiceNow incident</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17</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ticket_lifecycle</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ticket_lifecycle_node.py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Drive ticket state machine transitions (shared path)</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18</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ticket_status</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ticket_status_node.py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Return current ticket status to employee</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19</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service_request</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service_request_node.py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Handle service catalogue requests</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20</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assignment</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assignment_node.py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Assign ticket to appropriate team based on category</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21</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notification</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notification_node.py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Dispatch notifications to assigned recipients</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22</w:t>
            </w:r>
          </w:p>
        </w:tc>
        <w:tc>
          <w:tcPr>
            <w:shd w:val="clear" w:color="auto" w:fill="F0F4F8"/>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sla</w:t>
            </w:r>
          </w:p>
        </w:tc>
        <w:tc>
          <w:tcPr>
            <w:shd w:val="clear" w:color="auto" w:fill="F0F4F8"/>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sla_node.py</w:t>
            </w:r>
          </w:p>
        </w:tc>
        <w:tc>
          <w:tcPr>
            <w:shd w:val="clear" w:color="auto" w:fill="F0F4F8"/>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Initialise or update SLA tracking state</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23</w:t>
            </w:r>
          </w:p>
        </w:tc>
        <w:tc>
          <w:tcPr>
            <w:shd w:val="clear" w:color="auto" w:fill="FFFFFF"/>
            <w:tcMar>
              <w:top w:w="70" w:type="dxa"/>
              <w:bottom w:w="70" w:type="dxa"/>
              <w:left w:w="120" w:type="dxa"/>
              <w:right w:w="80" w:type="dxa"/>
            </w:tcMar>
            <w:vAlign w:val="top"/>
            <w:tcW w:w="2154" w:type="dxa"/>
          </w:tcPr>
          <w:p>
            <w:pPr>
              <w:spacing w:before="0" w:after="0"/>
            </w:pPr>
            <w:r>
              <w:rPr>
                <w:rFonts w:ascii="Calibri" w:hAnsi="Calibri"/>
                <w:b w:val="0"/>
                <w:i w:val="0"/>
                <w:color w:val="1A1A1A"/>
                <w:sz w:val="19"/>
                <w:u w:val="none"/>
              </w:rPr>
              <w:t>context_router</w:t>
            </w:r>
          </w:p>
        </w:tc>
        <w:tc>
          <w:tcPr>
            <w:shd w:val="clear" w:color="auto" w:fill="FFFFFF"/>
            <w:tcMar>
              <w:top w:w="70" w:type="dxa"/>
              <w:bottom w:w="70" w:type="dxa"/>
              <w:left w:w="120" w:type="dxa"/>
              <w:right w:w="80" w:type="dxa"/>
            </w:tcMar>
            <w:vAlign w:val="top"/>
            <w:tcW w:w="2948" w:type="dxa"/>
          </w:tcPr>
          <w:p>
            <w:pPr>
              <w:spacing w:before="0" w:after="0"/>
            </w:pPr>
            <w:r>
              <w:rPr>
                <w:rFonts w:ascii="Calibri" w:hAnsi="Calibri"/>
                <w:b w:val="0"/>
                <w:i w:val="0"/>
                <w:color w:val="1A1A1A"/>
                <w:sz w:val="19"/>
                <w:u w:val="none"/>
              </w:rPr>
              <w:t>context_router_node.py</w:t>
            </w:r>
          </w:p>
        </w:tc>
        <w:tc>
          <w:tcPr>
            <w:shd w:val="clear" w:color="auto" w:fill="FFFFFF"/>
            <w:tcMar>
              <w:top w:w="70" w:type="dxa"/>
              <w:bottom w:w="70" w:type="dxa"/>
              <w:left w:w="120" w:type="dxa"/>
              <w:right w:w="80" w:type="dxa"/>
            </w:tcMar>
            <w:vAlign w:val="top"/>
            <w:tcW w:w="4536" w:type="dxa"/>
          </w:tcPr>
          <w:p>
            <w:pPr>
              <w:spacing w:before="0" w:after="0"/>
            </w:pPr>
            <w:r>
              <w:rPr>
                <w:rFonts w:ascii="Calibri" w:hAnsi="Calibri"/>
                <w:b w:val="0"/>
                <w:i w:val="0"/>
                <w:color w:val="1A1A1A"/>
                <w:sz w:val="19"/>
                <w:u w:val="none"/>
              </w:rPr>
              <w:t>Shared entry into ticket_lifecycle from standalone context path</w:t>
            </w:r>
          </w:p>
        </w:tc>
      </w:tr>
    </w:tbl>
    <w:p>
      <w:pPr>
        <w:spacing w:before="80" w:after="0"/>
      </w:pPr>
    </w:p>
    <w:p>
      <w:pPr>
        <w:keepNext w:val="0"/>
        <w:spacing w:before="80" w:after="120"/>
        <w:jc w:val="center"/>
      </w:pPr>
      <w:r>
        <w:rPr>
          <w:rFonts w:ascii="Calibri" w:hAnsi="Calibri"/>
          <w:b w:val="0"/>
          <w:i/>
          <w:color w:val="555555"/>
          <w:sz w:val="18"/>
          <w:u w:val="none"/>
        </w:rPr>
        <w:t>Table 19 — LangGraph Node Inventory — All 23 Nodes</w:t>
      </w:r>
    </w:p>
    <w:p>
      <w:pPr>
        <w:pStyle w:val="Heading2"/>
        <w:keepNext/>
        <w:spacing w:before="240" w:after="80"/>
      </w:pPr>
      <w:r>
        <w:rPr>
          <w:rFonts w:ascii="Calibri" w:hAnsi="Calibri"/>
          <w:b/>
          <w:color w:val="C80000"/>
          <w:sz w:val="26"/>
        </w:rPr>
        <w:t>24.4 Database Model Inventory — All 19 Models</w:t>
      </w:r>
    </w:p>
    <w:tbl>
      <w:tblPr>
        <w:tblW w:type="auto" w:w="0"/>
        <w:jc w:val="left"/>
        <w:tblLook w:firstColumn="1" w:firstRow="1" w:lastColumn="0" w:lastRow="0" w:noHBand="0" w:noVBand="1" w:val="04A0"/>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blGrid>
        <w:gridCol w:w="2303"/>
        <w:gridCol w:w="2303"/>
        <w:gridCol w:w="2303"/>
        <w:gridCol w:w="2303"/>
      </w:tblGrid>
      <w:tr>
        <w:tc>
          <w:tcPr>
            <w:shd w:val="clear" w:color="auto" w:fill="1A1A2E"/>
            <w:tcMar>
              <w:top w:w="80" w:type="dxa"/>
              <w:bottom w:w="80" w:type="dxa"/>
              <w:left w:w="120" w:type="dxa"/>
              <w:right w:w="80" w:type="dxa"/>
            </w:tcMar>
            <w:vAlign w:val="center"/>
            <w:tcW w:w="567" w:type="dxa"/>
          </w:tcPr>
          <w:p>
            <w:pPr>
              <w:spacing w:before="0" w:after="0"/>
            </w:pPr>
            <w:r>
              <w:rPr>
                <w:rFonts w:ascii="Calibri" w:hAnsi="Calibri"/>
                <w:b/>
                <w:i w:val="0"/>
                <w:color w:val="FFFFFF"/>
                <w:sz w:val="19"/>
                <w:u w:val="none"/>
              </w:rPr>
              <w:t>#</w:t>
            </w:r>
          </w:p>
        </w:tc>
        <w:tc>
          <w:tcPr>
            <w:shd w:val="clear" w:color="auto" w:fill="1A1A2E"/>
            <w:tcMar>
              <w:top w:w="80" w:type="dxa"/>
              <w:bottom w:w="80" w:type="dxa"/>
              <w:left w:w="120" w:type="dxa"/>
              <w:right w:w="80" w:type="dxa"/>
            </w:tcMar>
            <w:vAlign w:val="center"/>
            <w:tcW w:w="2551" w:type="dxa"/>
          </w:tcPr>
          <w:p>
            <w:pPr>
              <w:spacing w:before="0" w:after="0"/>
            </w:pPr>
            <w:r>
              <w:rPr>
                <w:rFonts w:ascii="Calibri" w:hAnsi="Calibri"/>
                <w:b/>
                <w:i w:val="0"/>
                <w:color w:val="FFFFFF"/>
                <w:sz w:val="19"/>
                <w:u w:val="none"/>
              </w:rPr>
              <w:t>Model</w:t>
            </w:r>
          </w:p>
        </w:tc>
        <w:tc>
          <w:tcPr>
            <w:shd w:val="clear" w:color="auto" w:fill="1A1A2E"/>
            <w:tcMar>
              <w:top w:w="80" w:type="dxa"/>
              <w:bottom w:w="80" w:type="dxa"/>
              <w:left w:w="120" w:type="dxa"/>
              <w:right w:w="80" w:type="dxa"/>
            </w:tcMar>
            <w:vAlign w:val="center"/>
            <w:tcW w:w="3118" w:type="dxa"/>
          </w:tcPr>
          <w:p>
            <w:pPr>
              <w:spacing w:before="0" w:after="0"/>
            </w:pPr>
            <w:r>
              <w:rPr>
                <w:rFonts w:ascii="Calibri" w:hAnsi="Calibri"/>
                <w:b/>
                <w:i w:val="0"/>
                <w:color w:val="FFFFFF"/>
                <w:sz w:val="19"/>
                <w:u w:val="none"/>
              </w:rPr>
              <w:t>Table</w:t>
            </w:r>
          </w:p>
        </w:tc>
        <w:tc>
          <w:tcPr>
            <w:shd w:val="clear" w:color="auto" w:fill="1A1A2E"/>
            <w:tcMar>
              <w:top w:w="80" w:type="dxa"/>
              <w:bottom w:w="80" w:type="dxa"/>
              <w:left w:w="120" w:type="dxa"/>
              <w:right w:w="80" w:type="dxa"/>
            </w:tcMar>
            <w:vAlign w:val="center"/>
            <w:tcW w:w="1984" w:type="dxa"/>
          </w:tcPr>
          <w:p>
            <w:pPr>
              <w:spacing w:before="0" w:after="0"/>
            </w:pPr>
            <w:r>
              <w:rPr>
                <w:rFonts w:ascii="Calibri" w:hAnsi="Calibri"/>
                <w:b/>
                <w:i w:val="0"/>
                <w:color w:val="FFFFFF"/>
                <w:sz w:val="19"/>
                <w:u w:val="none"/>
              </w:rPr>
              <w:t>Domain</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User</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users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Identity</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2</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Session</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sessions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Identity</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3</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Ticket</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tickets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ITSM Workflow</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4</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ApprovalHistory</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approval_history</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ITSM Workflow</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5</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ActionHistory</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action_history</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ITSM Workflow</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6</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ServiceRequest</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service_requests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ITSM Workflow</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7</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ServiceCatalog</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service_catalog</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ITSM Workflow</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8</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Conversation</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conversations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AI Pipeline</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9</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ConversationEvent</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conversation_events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AI Pipeline</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10</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AgentTrace</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agent_traces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AI Pipeline</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11</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AuditLog</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audit_logs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Compliance</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12</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RbacAuditLog</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rbac_audit_logs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Compliance</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13</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SecurityEvent</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security_events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Compliance</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14</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SlaAuditEvent</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sla_audit_events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SLA</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15</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SlaEscalationHistory</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sla_escalation_history</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SLA</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16</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Notification</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notifications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Operations</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17</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ScheduledJob</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scheduled_jobs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Operations</w:t>
            </w:r>
          </w:p>
        </w:tc>
      </w:tr>
      <w:tr>
        <w:tc>
          <w:tcPr>
            <w:shd w:val="clear" w:color="auto" w:fill="F0F4F8"/>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18</w:t>
            </w:r>
          </w:p>
        </w:tc>
        <w:tc>
          <w:tcPr>
            <w:shd w:val="clear" w:color="auto" w:fill="F0F4F8"/>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KnowledgeDraft</w:t>
            </w:r>
          </w:p>
        </w:tc>
        <w:tc>
          <w:tcPr>
            <w:shd w:val="clear" w:color="auto" w:fill="F0F4F8"/>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knowledge_drafts</w:t>
            </w:r>
          </w:p>
        </w:tc>
        <w:tc>
          <w:tcPr>
            <w:shd w:val="clear" w:color="auto" w:fill="F0F4F8"/>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Knowledge</w:t>
            </w:r>
          </w:p>
        </w:tc>
      </w:tr>
      <w:tr>
        <w:tc>
          <w:tcPr>
            <w:shd w:val="clear" w:color="auto" w:fill="FFFFFF"/>
            <w:tcMar>
              <w:top w:w="70" w:type="dxa"/>
              <w:bottom w:w="70" w:type="dxa"/>
              <w:left w:w="120" w:type="dxa"/>
              <w:right w:w="80" w:type="dxa"/>
            </w:tcMar>
            <w:vAlign w:val="top"/>
            <w:tcW w:w="567" w:type="dxa"/>
          </w:tcPr>
          <w:p>
            <w:pPr>
              <w:spacing w:before="0" w:after="0"/>
            </w:pPr>
            <w:r>
              <w:rPr>
                <w:rFonts w:ascii="Calibri" w:hAnsi="Calibri"/>
                <w:b w:val="0"/>
                <w:i w:val="0"/>
                <w:color w:val="1A1A1A"/>
                <w:sz w:val="19"/>
                <w:u w:val="none"/>
              </w:rPr>
              <w:t>19</w:t>
            </w:r>
          </w:p>
        </w:tc>
        <w:tc>
          <w:tcPr>
            <w:shd w:val="clear" w:color="auto" w:fill="FFFFFF"/>
            <w:tcMar>
              <w:top w:w="70" w:type="dxa"/>
              <w:bottom w:w="70" w:type="dxa"/>
              <w:left w:w="120" w:type="dxa"/>
              <w:right w:w="80" w:type="dxa"/>
            </w:tcMar>
            <w:vAlign w:val="top"/>
            <w:tcW w:w="2551" w:type="dxa"/>
          </w:tcPr>
          <w:p>
            <w:pPr>
              <w:spacing w:before="0" w:after="0"/>
            </w:pPr>
            <w:r>
              <w:rPr>
                <w:rFonts w:ascii="Calibri" w:hAnsi="Calibri"/>
                <w:b w:val="0"/>
                <w:i w:val="0"/>
                <w:color w:val="1A1A1A"/>
                <w:sz w:val="19"/>
                <w:u w:val="none"/>
              </w:rPr>
              <w:t>IncidentCluster</w:t>
            </w:r>
          </w:p>
        </w:tc>
        <w:tc>
          <w:tcPr>
            <w:shd w:val="clear" w:color="auto" w:fill="FFFFFF"/>
            <w:tcMar>
              <w:top w:w="70" w:type="dxa"/>
              <w:bottom w:w="70" w:type="dxa"/>
              <w:left w:w="120" w:type="dxa"/>
              <w:right w:w="80" w:type="dxa"/>
            </w:tcMar>
            <w:vAlign w:val="top"/>
            <w:tcW w:w="3118" w:type="dxa"/>
          </w:tcPr>
          <w:p>
            <w:pPr>
              <w:spacing w:before="0" w:after="0"/>
            </w:pPr>
            <w:r>
              <w:rPr>
                <w:rFonts w:ascii="Calibri" w:hAnsi="Calibri"/>
                <w:b w:val="0"/>
                <w:i w:val="0"/>
                <w:color w:val="1A1A1A"/>
                <w:sz w:val="19"/>
                <w:u w:val="none"/>
              </w:rPr>
              <w:t>incident_clusters</w:t>
            </w:r>
          </w:p>
        </w:tc>
        <w:tc>
          <w:tcPr>
            <w:shd w:val="clear" w:color="auto" w:fill="FFFFFF"/>
            <w:tcMar>
              <w:top w:w="70" w:type="dxa"/>
              <w:bottom w:w="70" w:type="dxa"/>
              <w:left w:w="120" w:type="dxa"/>
              <w:right w:w="80" w:type="dxa"/>
            </w:tcMar>
            <w:vAlign w:val="top"/>
            <w:tcW w:w="1984" w:type="dxa"/>
          </w:tcPr>
          <w:p>
            <w:pPr>
              <w:spacing w:before="0" w:after="0"/>
            </w:pPr>
            <w:r>
              <w:rPr>
                <w:rFonts w:ascii="Calibri" w:hAnsi="Calibri"/>
                <w:b w:val="0"/>
                <w:i w:val="0"/>
                <w:color w:val="1A1A1A"/>
                <w:sz w:val="19"/>
                <w:u w:val="none"/>
              </w:rPr>
              <w:t>Analytics</w:t>
            </w:r>
          </w:p>
        </w:tc>
      </w:tr>
    </w:tbl>
    <w:p>
      <w:pPr>
        <w:spacing w:before="80" w:after="0"/>
      </w:pPr>
    </w:p>
    <w:p>
      <w:pPr>
        <w:keepNext w:val="0"/>
        <w:spacing w:before="80" w:after="120"/>
        <w:jc w:val="center"/>
      </w:pPr>
      <w:r>
        <w:rPr>
          <w:rFonts w:ascii="Calibri" w:hAnsi="Calibri"/>
          <w:b w:val="0"/>
          <w:i/>
          <w:color w:val="555555"/>
          <w:sz w:val="18"/>
          <w:u w:val="none"/>
        </w:rPr>
        <w:t>Table 20 — Database Model Inventory — All 19 Models</w:t>
      </w:r>
    </w:p>
    <w:p>
      <w:pPr>
        <w:keepNext w:val="0"/>
        <w:spacing w:before="80" w:after="80"/>
        <w:pBdr>
          <w:bottom w:val="single" w:sz="6" w:space="1" w:color="C80000"/>
        </w:pBdr>
      </w:pPr>
    </w:p>
    <w:p>
      <w:pPr>
        <w:keepNext w:val="0"/>
        <w:spacing w:before="160" w:after="40"/>
        <w:jc w:val="center"/>
      </w:pPr>
      <w:r>
        <w:rPr>
          <w:rFonts w:ascii="Calibri" w:hAnsi="Calibri"/>
          <w:b w:val="0"/>
          <w:i/>
          <w:color w:val="888888"/>
          <w:sz w:val="18"/>
          <w:u w:val="none"/>
        </w:rPr>
        <w:t>End of Document — BST-ESAD-2026-001 v1.0.0</w:t>
      </w:r>
    </w:p>
    <w:p>
      <w:pPr>
        <w:keepNext w:val="0"/>
        <w:spacing w:before="40" w:after="40"/>
        <w:jc w:val="center"/>
      </w:pPr>
      <w:r>
        <w:rPr>
          <w:rFonts w:ascii="Calibri" w:hAnsi="Calibri"/>
          <w:b w:val="0"/>
          <w:i/>
          <w:color w:val="888888"/>
          <w:sz w:val="18"/>
          <w:u w:val="none"/>
        </w:rPr>
        <w:t>Bridgestone IT Engineering — Platform Engineering — AI &amp; Automation</w:t>
      </w:r>
    </w:p>
    <w:p>
      <w:pPr>
        <w:keepNext w:val="0"/>
        <w:spacing w:before="40" w:after="0"/>
        <w:jc w:val="center"/>
      </w:pPr>
      <w:r>
        <w:rPr>
          <w:rFonts w:ascii="Calibri" w:hAnsi="Calibri"/>
          <w:b w:val="0"/>
          <w:i/>
          <w:color w:val="AAAAAA"/>
          <w:sz w:val="17"/>
          <w:u w:val="none"/>
        </w:rPr>
        <w:t>This document is intended for internal engineering review. Distribution restricted to engineering leadership, principal engineers and enterprise architects.</w:t>
      </w:r>
    </w:p>
    <w:sectPr w:rsidR="00FC693F" w:rsidRPr="0006063C" w:rsidSect="00034616">
      <w:headerReference w:type="default" r:id="rId22"/>
      <w:footerReference w:type="default" r:id="rId23"/>
      <w:pgSz w:w="12240" w:h="15840"/>
      <w:pgMar w:top="1440" w:right="1440" w:bottom="1440" w:left="158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Bdr>
        <w:top w:val="single" w:sz="4" w:space="1" w:color="C80000"/>
      </w:pBdr>
    </w:pPr>
    <w:r>
      <w:rPr>
        <w:rFonts w:ascii="Calibri" w:hAnsi="Calibri"/>
        <w:b w:val="0"/>
        <w:i w:val="0"/>
        <w:color w:val="666666"/>
        <w:sz w:val="16"/>
        <w:u w:val="none"/>
      </w:rPr>
      <w:t xml:space="preserve">Bridgestone IT AI Assistant  |  v1.0.0  |  Internal — Engineering Leadership  |  Page </w:t>
    </w:r>
    <w:r>
      <w:rPr/>
      <w:fldChar w:fldCharType="begin"/>
    </w:r>
    <w:r>
      <w:rPr/>
      <w:instrText xml:space="preserve"> PAGE </w:instrText>
    </w:r>
    <w:r>
      <w:rPr/>
      <w:fldChar w:fldCharType="end"/>
    </w:r>
    <w:r>
      <w:rPr>
        <w:rFonts w:ascii="Calibri" w:hAnsi="Calibri"/>
        <w:b w:val="0"/>
        <w:i w:val="0"/>
        <w:color w:val="666666"/>
        <w:sz w:val="16"/>
        <w:u w:val="none"/>
      </w:rPr>
      <w:t xml:space="preserve">  |  BST-ESAD-2026-001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jc w:val="right"/>
      <w:pBdr>
        <w:bottom w:val="single" w:sz="4" w:space="1" w:color="C80000"/>
      </w:pBdr>
    </w:pPr>
    <w:r>
      <w:rPr>
        <w:rFonts w:ascii="Calibri" w:hAnsi="Calibri"/>
        <w:b w:val="0"/>
        <w:i/>
        <w:color w:val="888888"/>
        <w:sz w:val="16"/>
        <w:u w:val="none"/>
      </w:rPr>
      <w:t>Enterprise Solution Architecture Document  |  Bridgestone IT AI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eader" Target="header1.xm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