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7A58" w14:textId="77777777" w:rsidR="00317EB3" w:rsidRDefault="00241421" w:rsidP="00241421">
      <w:r w:rsidRPr="00241421">
        <w:t>Ms. Ref. No.: CIRPJ-D-26-00512</w:t>
      </w:r>
      <w:r w:rsidRPr="00241421">
        <w:br/>
        <w:t>Title: Non-Isothermal Phase-Field Crystal Model For Simulation of the Grain Structure in Metal Additive Manufacturing</w:t>
      </w:r>
      <w:r w:rsidRPr="00241421">
        <w:br/>
        <w:t>CIRP Journal of Manufacturing Science and Technology</w:t>
      </w:r>
      <w:r w:rsidRPr="00241421">
        <w:br/>
        <w:t>Reviewers' comments:</w:t>
      </w:r>
      <w:r w:rsidRPr="00241421">
        <w:br/>
        <w:t>Reviewer #2: This manuscript introduces a non-isothermal phase-field crystal model, and the transient melting and solidification processes in a single-track process of 316L stainless steel is simulated. The epitaxial growth along thermal gradients is reproduced in the 2D simulation, but there are significant flaws in this work.</w:t>
      </w:r>
      <w:r w:rsidRPr="00241421">
        <w:br/>
      </w:r>
      <w:r w:rsidRPr="00241421">
        <w:br/>
        <w:t>1. The description of the model is very confusing. Not sure how the atomic scale is incorporated in the phase field model, which is micro-scale or meso-scale. In the last paragraph of Discussion, the authors clarified the physical value of lattices spacing as 7.255 um and grid size as 0.78125 um to align the simulated results with experiments. This grid size can hardly be considered as atomic scale; thus, the accuracy of PFC model is questioned. No article has used a grid size comparable to this manuscript, at least among the articles cited by the author. The authors should further validate their choice of scale.</w:t>
      </w:r>
      <w:r w:rsidRPr="00241421">
        <w:br/>
      </w:r>
      <w:r w:rsidRPr="00241421">
        <w:br/>
        <w:t>2. The experimental validation of the model is too weak to provide practical guidance. A physical scan velocity of 7.255 m/s is not typical in the directed-energy deposition at all. The authors showed experiments in Fig. 2 with the scan velocity of 1000 mm/min, and all scan velocities shown in Fig. 1c are even slower than it. The difference is almost 3 orders of magnitude.</w:t>
      </w:r>
      <w:r w:rsidRPr="00241421">
        <w:br/>
      </w:r>
      <w:r w:rsidRPr="00241421">
        <w:br/>
        <w:t>3. In Fig. 8, why are there some spots with temperatures lower/higher than adjacent region? It is not physically correct.</w:t>
      </w:r>
      <w:r w:rsidRPr="00241421">
        <w:br/>
      </w:r>
      <w:r w:rsidRPr="00241421">
        <w:br/>
      </w:r>
      <w:r w:rsidRPr="00241421">
        <w:br/>
        <w:t>Reviewer #3: Comments to the Author:</w:t>
      </w:r>
      <w:r w:rsidRPr="00241421">
        <w:br/>
        <w:t>The manuscript attempts to apply a non-isothermal PFC framework to grain-structure evolution in metal additive manufacturing, but the present formulation, parameterization, numerical implementation and validation are not sufficiently developed to support the claims made. In particular, the study does not convincingly establish a physically meaningful connection between the simulated density/temperature fields and real AM conditions. Several results appear to arise from arbitrary parameter choices and unphysical thermal fields rather than from a validated model of AM solidification. I recommend rejection.</w:t>
      </w:r>
      <w:r w:rsidRPr="00241421">
        <w:br/>
        <w:t>1. The manuscript repeatedly presents well-established PFC capabilities as novel contributions. This includes, for example, evaluation of elasticity, grain boundary energetics, liquid-solid interface structure and atom-scale defect structures.</w:t>
      </w:r>
      <w:r w:rsidRPr="00241421">
        <w:br/>
      </w:r>
      <w:r w:rsidRPr="00241421">
        <w:lastRenderedPageBreak/>
        <w:t>These topics have been thoroughly treated in classical PFC works over the last two decades. The manuscript needs to properly acknowledge prior literature rather than imply new developments.</w:t>
      </w:r>
    </w:p>
    <w:p w14:paraId="6C0D3AB5" w14:textId="77777777" w:rsidR="00317EB3" w:rsidRDefault="00241421" w:rsidP="00241421">
      <w:r w:rsidRPr="00241421">
        <w:br/>
        <w:t>2. Section 3 summarizes some already established non-isothermal PFC models, but it is unclear which of these formulations the authors ultimately adopt. The formulas contain inconsistencies (e.g., Boltzmann constant appears/disappears, atomic spacing is sometimes R, sometimes a0).</w:t>
      </w:r>
    </w:p>
    <w:p w14:paraId="4A7439B4" w14:textId="77777777" w:rsidR="00317EB3" w:rsidRDefault="00241421" w:rsidP="00241421">
      <w:r w:rsidRPr="00241421">
        <w:br/>
        <w:t>3. Several model parameters are set arbitrarily, without explanation of consequences, for example, Bs = 1/0.6 and A = 1.15. This also applies to parameters such as a and b. Some parameters are taken from literature, without justification that they are representative of the conditions presently under consideration. The parameter values impact the thermal and mechanical behavior of the model and results in, for example, non-physical thermal fields, as observed in the results.</w:t>
      </w:r>
    </w:p>
    <w:p w14:paraId="2C65EEE9" w14:textId="77777777" w:rsidR="00317EB3" w:rsidRDefault="00241421" w:rsidP="00241421">
      <w:r w:rsidRPr="00241421">
        <w:br/>
        <w:t>4. There are inconsistencies in the methodology descriptions. One example is in the first paragraph of section 4.2: "Firstly, the domain was solidified in the body-centered cubic (bcc) single crystal initiating a liquid state at T = 0.6..." How can a solidified domain be in the liquid state? And how can a liquid state be maintained at 60% of the melting temperature (T=1)?</w:t>
      </w:r>
    </w:p>
    <w:p w14:paraId="3C7E5033" w14:textId="77777777" w:rsidR="00317EB3" w:rsidRDefault="00241421" w:rsidP="00241421">
      <w:r w:rsidRPr="00241421">
        <w:br/>
        <w:t xml:space="preserve">5. The 2D and 3D simulations are apparently run using different numerical implementations (implicit VS explicit time integration, CPU-based VS GPU-parallelized etc.). Insufficient details are given on these implementations and time integration schemes. The authors </w:t>
      </w:r>
      <w:proofErr w:type="gramStart"/>
      <w:r w:rsidRPr="00241421">
        <w:t>not</w:t>
      </w:r>
      <w:proofErr w:type="gramEnd"/>
      <w:r w:rsidRPr="00241421">
        <w:t xml:space="preserve"> that their 2D implementation is more time-consuming than the 3D simulations (that uses GPU-parallelization). So why use the inferior computational approach in 2D at all? Further, the authors note that their explicit scheme permits a time step that is an order of magnitude larger than what their implicit scheme requires. In numerical schemes, the opposite is usually more common, indicating some inconsistency in either implementation or presentation.</w:t>
      </w:r>
    </w:p>
    <w:p w14:paraId="6CE7D908" w14:textId="77777777" w:rsidR="00317EB3" w:rsidRDefault="00241421" w:rsidP="00241421">
      <w:r w:rsidRPr="00241421">
        <w:br/>
        <w:t xml:space="preserve">6. The temperature fields shown in Fig. 3 contain multiple non-physical features. Melting temperature is T=1, but peak temperatures exceed T=5. This corresponds to five times the melting point, which is unrealistic for metal AM. As an example: the manuscript concerns </w:t>
      </w:r>
      <w:proofErr w:type="gramStart"/>
      <w:r w:rsidRPr="00241421">
        <w:t>a pure</w:t>
      </w:r>
      <w:proofErr w:type="gramEnd"/>
      <w:r w:rsidRPr="00241421">
        <w:t xml:space="preserve"> BCC-structured material. Pure Fe melts around 1800K and the melt pool temperature can reach around 3000K, in extreme cases. This is far from the five-fold increase seen in Fig. 3. The temperature also drops abruptly outside the heat source region, indicating that something is not right in the thermal model. At the edge of the </w:t>
      </w:r>
      <w:r w:rsidRPr="00241421">
        <w:lastRenderedPageBreak/>
        <w:t>heat source region. The temperatures and a typical lattice spacing of around 0.3 nm mean the model shows extreme thermal gradients of thousands of Kelvins across 1-2 nm. This is not physically realistic.</w:t>
      </w:r>
    </w:p>
    <w:p w14:paraId="1F1E0B17" w14:textId="77777777" w:rsidR="00317EB3" w:rsidRDefault="00241421" w:rsidP="00241421">
      <w:r w:rsidRPr="00241421">
        <w:br/>
        <w:t>7. At the temperatures shown (up to 5 times the melting temperature), significant lattice expansion should occur in the re-solidified structure. However, Fig. 3 shows negligible thermal expansion. This again contradicts physical expectations and suggests errors in the implementation.</w:t>
      </w:r>
    </w:p>
    <w:p w14:paraId="2AB04959" w14:textId="77777777" w:rsidR="00317EB3" w:rsidRDefault="00241421" w:rsidP="00241421">
      <w:r w:rsidRPr="00241421">
        <w:br/>
        <w:t>8. The manuscript proposes methods for operations such as atom detection, structure identification and nearest-neighbor distance-based displacement. However, well-established PFC post-processing methods exist that are more robust and standard in the community. The reasons for not adopting proven methods are not provided.</w:t>
      </w:r>
    </w:p>
    <w:p w14:paraId="78138A02" w14:textId="77777777" w:rsidR="00317EB3" w:rsidRDefault="00241421" w:rsidP="00241421">
      <w:r w:rsidRPr="00241421">
        <w:br/>
        <w:t>9. Atom "displacement" is discussed in several places in the text and is claimed to be illustrated in Figure 6. But the "displacement" discussed and plotted is some undefined scalar quantity (displacement is a vector). Although consistently referring to this as "displacement", the authors may mean some kind of lattice strain. But this needs, in any case, to be clearly defined. The lack of such definition indicates that the authors are not fully aware of what data it is they are evaluating.</w:t>
      </w:r>
    </w:p>
    <w:p w14:paraId="0F5EB6A0" w14:textId="77777777" w:rsidR="00317EB3" w:rsidRDefault="00241421" w:rsidP="00241421">
      <w:r w:rsidRPr="00241421">
        <w:br/>
        <w:t>10. Since the thermal field is non-physical, all parametric studies (Figs. 4-5) become irrelevant. No meaningful conclusions can be drawn about melt pool dynamics, grain selection or AM phenomena.</w:t>
      </w:r>
    </w:p>
    <w:p w14:paraId="33F6210E" w14:textId="77777777" w:rsidR="00317EB3" w:rsidRDefault="00241421" w:rsidP="00241421">
      <w:r w:rsidRPr="00241421">
        <w:br/>
        <w:t xml:space="preserve">11. The temperature profiles in figures 7a and 8a </w:t>
      </w:r>
      <w:proofErr w:type="gramStart"/>
      <w:r w:rsidRPr="00241421">
        <w:t>shows</w:t>
      </w:r>
      <w:proofErr w:type="gramEnd"/>
      <w:r w:rsidRPr="00241421">
        <w:t xml:space="preserve"> traces of the "atoms" adjacent to the heat source, indicating that the void between the atoms is heated more than the atoms themselves. This indicates that something is off with the way heat is supplied to the system</w:t>
      </w:r>
    </w:p>
    <w:p w14:paraId="45F9AD5E" w14:textId="77777777" w:rsidR="00317EB3" w:rsidRDefault="00241421" w:rsidP="00241421">
      <w:r w:rsidRPr="00241421">
        <w:br/>
        <w:t>12. The simulations have very limited relevance to actual AM processes since the models simulate minimal geometries with only a handful of grains. The thermal conditions are unrealistic. There is no melt pool fluid flow. A solid block of material is considered, rather than powder or wire feed stock. Given these omissions, it is unclear what physical insight the study provides regarding additive manufacturing.</w:t>
      </w:r>
    </w:p>
    <w:p w14:paraId="4E7369D8" w14:textId="77777777" w:rsidR="00317EB3" w:rsidRDefault="00241421" w:rsidP="00241421">
      <w:r w:rsidRPr="00241421">
        <w:br/>
        <w:t xml:space="preserve">13. Quantitative validation or comparison is lacking. There is no comparison with known </w:t>
      </w:r>
      <w:r w:rsidRPr="00241421">
        <w:lastRenderedPageBreak/>
        <w:t>analytical PFC benchmarks or existing non-isothermal PFC models. Thus, the reliability of the model is unverified.</w:t>
      </w:r>
    </w:p>
    <w:p w14:paraId="587C28E4" w14:textId="77777777" w:rsidR="00317EB3" w:rsidRDefault="00241421" w:rsidP="00241421">
      <w:r w:rsidRPr="00241421">
        <w:br/>
        <w:t>14. Looking at figures 7-8, the 3D simulations employ a heat source that is only singular lattice parameters in size. In principle, the material is heated/</w:t>
      </w:r>
      <w:proofErr w:type="gramStart"/>
      <w:r w:rsidRPr="00241421">
        <w:t>melted one atom</w:t>
      </w:r>
      <w:proofErr w:type="gramEnd"/>
      <w:r w:rsidRPr="00241421">
        <w:t xml:space="preserve"> at the time. This appears unrealistic.</w:t>
      </w:r>
    </w:p>
    <w:p w14:paraId="72EFD59B" w14:textId="77777777" w:rsidR="00317EB3" w:rsidRDefault="00241421" w:rsidP="00241421">
      <w:r w:rsidRPr="00241421">
        <w:br/>
        <w:t>15. The experimental motivation is based on 316L stainless steel EBSD maps, whereas the simulations use 2D triangular/hexagonal ordering and a 3D BCC single crystal. The manuscript does not explain how results from these model crystal structures are quantitatively or even qualitatively transferable to 316L stainless steel AM.</w:t>
      </w:r>
    </w:p>
    <w:p w14:paraId="10E228DC" w14:textId="77777777" w:rsidR="00317EB3" w:rsidRDefault="00241421" w:rsidP="00241421">
      <w:r w:rsidRPr="00241421">
        <w:br/>
        <w:t>16. The EBSD data is essentially used as illustrative motivation. There is no quantitative comparison of grain width, texture, columnar-growth angle, melt-pool dimensions, or orientation distributions between experiment and simulation. Therefore, the claim that the simulations reproduce AM grain structures is not demonstrated.</w:t>
      </w:r>
    </w:p>
    <w:p w14:paraId="55E082B0" w14:textId="77777777" w:rsidR="00317EB3" w:rsidRDefault="00241421" w:rsidP="00241421">
      <w:r w:rsidRPr="00241421">
        <w:br/>
        <w:t>17. The authors state that α = 0.1 is far too small for a crystalline metal and that β = 0.025-0.05 is orders of magnitude smaller than values corresponding to realistic latent heats. They further state that the model imposes almost zero latent heat and is not calibrated to a specific metal. This directly undermines the AM-relevance and quantitative claims.</w:t>
      </w:r>
    </w:p>
    <w:p w14:paraId="77511D41" w14:textId="77777777" w:rsidR="00317EB3" w:rsidRDefault="00241421" w:rsidP="00241421">
      <w:r w:rsidRPr="00241421">
        <w:br/>
        <w:t>18. The discussion assigns the PFC lattice spacing a physical value of 7.255 µm so that one dimensionless length unit corresponds to one µm, while the manuscript repeatedly interprets density peaks as atoms and discusses "atomic displacements." If the lattice spacing is micrometric, the density peaks cannot simultaneously be interpreted as atoms. This inconsistency should be addressed.</w:t>
      </w:r>
    </w:p>
    <w:p w14:paraId="044B2C0F" w14:textId="77777777" w:rsidR="00317EB3" w:rsidRDefault="00241421" w:rsidP="00241421">
      <w:r w:rsidRPr="00241421">
        <w:br/>
        <w:t>19. The Gaussian source parameters, absorption coefficient, volumetric heat sink, and imposed temperature boundary conditions are not calibrated against DED or PBF thermal fields. The temperature is later pinned to T = 0.01 on selected boundaries, which is a strong artificial cooling condition and may dominate the results.</w:t>
      </w:r>
    </w:p>
    <w:p w14:paraId="5A8A4614" w14:textId="77777777" w:rsidR="00317EB3" w:rsidRDefault="00241421" w:rsidP="00241421">
      <w:r w:rsidRPr="00241421">
        <w:br/>
        <w:t xml:space="preserve">20. There is no mesh-refinement study, time-step convergence study, comparison between the </w:t>
      </w:r>
      <w:proofErr w:type="spellStart"/>
      <w:r w:rsidRPr="00241421">
        <w:t>FiPy</w:t>
      </w:r>
      <w:proofErr w:type="spellEnd"/>
      <w:r w:rsidRPr="00241421">
        <w:t xml:space="preserve"> and </w:t>
      </w:r>
      <w:proofErr w:type="spellStart"/>
      <w:r w:rsidRPr="00241421">
        <w:t>PyTorch</w:t>
      </w:r>
      <w:proofErr w:type="spellEnd"/>
      <w:r w:rsidRPr="00241421">
        <w:t xml:space="preserve"> implementations, or demonstration that the explicit 3D scheme reproduces the same physics as the implicit 2D solver. This is particularly </w:t>
      </w:r>
      <w:r w:rsidRPr="00241421">
        <w:lastRenderedPageBreak/>
        <w:t xml:space="preserve">important because the paper uses different </w:t>
      </w:r>
      <w:proofErr w:type="spellStart"/>
      <w:r w:rsidRPr="00241421">
        <w:t>discretizations</w:t>
      </w:r>
      <w:proofErr w:type="spellEnd"/>
      <w:r w:rsidRPr="00241421">
        <w:t>, time steps, domain sizes, and hardware implementations for 2D and 3D.</w:t>
      </w:r>
    </w:p>
    <w:p w14:paraId="5E84FD3B" w14:textId="52E5F239" w:rsidR="00241421" w:rsidRPr="00241421" w:rsidRDefault="00241421" w:rsidP="00241421">
      <w:r w:rsidRPr="00241421">
        <w:br/>
        <w:t>21. The 3D case is a deliberately minimal BCC single-crystal domain. It therefore cannot support conclusions about grain selection, competitive columnar growth, or polycrystalline AM microstructure in 3D. The authors themselves state that a physically equivalent 3D polycrystalline simulation would require much larger domains.</w:t>
      </w:r>
    </w:p>
    <w:p w14:paraId="0A6341FB" w14:textId="77777777" w:rsidR="0029149E" w:rsidRDefault="0029149E"/>
    <w:sectPr w:rsidR="0029149E" w:rsidSect="00702B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1BE"/>
    <w:rsid w:val="00241421"/>
    <w:rsid w:val="0029149E"/>
    <w:rsid w:val="00317EB3"/>
    <w:rsid w:val="00526998"/>
    <w:rsid w:val="00683AA3"/>
    <w:rsid w:val="00702B6E"/>
    <w:rsid w:val="00A10973"/>
    <w:rsid w:val="00C436AD"/>
    <w:rsid w:val="00E661B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FF2C"/>
  <w15:chartTrackingRefBased/>
  <w15:docId w15:val="{C29C3135-4501-407E-AC7B-C354C251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1BE"/>
    <w:rPr>
      <w:rFonts w:eastAsiaTheme="majorEastAsia" w:cstheme="majorBidi"/>
      <w:color w:val="272727" w:themeColor="text1" w:themeTint="D8"/>
    </w:rPr>
  </w:style>
  <w:style w:type="paragraph" w:styleId="Title">
    <w:name w:val="Title"/>
    <w:basedOn w:val="Normal"/>
    <w:next w:val="Normal"/>
    <w:link w:val="TitleChar"/>
    <w:uiPriority w:val="10"/>
    <w:qFormat/>
    <w:rsid w:val="00E66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1BE"/>
    <w:pPr>
      <w:spacing w:before="160"/>
      <w:jc w:val="center"/>
    </w:pPr>
    <w:rPr>
      <w:i/>
      <w:iCs/>
      <w:color w:val="404040" w:themeColor="text1" w:themeTint="BF"/>
    </w:rPr>
  </w:style>
  <w:style w:type="character" w:customStyle="1" w:styleId="QuoteChar">
    <w:name w:val="Quote Char"/>
    <w:basedOn w:val="DefaultParagraphFont"/>
    <w:link w:val="Quote"/>
    <w:uiPriority w:val="29"/>
    <w:rsid w:val="00E661BE"/>
    <w:rPr>
      <w:i/>
      <w:iCs/>
      <w:color w:val="404040" w:themeColor="text1" w:themeTint="BF"/>
    </w:rPr>
  </w:style>
  <w:style w:type="paragraph" w:styleId="ListParagraph">
    <w:name w:val="List Paragraph"/>
    <w:basedOn w:val="Normal"/>
    <w:uiPriority w:val="34"/>
    <w:qFormat/>
    <w:rsid w:val="00E661BE"/>
    <w:pPr>
      <w:ind w:left="720"/>
      <w:contextualSpacing/>
    </w:pPr>
  </w:style>
  <w:style w:type="character" w:styleId="IntenseEmphasis">
    <w:name w:val="Intense Emphasis"/>
    <w:basedOn w:val="DefaultParagraphFont"/>
    <w:uiPriority w:val="21"/>
    <w:qFormat/>
    <w:rsid w:val="00E661BE"/>
    <w:rPr>
      <w:i/>
      <w:iCs/>
      <w:color w:val="0F4761" w:themeColor="accent1" w:themeShade="BF"/>
    </w:rPr>
  </w:style>
  <w:style w:type="paragraph" w:styleId="IntenseQuote">
    <w:name w:val="Intense Quote"/>
    <w:basedOn w:val="Normal"/>
    <w:next w:val="Normal"/>
    <w:link w:val="IntenseQuoteChar"/>
    <w:uiPriority w:val="30"/>
    <w:qFormat/>
    <w:rsid w:val="00E66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1BE"/>
    <w:rPr>
      <w:i/>
      <w:iCs/>
      <w:color w:val="0F4761" w:themeColor="accent1" w:themeShade="BF"/>
    </w:rPr>
  </w:style>
  <w:style w:type="character" w:styleId="IntenseReference">
    <w:name w:val="Intense Reference"/>
    <w:basedOn w:val="DefaultParagraphFont"/>
    <w:uiPriority w:val="32"/>
    <w:qFormat/>
    <w:rsid w:val="00E66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1538</Words>
  <Characters>8741</Characters>
  <Application>Microsoft Office Word</Application>
  <DocSecurity>0</DocSecurity>
  <Lines>143</Lines>
  <Paragraphs>1</Paragraphs>
  <ScaleCrop>false</ScaleCrop>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Orkun SEÇER | Mariner SE</dc:creator>
  <cp:keywords/>
  <dc:description/>
  <cp:lastModifiedBy>Orkun SEÇER | Mariner SE</cp:lastModifiedBy>
  <cp:revision>3</cp:revision>
  <dcterms:created xsi:type="dcterms:W3CDTF">2026-06-10T06:04:00Z</dcterms:created>
  <dcterms:modified xsi:type="dcterms:W3CDTF">2026-06-10T06:07:00Z</dcterms:modified>
</cp:coreProperties>
</file>