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Obligatorisk oppgave</w:t>
      </w:r>
    </w:p>
    <w:p>
      <w:pPr>
        <w:pStyle w:val="Subtitle"/>
      </w:pPr>
      <w:r>
        <w:t xml:space="preserve">ECON1210</w:t>
      </w:r>
    </w:p>
    <w:p>
      <w:pPr>
        <w:pStyle w:val="Author"/>
      </w:pPr>
      <w:r>
        <w:t xml:space="preserve">Ragnhild Thielemann</w:t>
      </w:r>
    </w:p>
    <w:p>
      <w:pPr>
        <w:pStyle w:val="Date"/>
      </w:pPr>
      <w:r>
        <w:t xml:space="preserve">2026-01-01</w:t>
      </w:r>
    </w:p>
    <w:p>
      <w:pPr>
        <w:pStyle w:val="FirstParagraph"/>
      </w:pPr>
      <w:r>
        <w:t xml:space="preserve">Oppgave 1:</w:t>
      </w:r>
      <w:r>
        <w:t xml:space="preserve"> </w:t>
      </w:r>
      <w:r>
        <w:t xml:space="preserve">- En stykkskatt gir større prisøkning for kjøperene desto brattere etterspøselskskurven er. Ved en bratt etterspøselskurve er konsumentene lite prissensitive, slik at en liten endring i pris gjør at etterspurt kvantum endres lite.</w:t>
      </w:r>
      <w:r>
        <w:t xml:space="preserve"> </w:t>
      </w:r>
      <w:r>
        <w:t xml:space="preserve">Når det ilegges en stykkskatt</w:t>
      </w:r>
      <w:r>
        <w:t xml:space="preserve"> </w:t>
      </w:r>
      <m:oMath>
        <m:r>
          <m:t>t</m:t>
        </m:r>
      </m:oMath>
      <w:r>
        <w:t xml:space="preserve">, blir bedriftnnes kostnader</w:t>
      </w:r>
      <w:r>
        <w:t xml:space="preserve"> </w:t>
      </w:r>
      <m:oMath>
        <m:sSub>
          <m:e>
            <m:r>
              <m:t>P</m:t>
            </m:r>
          </m:e>
          <m:sub>
            <m:r>
              <m:t>k</m:t>
            </m:r>
            <m:r>
              <m:t>o</m:t>
            </m:r>
            <m:r>
              <m:t>s</m:t>
            </m:r>
            <m:r>
              <m:t>t</m:t>
            </m:r>
            <m:r>
              <m:t>n</m:t>
            </m:r>
            <m:r>
              <m:t>a</m:t>
            </m:r>
            <m:r>
              <m:t>d</m:t>
            </m:r>
          </m:sub>
        </m:sSub>
        <m:r>
          <m:rPr>
            <m:sty m:val="p"/>
          </m:rPr>
          <m:t>=</m:t>
        </m:r>
        <m:sSub>
          <m:e>
            <m:r>
              <m:t>P</m:t>
            </m:r>
          </m:e>
          <m:sub>
            <m:r>
              <m:t>p</m:t>
            </m:r>
            <m:r>
              <m:t>r</m:t>
            </m:r>
            <m:r>
              <m:t>o</m:t>
            </m:r>
            <m:r>
              <m:t>d</m:t>
            </m:r>
            <m:r>
              <m:t>u</m:t>
            </m:r>
            <m:r>
              <m:t>k</m:t>
            </m:r>
            <m:r>
              <m:t>s</m:t>
            </m:r>
            <m:r>
              <m:t>j</m:t>
            </m:r>
            <m:r>
              <m:t>o</m:t>
            </m:r>
            <m:r>
              <m:t>n</m:t>
            </m:r>
          </m:sub>
        </m:sSub>
        <m:r>
          <m:rPr>
            <m:sty m:val="p"/>
          </m:rPr>
          <m:t>+</m:t>
        </m:r>
        <m:r>
          <m:t>t</m:t>
        </m:r>
      </m:oMath>
      <w:r>
        <w:t xml:space="preserve">. Dette gir et negativt skift i tilbudskurven. Dette gir bevegelse langs etterspøselskurven, og det blir en ny likevektspris</w:t>
      </w:r>
      <w:r>
        <w:t xml:space="preserve"> </w:t>
      </w:r>
      <m:oMath>
        <m:sSub>
          <m:e>
            <m:r>
              <m:t>P</m:t>
            </m:r>
          </m:e>
          <m:sub>
            <m:r>
              <m:t>1</m:t>
            </m:r>
          </m:sub>
        </m:sSub>
      </m:oMath>
      <w:r>
        <w:t xml:space="preserve">, som er prisen konsumentene betaler. Det dannes da en kile mellom bedriftenes produksjonskostander og prisen i markedet, ved</w:t>
      </w:r>
      <w:r>
        <w:t xml:space="preserve"> </w:t>
      </w:r>
      <m:oMath>
        <m:sSub>
          <m:e>
            <m:r>
              <m:t>P</m:t>
            </m:r>
          </m:e>
          <m:sub>
            <m:r>
              <m:t>K</m:t>
            </m:r>
          </m:sub>
        </m:sSub>
        <m:r>
          <m:rPr>
            <m:sty m:val="p"/>
          </m:rPr>
          <m:t>−</m:t>
        </m:r>
        <m:sSub>
          <m:e>
            <m:r>
              <m:t>P</m:t>
            </m:r>
          </m:e>
          <m:sub>
            <m:r>
              <m:t>p</m:t>
            </m:r>
          </m:sub>
        </m:sSub>
        <m:r>
          <m:rPr>
            <m:sty m:val="p"/>
          </m:rPr>
          <m:t>=</m:t>
        </m:r>
        <m:r>
          <m:t>t</m:t>
        </m:r>
      </m:oMath>
      <w:r>
        <w:t xml:space="preserve">. Denne avgiften deles mellom produskent og konsument, ved at konsumentne betaler</w:t>
      </w:r>
      <w:r>
        <w:t xml:space="preserve"> </w:t>
      </w:r>
      <m:oMath>
        <m:sSub>
          <m:e>
            <m:r>
              <m:t>P</m:t>
            </m:r>
          </m:e>
          <m:sub>
            <m:r>
              <m:t>1</m:t>
            </m:r>
          </m:sub>
        </m:sSub>
        <m:r>
          <m:rPr>
            <m:sty m:val="p"/>
          </m:rPr>
          <m:t>−</m:t>
        </m:r>
        <m:sSub>
          <m:e>
            <m:r>
              <m:t>P</m:t>
            </m:r>
          </m:e>
          <m:sub>
            <m:r>
              <m:t>0</m:t>
            </m:r>
          </m:sub>
        </m:sSub>
      </m:oMath>
      <w:r>
        <w:t xml:space="preserve"> </w:t>
      </w:r>
      <w:r>
        <w:t xml:space="preserve">(økningen i prisen fra det opprinnlige scenarioet), mens produsentene betaler</w:t>
      </w:r>
      <w:r>
        <w:t xml:space="preserve"> </w:t>
      </w:r>
      <m:oMath>
        <m:sSub>
          <m:e>
            <m:r>
              <m:t>P</m:t>
            </m:r>
          </m:e>
          <m:sub>
            <m:r>
              <m:t>0</m:t>
            </m:r>
          </m:sub>
        </m:sSub>
        <m:r>
          <m:rPr>
            <m:sty m:val="p"/>
          </m:rPr>
          <m:t>−</m:t>
        </m:r>
        <m:sSub>
          <m:e>
            <m:r>
              <m:t>P</m:t>
            </m:r>
          </m:e>
          <m:sub>
            <m:r>
              <m:t>1</m:t>
            </m:r>
          </m:sub>
        </m:sSub>
        <m:r>
          <m:rPr>
            <m:sty m:val="p"/>
          </m:rPr>
          <m:t>+</m:t>
        </m:r>
        <m:r>
          <m:t>t</m:t>
        </m:r>
      </m:oMath>
      <w:r>
        <w:t xml:space="preserve">. Av disse likningen ser vi at ved en stor endring i pris (som følge av lite elastisk etterspøsel), vil en stor andel av avgiften falle på konsumentene. Disse arealene er markert i</w:t>
      </w:r>
      <w:r>
        <w:t xml:space="preserve"> </w:t>
      </w:r>
      <w:r>
        <w:rPr>
          <w:i/>
          <w:iCs/>
        </w:rPr>
        <w:t xml:space="preserve">figur 1</w:t>
      </w:r>
    </w:p>
    <w:p>
      <w:pPr>
        <w:pStyle w:val="Compact"/>
        <w:numPr>
          <w:ilvl w:val="0"/>
          <w:numId w:val="1001"/>
        </w:numPr>
      </w:pPr>
      <w:r>
        <w:t xml:space="preserve">Tallverdien til priselasisiteten øker når vi beveger oss opp langs en linjær etterspørselskurve. Etterspørselselasisiteten er et mål på hvor prissensistive vi er, og er gitt ved</w:t>
      </w:r>
    </w:p>
    <w:p>
      <w:pPr>
        <w:pStyle w:val="FirstParagraph"/>
      </w:pPr>
      <m:oMathPara>
        <m:oMathParaPr>
          <m:jc m:val="center"/>
        </m:oMathParaPr>
        <m:oMath>
          <m:f>
            <m:fPr>
              <m:type m:val="bar"/>
            </m:fPr>
            <m:num>
              <m:r>
                <m:t>E</m:t>
              </m:r>
              <m:r>
                <m:t>n</m:t>
              </m:r>
              <m:r>
                <m:t>d</m:t>
              </m:r>
              <m:r>
                <m:t>r</m:t>
              </m:r>
              <m:r>
                <m:t>i</m:t>
              </m:r>
              <m:r>
                <m:t>n</m:t>
              </m:r>
              <m:sSub>
                <m:e>
                  <m:r>
                    <m:t>g</m:t>
                  </m:r>
                </m:e>
                <m:sub>
                  <m:r>
                    <m:t>k</m:t>
                  </m:r>
                  <m:r>
                    <m:t>v</m:t>
                  </m:r>
                  <m:r>
                    <m:t>a</m:t>
                  </m:r>
                  <m:r>
                    <m:t>n</m:t>
                  </m:r>
                  <m:r>
                    <m:t>t</m:t>
                  </m:r>
                  <m:r>
                    <m:t>u</m:t>
                  </m:r>
                  <m:r>
                    <m:t>m</m:t>
                  </m:r>
                </m:sub>
              </m:sSub>
            </m:num>
            <m:den>
              <m:r>
                <m:t>E</m:t>
              </m:r>
              <m:r>
                <m:t>n</m:t>
              </m:r>
              <m:r>
                <m:t>d</m:t>
              </m:r>
              <m:r>
                <m:t>r</m:t>
              </m:r>
              <m:r>
                <m:t>i</m:t>
              </m:r>
              <m:r>
                <m:t>n</m:t>
              </m:r>
              <m:sSub>
                <m:e>
                  <m:r>
                    <m:t>g</m:t>
                  </m:r>
                </m:e>
                <m:sub>
                  <m:r>
                    <m:t>p</m:t>
                  </m:r>
                  <m:r>
                    <m:t>r</m:t>
                  </m:r>
                  <m:r>
                    <m:t>i</m:t>
                  </m:r>
                  <m:r>
                    <m:t>s</m:t>
                  </m:r>
                </m:sub>
              </m:sSub>
            </m:den>
          </m:f>
          <m:r>
            <m:rPr>
              <m:sty m:val="p"/>
            </m:rPr>
            <m:t>=</m:t>
          </m:r>
          <m:f>
            <m:fPr>
              <m:type m:val="bar"/>
            </m:fPr>
            <m:num>
              <m:f>
                <m:fPr>
                  <m:type m:val="bar"/>
                </m:fPr>
                <m:num>
                  <m:r>
                    <m:t>δ</m:t>
                  </m:r>
                  <m:r>
                    <m:t>X</m:t>
                  </m:r>
                </m:num>
                <m:den>
                  <m:r>
                    <m:t>X</m:t>
                  </m:r>
                </m:den>
              </m:f>
            </m:num>
            <m:den>
              <m:f>
                <m:fPr>
                  <m:type m:val="bar"/>
                </m:fPr>
                <m:num>
                  <m:r>
                    <m:t>δ</m:t>
                  </m:r>
                  <m:r>
                    <m:t>p</m:t>
                  </m:r>
                </m:num>
                <m:den>
                  <m:r>
                    <m:t>p</m:t>
                  </m:r>
                </m:den>
              </m:f>
            </m:den>
          </m:f>
          <m:r>
            <m:rPr>
              <m:sty m:val="p"/>
            </m:rPr>
            <m:t>=</m:t>
          </m:r>
          <m:f>
            <m:fPr>
              <m:type m:val="bar"/>
            </m:fPr>
            <m:num>
              <m:r>
                <m:t>δ</m:t>
              </m:r>
              <m:r>
                <m:t>X</m:t>
              </m:r>
            </m:num>
            <m:den>
              <m:r>
                <m:t>δ</m:t>
              </m:r>
              <m:r>
                <m:t>P</m:t>
              </m:r>
            </m:den>
          </m:f>
          <m:f>
            <m:fPr>
              <m:type m:val="bar"/>
            </m:fPr>
            <m:num>
              <m:r>
                <m:t>P</m:t>
              </m:r>
            </m:num>
            <m:den>
              <m:r>
                <m:t>X</m:t>
              </m:r>
            </m:den>
          </m:f>
        </m:oMath>
      </m:oMathPara>
    </w:p>
    <w:p>
      <w:pPr>
        <w:pStyle w:val="SourceCode"/>
      </w:pPr>
      <w:r>
        <w:rPr>
          <w:rStyle w:val="CommentTok"/>
        </w:rPr>
        <w:t xml:space="preserve">#| input: false</w:t>
      </w:r>
      <w:r>
        <w:br/>
      </w:r>
      <w:r>
        <w:rPr>
          <w:rStyle w:val="CommentTok"/>
        </w:rPr>
        <w:t xml:space="preserve">#| warning: false</w:t>
      </w:r>
      <w:r>
        <w:br/>
      </w:r>
      <w:r>
        <w:rPr>
          <w:rStyle w:val="CommentTok"/>
        </w:rPr>
        <w:t xml:space="preserve">#| echo: false</w:t>
      </w:r>
      <w:r>
        <w:br/>
      </w:r>
      <w:r>
        <w:br/>
      </w:r>
      <w:r>
        <w:br/>
      </w:r>
      <w:r>
        <w:br/>
      </w:r>
      <w:r>
        <w:rPr>
          <w:rStyle w:val="NormalTok"/>
        </w:rPr>
        <w:t xml:space="preserve">f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FunctionTok"/>
        </w:rPr>
        <w:t xml:space="preserve">return</w:t>
      </w:r>
      <w:r>
        <w:rPr>
          <w:rStyle w:val="NormalTok"/>
        </w:rPr>
        <w:t xml:space="preserve"> (</w:t>
      </w:r>
      <w:r>
        <w:rPr>
          <w:rStyle w:val="SpecialCharTok"/>
        </w:rPr>
        <w:t xml:space="preserve">-</w:t>
      </w:r>
      <w:r>
        <w:rPr>
          <w:rStyle w:val="DecValTok"/>
        </w:rPr>
        <w:t xml:space="preserve">2</w:t>
      </w:r>
      <w:r>
        <w:rPr>
          <w:rStyle w:val="SpecialCharTok"/>
        </w:rPr>
        <w:t xml:space="preserve">*</w:t>
      </w:r>
      <w:r>
        <w:rPr>
          <w:rStyle w:val="NormalTok"/>
        </w:rPr>
        <w:t xml:space="preserve">x </w:t>
      </w:r>
      <w:r>
        <w:rPr>
          <w:rStyle w:val="SpecialCha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x =</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w:t>
      </w:r>
      <w:r>
        <w:rPr>
          <w:rStyle w:val="DecValTok"/>
        </w:rPr>
        <w:t xml:space="preserve">10</w:t>
      </w:r>
      <w:r>
        <w:rPr>
          <w:rStyle w:val="NormalTok"/>
        </w:rPr>
        <w:t xml:space="preserve">,</w:t>
      </w:r>
      <w:r>
        <w:rPr>
          <w:rStyle w:val="DecValTok"/>
        </w:rPr>
        <w:t xml:space="preserve">1</w:t>
      </w:r>
      <w:r>
        <w:rPr>
          <w:rStyle w:val="NormalTok"/>
        </w:rPr>
        <w:t xml:space="preserve">), </w:t>
      </w:r>
      <w:r>
        <w:rPr>
          <w:rStyle w:val="AttributeTok"/>
        </w:rPr>
        <w:t xml:space="preserve">y =</w:t>
      </w:r>
      <w:r>
        <w:rPr>
          <w:rStyle w:val="NormalTok"/>
        </w:rPr>
        <w:t xml:space="preserve"> </w:t>
      </w:r>
      <w:r>
        <w:rPr>
          <w:rStyle w:val="FunctionTok"/>
        </w:rPr>
        <w:t xml:space="preserve">f</w:t>
      </w:r>
      <w:r>
        <w:rPr>
          <w:rStyle w:val="NormalTok"/>
        </w:rPr>
        <w:t xml:space="preserve">(x))</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(x,y))</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"Etterspurt kvantum"</w:t>
      </w:r>
      <w:r>
        <w:rPr>
          <w:rStyle w:val="NormalTok"/>
        </w:rPr>
        <w:t xml:space="preserve"> ,</w:t>
      </w:r>
      <w:r>
        <w:rPr>
          <w:rStyle w:val="AttributeTok"/>
        </w:rPr>
        <w:t xml:space="preserve">y=</w:t>
      </w:r>
      <w:r>
        <w:rPr>
          <w:rStyle w:val="NormalTok"/>
        </w:rPr>
        <w:t xml:space="preserve"> </w:t>
      </w:r>
      <w:r>
        <w:rPr>
          <w:rStyle w:val="StringTok"/>
        </w:rPr>
        <w:t xml:space="preserve">"Pris pa varen"</w:t>
      </w:r>
      <w:r>
        <w:rPr>
          <w:rStyle w:val="NormalTok"/>
        </w:rPr>
        <w:t xml:space="preserve">)</w:t>
      </w:r>
      <w:r>
        <w:br/>
      </w:r>
      <w:r>
        <w:br/>
      </w:r>
      <w:r>
        <w:br/>
      </w:r>
      <w:r>
        <w:rPr>
          <w:rStyle w:val="NormalTok"/>
        </w:rPr>
        <w:t xml:space="preserve">data</w:t>
      </w:r>
    </w:p>
    <w:p>
      <w:pPr>
        <w:pStyle w:val="FirstParagraph"/>
      </w:pPr>
      <w:r>
        <w:drawing>
          <wp:inline>
            <wp:extent cx="4620126" cy="3696101"/>
            <wp:effectExtent b="0" l="0" r="0" t="0"/>
            <wp:docPr descr="" title="" id="21" name="Picture"/>
            <a:graphic>
              <a:graphicData uri="http://schemas.openxmlformats.org/drawingml/2006/picture">
                <pic:pic>
                  <pic:nvPicPr>
                    <pic:cNvPr descr="Data_files/figure-docx/unnamed-chunk-2-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Da vi har en linjær etterspøselskurve holdes</w:t>
      </w:r>
      <w:r>
        <w:t xml:space="preserve"> </w:t>
      </w:r>
      <m:oMath>
        <m:r>
          <m:rPr>
            <m:sty m:val="p"/>
          </m:rPr>
          <m:t>−</m:t>
        </m:r>
        <m:f>
          <m:fPr>
            <m:type m:val="bar"/>
          </m:fPr>
          <m:num>
            <m:r>
              <m:t>δ</m:t>
            </m:r>
            <m:r>
              <m:t>X</m:t>
            </m:r>
          </m:num>
          <m:den>
            <m:r>
              <m:t>δ</m:t>
            </m:r>
            <m:r>
              <m:t>P</m:t>
            </m:r>
          </m:den>
        </m:f>
      </m:oMath>
      <w:r>
        <w:t xml:space="preserve"> </w:t>
      </w:r>
      <w:r>
        <w:t xml:space="preserve">konstant, da dette er stigningstallet til etterspøselskurven. (negativt, da det er en fallende kurve). Variablen er dermed</w:t>
      </w:r>
      <m:oMath>
        <m:f>
          <m:fPr>
            <m:type m:val="bar"/>
          </m:fPr>
          <m:num>
            <m:r>
              <m:t>P</m:t>
            </m:r>
          </m:num>
          <m:den>
            <m:r>
              <m:t>X</m:t>
            </m:r>
          </m:den>
        </m:f>
      </m:oMath>
      <w:r>
        <w:t xml:space="preserve"> </w:t>
      </w:r>
      <w:r>
        <w:t xml:space="preserve">. Vi ser at når vi beveger oss oppover kurven, blir prisen høyere, samt etterspurt kvantum lavere, slik at denne tallverdien blir høyere. Dette gir mening, da vi er mer prissensitive ved høyere pris og når etterspøselen i utgangpuntet er lav.</w:t>
      </w:r>
    </w:p>
    <w:p>
      <w:pPr>
        <w:pStyle w:val="Compact"/>
        <w:numPr>
          <w:ilvl w:val="0"/>
          <w:numId w:val="1002"/>
        </w:numPr>
      </w:pPr>
      <w:r>
        <w:t xml:space="preserve">Dersom myndighetene ønsker å støtte forfattere og øke bokprosukdjsonen ved å gi en subsidie per bok, spiller det ingen rolle hvorhvidt forlagene eller forfatterene selv får utbetalt subsidien.</w:t>
      </w:r>
    </w:p>
    <w:p>
      <w:pPr>
        <w:pStyle w:val="Compact"/>
        <w:numPr>
          <w:ilvl w:val="0"/>
          <w:numId w:val="1002"/>
        </w:numPr>
      </w:pPr>
      <w:r>
        <w:t xml:space="preserve">Det er mange faktorer som påvirker etterspøselen av en vare. I ECON1210 ser vi særlig på antall tilbydere i markedet, samt tilbydernes produksjonskostnader, inntekten hos kjøperne, samt andelen av konsumentenes inntekt som går til å kjøpe varen, og pris på substitutter (andre varer og tjenester).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Obligatorisk oppgave</dc:title>
  <dc:creator>Ragnhild Thielemann</dc:creator>
  <cp:keywords/>
  <dcterms:created xsi:type="dcterms:W3CDTF">2026-09-24T06:04:17Z</dcterms:created>
  <dcterms:modified xsi:type="dcterms:W3CDTF">2026-09-24T06:04:17Z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2026-01-01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ECON1210</vt:lpwstr>
  </property>
  <property fmtid="{D5CDD505-2E9C-101B-9397-08002B2CF9AE}" pid="11" name="toc-title">
    <vt:lpwstr>Table of contents</vt:lpwstr>
  </property>
</Properties>
</file>