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Første utkast for timeseries</w:t>
      </w:r>
    </w:p>
    <w:p>
      <w:pPr>
        <w:pStyle w:val="Author"/>
      </w:pPr>
      <w:r>
        <w:t xml:space="preserve">kandidatnummer</w:t>
      </w:r>
    </w:p>
    <w:p>
      <w:pPr>
        <w:pStyle w:val="Date"/>
      </w:pPr>
      <w:r>
        <w:t xml:space="preserve">30 september 2026</w:t>
      </w:r>
    </w:p>
    <w:bookmarkStart w:id="23" w:name="X3787f765dcc1b4d25d586149cf613f8bf1fd3f6"/>
    <w:p>
      <w:pPr>
        <w:pStyle w:val="Heading2"/>
      </w:pPr>
      <w:r>
        <w:t xml:space="preserve">1 Tidsserieplott for å undersøke langsiktige trender</w:t>
      </w:r>
    </w:p>
    <w:p>
      <w:pPr>
        <w:pStyle w:val="FirstParagraph"/>
      </w:pPr>
      <w:r>
        <w:t xml:space="preserve">Det første vi undersøker, er den langsiktige utviklingen i markedsprisene på strøm siden 2020. ENTSO-E-dataene har en tidsoppløsning på 15 - 60 minutter, og inneholder derfor mange observasjoner med både kortvarige negative priser og enkelte observasjoner med unormalt store prisutslag. For å få frem de overordnede prisutviklingene fremfor de kortsiktige svingningene gjennom dagen, aggregeres prisene til dagsnivå. De daglige prisene visualiseres deretter i et tidsserieplott, der hvert prisområde representeres av en egen linje.</w:t>
      </w:r>
    </w:p>
    <w:p>
      <w:pPr>
        <w:pStyle w:val="BodyText"/>
      </w:pPr>
      <w:r>
        <w:t xml:space="preserve">Det opprinnelige datasettet består av ** observasjoner. Ved å aggregere fra 15-minutters- til dagsnivå reduseres antallet observasjoner betydelig. Dette gjør datasettet mer oversiktlig og gjør samtidig den videre behandlingen og visualiseringen mer effektiv. I dette plottet tar jeg ikke hensyn til at strømprisen varierer gjennom døgnet.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orste_utkast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Av plottet ser vi at strømprisene var relativt lave og stabile frem til 2021. Fra 2022 økte prisene kraftig i NO1, NO2 og NO5, noe som sammenfaller med Russlands invasjon av Ukraina og den påfølgende reduksjonen i Europas energitilgang (tilførsel av gass) fra Russland. NO3 og NO4 hadde derimot betydelig lavere priser gjennom perioden. Dette kan annet ses i sammenheng med at kraftflyten mellom Nord- og Sør-Norge er begrenset, slik at prisutviklingen i nord i mindre grad påvirkes av prisene og knappheten på kraft i Sør-Norge og Europa. Prisene i sør dempet seg mot 2024, før det oppstod enkelte svært høye prisutslag i NO2 i 2025.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n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Første utkast for timeseries</dc:title>
  <dc:creator>kandidatnummer</dc:creator>
  <dc:language>nb</dc:language>
  <cp:keywords/>
  <dcterms:created xsi:type="dcterms:W3CDTF">2026-09-30T16:23:23Z</dcterms:created>
  <dcterms:modified xsi:type="dcterms:W3CDTF">2026-09-30T16:23:23Z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30 september 2026</vt:lpwstr>
  </property>
  <property fmtid="{D5CDD505-2E9C-101B-9397-08002B2CF9AE}" pid="6" name="date-format">
    <vt:lpwstr>D MMMM YYYY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/>
  </property>
  <property fmtid="{D5CDD505-2E9C-101B-9397-08002B2CF9AE}" pid="13" name="toc-title">
    <vt:lpwstr>Innholdsfortegnelse</vt:lpwstr>
  </property>
</Properties>
</file>