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MESA User Guide</w:t>
      </w:r>
    </w:p>
    <w:p>
      <w:pPr>
        <w:jc w:val="center"/>
      </w:pPr>
      <w:r>
        <w:rPr>
          <w:i/>
          <w:color w:val="444444"/>
          <w:sz w:val="36"/>
        </w:rPr>
        <w:t>Mapping Environmentally Sensitive Assets</w:t>
      </w:r>
    </w:p>
    <w:p>
      <w:pPr>
        <w:jc w:val="center"/>
      </w:pPr>
      <w:r>
        <w:rPr>
          <w:sz w:val="28"/>
        </w:rPr>
        <w:t>MESA 5.7.0 — desktop tool</w:t>
      </w:r>
    </w:p>
    <w:p/>
    <w:p/>
    <w:p/>
    <w:p/>
    <w:p/>
    <w:p/>
    <w:p>
      <w:pPr>
        <w:jc w:val="center"/>
      </w:pPr>
      <w:r>
        <w:rPr>
          <w:b/>
          <w:sz w:val="26"/>
        </w:rPr>
        <w:t xml:space="preserve">Author: </w:t>
      </w:r>
      <w:r>
        <w:rPr>
          <w:sz w:val="26"/>
        </w:rPr>
        <w:t>Ragnvald Larsen</w:t>
      </w:r>
    </w:p>
    <w:p>
      <w:pPr>
        <w:jc w:val="center"/>
      </w:pPr>
      <w:r>
        <w:rPr>
          <w:b/>
          <w:sz w:val="26"/>
        </w:rPr>
        <w:t xml:space="preserve">Affiliation: </w:t>
      </w:r>
      <w:r>
        <w:rPr>
          <w:sz w:val="26"/>
        </w:rPr>
        <w:t>Norwegian Environment Agency</w:t>
      </w:r>
    </w:p>
    <w:p>
      <w:pPr>
        <w:jc w:val="center"/>
      </w:pPr>
      <w:r>
        <w:rPr>
          <w:b/>
          <w:sz w:val="26"/>
        </w:rPr>
        <w:t xml:space="preserve">Issued: </w:t>
      </w:r>
      <w:r>
        <w:rPr>
          <w:sz w:val="26"/>
        </w:rPr>
        <w:t>October 2026</w:t>
      </w:r>
    </w:p>
    <w:p>
      <w:r>
        <w:br w:type="page"/>
      </w:r>
    </w:p>
    <w:p>
      <w:pPr>
        <w:pStyle w:val="Heading1"/>
        <w:jc w:val="left"/>
      </w:pPr>
      <w:r>
        <w:t>Contents</w:t>
      </w:r>
    </w:p>
    <w:p>
      <w:r>
        <w:fldChar w:fldCharType="begin" w:dirty="true"/>
        <w:instrText xml:space="preserve">TOC \o "1-3" \h \z \u</w:instrText>
        <w:fldChar w:fldCharType="separate"/>
        <w:t xml:space="preserve">Right-click here and choose Update Field (or press F9) to build the table of contents.</w:t>
        <w:fldChar w:fldCharType="end"/>
      </w:r>
    </w:p>
    <w:p>
      <w:r>
        <w:br w:type="page"/>
      </w:r>
    </w:p>
    <w:p>
      <w:pPr>
        <w:pStyle w:val="Heading1"/>
      </w:pPr>
      <w:r>
        <w:t>1. Introduction</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 Mapping Environmentally Sensitive Assets.</w:t>
      </w:r>
    </w:p>
    <w:p>
      <w:r>
        <w:t>The MESA method identifies and evaluates key environmental factors such as ecological significance, biodiversity, species abundance, habitat quality, and the presence of sensitive or protected areas. By combining these factors, the method supports a structured assessment of how pollution incidents may affect the environment.</w:t>
      </w:r>
    </w:p>
    <w:p>
      <w:r>
        <w:t>Complementing the method, the MESA tool provides a Windows desktop workflow for conducting environmental sensitivity assessments and producing map- and report-ready outputs. The current MESA 5.2 build produces:</w:t>
      </w:r>
    </w:p>
    <w:p>
      <w:pPr>
        <w:pStyle w:val="ListBullet"/>
      </w:pPr>
      <w:r>
        <w:t>GeoParquet tables under output/geoparquet/ as the canonical analysis store</w:t>
      </w:r>
    </w:p>
    <w:p>
      <w:pPr>
        <w:pStyle w:val="ListBullet"/>
      </w:pPr>
      <w:r>
        <w:t>MBTiles under output/mbtiles/ for fast map viewing</w:t>
      </w:r>
    </w:p>
    <w:p>
      <w:pPr>
        <w:pStyle w:val="ListBullet"/>
      </w:pPr>
      <w:r>
        <w:t>A ready-to-open QGIS project under qgis/ for cartographic production</w:t>
      </w:r>
    </w:p>
    <w:p>
      <w:pPr>
        <w:pStyle w:val="ListBullet"/>
      </w:pPr>
      <w:r>
        <w:t>Word reports under output/reports/</w:t>
      </w:r>
    </w:p>
    <w:p>
      <w:r>
        <w:t>If you use the packaged distribution, start with mesa.exe. If you are running from source, start with python mesa.py.</w:t>
      </w:r>
    </w:p>
    <w:p>
      <w:r>
        <w:t>MESA 5.2 is the current release line. The method continues to evolve, and ongoing method development will guide future tool development.</w:t>
      </w:r>
    </w:p>
    <w:p>
      <w:pPr>
        <w:pStyle w:val="Heading2"/>
      </w:pPr>
      <w:r>
        <w:t>1.1 System requirements (minimum)</w:t>
      </w:r>
    </w:p>
    <w:p>
      <w:pPr>
        <w:pStyle w:val="ListBullet"/>
      </w:pPr>
      <w:r>
        <w:t>Windows 11</w:t>
      </w:r>
    </w:p>
    <w:p>
      <w:pPr>
        <w:pStyle w:val="ListBullet"/>
      </w:pPr>
      <w:r>
        <w:t>16 GB RAM</w:t>
      </w:r>
    </w:p>
    <w:p>
      <w:pPr>
        <w:pStyle w:val="ListBullet"/>
      </w:pPr>
      <w:r>
        <w:t>8 CPU cores</w:t>
      </w:r>
    </w:p>
    <w:p>
      <w:r>
        <w:t>Together, the MESA method and tool support better pollution preparedness, response planning, and environmental management. By systematically assessing and mapping environmental sensitivities, stakeholders can make better-informed decisions, prioritize mitigation, and improve coordination across teams.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Conflicting interests captured by sensitivity mapping.</w:t>
      </w:r>
    </w:p>
    <w:p>
      <w:r>
        <w:br w:type="page"/>
      </w:r>
    </w:p>
    <w:p>
      <w:pPr>
        <w:pStyle w:val="Heading1"/>
      </w:pPr>
      <w:r>
        <w:t>2. What's new in MESA 5.2</w:t>
      </w:r>
    </w:p>
    <w:p>
      <w:r>
        <w:t>MESA 5.2 is a maps-and-segmentation release. The two biggest changes are visible the moment you open the Results tools: a single unified Maps window replaces the two former map viewers, and a new Segment stage in the processing runner builds a per-geocode-layer segmentation of the analysis result. The reliability and usability gains introduced in 5.1 are carried forward and summarised after the 5.2 highlights below.</w:t>
      </w:r>
    </w:p>
    <w:p>
      <w:pPr>
        <w:pStyle w:val="Heading2"/>
      </w:pPr>
      <w:r>
        <w:t>2.1 Unified Maps window</w:t>
      </w:r>
    </w:p>
    <w:p>
      <w:r>
        <w:t>The Results step now has a single Maps button (it was two: Asset map and Results map). It opens one window with three tabs: Overview (the index / sensitivity MBTiles layers over a basemap, with a small area bar chart), Segmentation (the layers produced by the new Segment stage; empty until a project has a segmentation partition), and Assets (imported asset layers, loaded lazily so the window opens quickly, with AI cartography assigning colours when you turn a group on). Shared controls in the header and a floating panel apply to the active tab: Link zoom &amp; pan keeps all three maps framed on the same area, plus an opacity slider, a basemap selector, floating layer controls, and Export PNG.</w:t>
      </w:r>
    </w:p>
    <w:p>
      <w:pPr>
        <w:jc w:val="center"/>
      </w:pPr>
      <w:r>
        <w:drawing>
          <wp:inline xmlns:a="http://schemas.openxmlformats.org/drawingml/2006/main" xmlns:pic="http://schemas.openxmlformats.org/drawingml/2006/picture">
            <wp:extent cx="5400000" cy="3229540"/>
            <wp:docPr id="4" name="Picture 4"/>
            <wp:cNvGraphicFramePr>
              <a:graphicFrameLocks noChangeAspect="1"/>
            </wp:cNvGraphicFramePr>
            <a:graphic>
              <a:graphicData uri="http://schemas.openxmlformats.org/drawingml/2006/picture">
                <pic:pic>
                  <pic:nvPicPr>
                    <pic:cNvPr id="0" name="ui_combined_map.png"/>
                    <pic:cNvPicPr/>
                  </pic:nvPicPr>
                  <pic:blipFill>
                    <a:blip r:embed="rId12"/>
                    <a:stretch>
                      <a:fillRect/>
                    </a:stretch>
                  </pic:blipFill>
                  <pic:spPr>
                    <a:xfrm>
                      <a:off x="0" y="0"/>
                      <a:ext cx="5400000" cy="3229540"/>
                    </a:xfrm>
                    <a:prstGeom prst="rect"/>
                  </pic:spPr>
                </pic:pic>
              </a:graphicData>
            </a:graphic>
          </wp:inline>
        </w:drawing>
      </w:r>
    </w:p>
    <w:p>
      <w:pPr>
        <w:jc w:val="center"/>
      </w:pPr>
      <w:r>
        <w:rPr>
          <w:i/>
          <w:sz w:val="20"/>
        </w:rPr>
        <w:t>Unified Maps window — Overview, Segmentation, and Assets tabs with linked zoom &amp; pan.</w:t>
      </w:r>
    </w:p>
    <w:p>
      <w:pPr>
        <w:pStyle w:val="Heading2"/>
      </w:pPr>
      <w:r>
        <w:t>2.2 Segmentation (new Segment stage)</w:t>
      </w:r>
    </w:p>
    <w:p>
      <w:r>
        <w:t>The data pipeline gains a fifth sub-stage, Segment, which builds tbl_segmentation from tbl_stacked. It runs on by default when data is available and produces two complementary views per geocode layer:</w:t>
      </w:r>
    </w:p>
    <w:p>
      <w:pPr>
        <w:pStyle w:val="ListBullet"/>
      </w:pPr>
      <w:r>
        <w:t>Signatures (default) — a deterministic typology: each polygon is labelled by the set of MESA sensitivity codes (A–E) carried by its overlapping assets, e.g. B+C+D+E. No tuning, fully reproducible, and cheap.</w:t>
      </w:r>
    </w:p>
    <w:p>
      <w:pPr>
        <w:pStyle w:val="ListBullet"/>
      </w:pPr>
      <w:r>
        <w:t>Clusters — algorithmic segmentation (KMeans, or a spatially-contiguous agglomerative-ward variant that keeps zones geographically connected). Optional and heavier; the spatial libraries are only loaded when you ask for it.</w:t>
      </w:r>
    </w:p>
    <w:p>
      <w:r>
        <w:t>A geocode-group multi-select on the runner controls which layers are segmented (default basic_mosaic). Outputs are slim, geometry-free tables (tbl_segmentation/&lt;layer&gt;.parquet plus a tiny tbl_segmentation_profiles.parquet), joined to geocode geometry only at render time. When a segmentation partition exists, the tile generator also renders &lt;group&gt;_seg_signatures.mbtiles and &lt;group&gt;_seg_clusters.mbtiles, which the Maps Segmentation tab shows. The report engine picks the segmentation up as per-method sub-tables with a Total area km² column and report-time multi-selects for geocode groups and segmentation levels.</w:t>
      </w:r>
    </w:p>
    <w:p>
      <w:r>
        <w:t>The Segmentation tab also shows a Zones summary table whose columns (Zone, Area km², Cells, Sens, Assets) are sortable: click a header to sort, click again to reverse, with an arrow marking the active column. Numeric columns sort largest-first by default; only the table reorders — the colour legend keeps its largest-area-first order.</w:t>
      </w:r>
    </w:p>
    <w:p>
      <w:pPr>
        <w:jc w:val="center"/>
      </w:pPr>
      <w:r>
        <w:drawing>
          <wp:inline xmlns:a="http://schemas.openxmlformats.org/drawingml/2006/main" xmlns:pic="http://schemas.openxmlformats.org/drawingml/2006/picture">
            <wp:extent cx="5400000" cy="3229540"/>
            <wp:docPr id="5" name="Picture 5"/>
            <wp:cNvGraphicFramePr>
              <a:graphicFrameLocks noChangeAspect="1"/>
            </wp:cNvGraphicFramePr>
            <a:graphic>
              <a:graphicData uri="http://schemas.openxmlformats.org/drawingml/2006/picture">
                <pic:pic>
                  <pic:nvPicPr>
                    <pic:cNvPr id="0" name="ui_combined_map_segmentation.png"/>
                    <pic:cNvPicPr/>
                  </pic:nvPicPr>
                  <pic:blipFill>
                    <a:blip r:embed="rId13"/>
                    <a:stretch>
                      <a:fillRect/>
                    </a:stretch>
                  </pic:blipFill>
                  <pic:spPr>
                    <a:xfrm>
                      <a:off x="0" y="0"/>
                      <a:ext cx="5400000" cy="3229540"/>
                    </a:xfrm>
                    <a:prstGeom prst="rect"/>
                  </pic:spPr>
                </pic:pic>
              </a:graphicData>
            </a:graphic>
          </wp:inline>
        </w:drawing>
      </w:r>
    </w:p>
    <w:p>
      <w:pPr>
        <w:jc w:val="center"/>
      </w:pPr>
      <w:r>
        <w:rPr>
          <w:i/>
          <w:sz w:val="20"/>
        </w:rPr>
        <w:t>Segmentation tab — the Zones table sorted by mean sensitivity (click any column header to sort).</w:t>
      </w:r>
    </w:p>
    <w:p>
      <w:r>
        <w:br w:type="page"/>
      </w:r>
    </w:p>
    <w:p>
      <w:pPr>
        <w:pStyle w:val="Heading2"/>
      </w:pPr>
      <w:r>
        <w:t>2.3 Headline gains carried over from 5.1</w:t>
      </w:r>
    </w:p>
    <w:p>
      <w:pPr>
        <w:pStyle w:val="Heading3"/>
      </w:pPr>
      <w:r>
        <w:t>Substantially faster processing</w:t>
      </w:r>
    </w:p>
    <w:p>
      <w:r>
        <w:t>Recent work in the data pipeline cuts avoidable temp-I/O, re-plans chunks more carefully, and tightens the flatten path. On larger projects this materially shortens processing time and reduces the feeling that runs are stuck in I/O-heavy phases. Exact improvement depends on dataset size, geometry complexity, disk speed, and hardware.</w:t>
      </w:r>
    </w:p>
    <w:p>
      <w:pPr>
        <w:pStyle w:val="Heading3"/>
      </w:pPr>
      <w:r>
        <w:t>Far fewer crashes on long runs</w:t>
      </w:r>
    </w:p>
    <w:p>
      <w:r>
        <w:t>A 140+ GB peak-RSS swap stall on a 64 GB host showed where the previous memory budgets were too optimistic. Several layers now protect long-running jobs:</w:t>
      </w:r>
    </w:p>
    <w:p>
      <w:pPr>
        <w:pStyle w:val="ListBullet"/>
      </w:pPr>
      <w:r>
        <w:t>Runtime auto-tuning of worker counts derived from the live host fingerprint and the project's data fingerprint.</w:t>
      </w:r>
    </w:p>
    <w:p>
      <w:pPr>
        <w:pStyle w:val="ListBullet"/>
      </w:pPr>
      <w:r>
        <w:t>Platform-aware memory budgets — Apple Silicon hosts use a tighter budget; Windows / Linux / Intel Mac hosts use a wider budget.</w:t>
      </w:r>
    </w:p>
    <w:p>
      <w:pPr>
        <w:pStyle w:val="ListBullet"/>
      </w:pPr>
      <w:r>
        <w:t>Pre-flight RAM/swap check before the flatten stage, so the run aborts cleanly instead of entering swap-death.</w:t>
      </w:r>
    </w:p>
    <w:p>
      <w:pPr>
        <w:pStyle w:val="ListBullet"/>
      </w:pPr>
      <w:r>
        <w:t>Per-pool memory panic watchdog for every multiprocessing pool.</w:t>
      </w:r>
    </w:p>
    <w:p>
      <w:pPr>
        <w:pStyle w:val="ListBullet"/>
      </w:pPr>
      <w:r>
        <w:t>Process-lifetime sentinel watchdog as a last-resort backstop covering parent-side work between pools.</w:t>
      </w:r>
    </w:p>
    <w:p>
      <w:pPr>
        <w:pStyle w:val="ListBullet"/>
      </w:pPr>
      <w:r>
        <w:t>Three-phase flatten split — huge / large / small partitions run with progressively wider parallelism.</w:t>
      </w:r>
    </w:p>
    <w:p>
      <w:pPr>
        <w:pStyle w:val="ListBullet"/>
      </w:pPr>
      <w:r>
        <w:t>Sliver cleanup that drops zero-area precision artefacts from tbl_flat after polygonisation.</w:t>
      </w:r>
    </w:p>
    <w:p>
      <w:r>
        <w:t>A single [auto-tune] block at the top of each run log summarises the platform, hardware, data fingerprint, and per-key decisions, so operators can audit at a glance instead of grepping scattered log lines.</w:t>
      </w:r>
    </w:p>
    <w:p>
      <w:pPr>
        <w:pStyle w:val="Heading2"/>
      </w:pPr>
      <w:r>
        <w:t>2.4 Launcher and workflow</w:t>
      </w:r>
    </w:p>
    <w:p>
      <w:pPr>
        <w:pStyle w:val="Heading3"/>
      </w:pPr>
      <w:r>
        <w:t>Tab structure</w:t>
      </w:r>
    </w:p>
    <w:p>
      <w:r>
        <w:t>The desktop launcher now has six tabs. A new Welcome tab opens first as the launcher's landing screen; the former Tune processing and Publish to GeoNode tabs were moved into popups so the day-to-day tabs stay focused:</w:t>
      </w:r>
    </w:p>
    <w:p>
      <w:pPr>
        <w:pStyle w:val="ListBullet"/>
      </w:pPr>
      <w:r>
        <w:t>Welcome — a short intro plus a Project name and About this project form (new in 5.1)</w:t>
      </w:r>
    </w:p>
    <w:p>
      <w:pPr>
        <w:pStyle w:val="ListBullet"/>
      </w:pPr>
      <w:r>
        <w:t>Workflows — launch the per-phase tools</w:t>
      </w:r>
    </w:p>
    <w:p>
      <w:pPr>
        <w:pStyle w:val="ListBullet"/>
      </w:pPr>
      <w:r>
        <w:t>Status — project counters, recent activity, and headline metrics</w:t>
      </w:r>
    </w:p>
    <w:p>
      <w:pPr>
        <w:pStyle w:val="ListBullet"/>
      </w:pPr>
      <w:r>
        <w:t>Manage data — backup, restore, clear output, and Publish to GeoNode</w:t>
      </w:r>
    </w:p>
    <w:p>
      <w:pPr>
        <w:pStyle w:val="ListBullet"/>
      </w:pPr>
      <w:r>
        <w:t>Config — direct config.ini editor; also opens the Tune processing popup</w:t>
      </w:r>
    </w:p>
    <w:p>
      <w:pPr>
        <w:pStyle w:val="ListBullet"/>
      </w:pPr>
      <w:r>
        <w:t>About — build banner, system profile, and the new Credits dialog</w:t>
      </w:r>
    </w:p>
    <w:p>
      <w:r>
        <w:t>Two former top-level tabs were extracted into popups so the launcher stays focused on day-to-day work: Tune processing is now a popup launched from the Config tab, and Publish to GeoNode is now a popup launched from the Manage data tab.</w:t>
      </w:r>
    </w:p>
    <w:p>
      <w:pPr>
        <w:pStyle w:val="Heading3"/>
      </w:pPr>
      <w:r>
        <w:t>Unified processing runner with numbered stages</w:t>
      </w:r>
    </w:p>
    <w:p>
      <w:pPr>
        <w:pStyle w:val="ListBullet"/>
      </w:pPr>
      <w:r>
        <w:t>Numbered stages in both the run grid and the live status text, with rerun guidance when individual stages have already completed.</w:t>
      </w:r>
    </w:p>
    <w:p>
      <w:pPr>
        <w:pStyle w:val="ListBullet"/>
      </w:pPr>
      <w:r>
        <w:t>Backfill is its own pipeline stage with its own checkbox alongside Prep / Intersect / Flatten.</w:t>
      </w:r>
    </w:p>
    <w:p>
      <w:pPr>
        <w:pStyle w:val="ListBullet"/>
      </w:pPr>
      <w:r>
        <w:t>Normal / Advanced toggle hides per-stage selectors and the sliver-cleanup option behind a deliberate click.</w:t>
      </w:r>
    </w:p>
    <w:p>
      <w:pPr>
        <w:pStyle w:val="ListBullet"/>
      </w:pPr>
      <w:r>
        <w:t>Directional headers in the Advanced grid show stage order at a glance.</w:t>
      </w:r>
    </w:p>
    <w:p>
      <w:pPr>
        <w:pStyle w:val="ListBullet"/>
      </w:pPr>
      <w:r>
        <w:t>Progress map is launched from inside the runner window.</w:t>
      </w:r>
    </w:p>
    <w:p>
      <w:pPr>
        <w:pStyle w:val="ListBullet"/>
      </w:pPr>
      <w:r>
        <w:t>CLI flags (--no-prep, --no-intersect, --no-flatten, --no-cleanup-slivers) mirror the GUI controls for headless runs.</w:t>
      </w:r>
    </w:p>
    <w:p>
      <w:pPr>
        <w:pStyle w:val="Heading3"/>
      </w:pPr>
      <w:r>
        <w:t>Tune processing is safer</w:t>
      </w:r>
    </w:p>
    <w:p>
      <w:r>
        <w:t>Tune processing follows an evaluate-before-commit pattern: Evaluate shows current versus advised values first, Commit changes is separate, and Restore previous tuning rolls back the last committed tune set.</w:t>
      </w:r>
    </w:p>
    <w:p>
      <w:pPr>
        <w:pStyle w:val="Heading2"/>
      </w:pPr>
      <w:r>
        <w:t>2.5 Authoring and reporting</w:t>
      </w:r>
    </w:p>
    <w:p>
      <w:r>
        <w:t>Asset import has two convenience options on by default: Dissolve adjacent polygons (merges touching polygons that share identical attribute values) and automatic buffering of point and line inputs using default_point_buffer_m and default_line_buffer_m so zero-area features still contribute. The atlas helper now reads existing atlas state on open and includes a Delete action. The Word report engine has had a layout pass — index maps include legends, area maps are scaled down with explanatory text, atlas tile maps show the full grid with the current tile highlighted, and each atlas tile heading begins on a fresh page.</w:t>
      </w:r>
    </w:p>
    <w:p>
      <w:pPr>
        <w:pStyle w:val="Heading2"/>
      </w:pPr>
      <w:r>
        <w:t>2.6 Reliability and operator controls (from 5.1)</w:t>
      </w:r>
    </w:p>
    <w:p>
      <w:r>
        <w:t>On top of the 5.0 reliability baseline, MESA 5.1 adds a layer of operator-facing controls that recover from trouble instead of aborting, and make long runs safer to start, stop, and resume:</w:t>
      </w:r>
    </w:p>
    <w:p>
      <w:pPr>
        <w:pStyle w:val="ListBullet"/>
      </w:pPr>
      <w:r>
        <w:t>Soft memory throttle. The per-pool memory watchdog now has two tiers. When RAM use crosses the soft threshold for a few seconds, the active pool is drained and restarted with half the workers — the run continues with reduced parallelism instead of aborting. The existing hard panic remains the last line of defence. Set mem_soft_throttle_percent = 0 to disable the soft tier.</w:t>
      </w:r>
    </w:p>
    <w:p>
      <w:pPr>
        <w:pStyle w:val="ListBullet"/>
      </w:pPr>
      <w:r>
        <w:t>Cancel that actually fires mid-stage. The Cancel button now interrupts a running stage within about half a second rather than waiting for it to finish, ending in a clear RUN CANCELLED marker; follow-on stages do not start.</w:t>
      </w:r>
    </w:p>
    <w:p>
      <w:pPr>
        <w:pStyle w:val="ListBullet"/>
      </w:pPr>
      <w:r>
        <w:t>Single-instance pipeline lock. Each project holds an exclusive output/.pipeline.lock for the duration of a run, so a second run on the same project is refused with a clear message instead of two pipelines interleaving. Stale locks from a crash are reclaimed automatically; different projects can still run in parallel.</w:t>
      </w:r>
    </w:p>
    <w:p>
      <w:pPr>
        <w:pStyle w:val="ListBullet"/>
      </w:pPr>
      <w:r>
        <w:t>Self-calibrating progress weights. The progress bar's split across Data / Tiles / Lines / Analysis is now learned from recent clean run times instead of fixed guesses, so the bar tracks reality after a couple of completed runs.</w:t>
      </w:r>
    </w:p>
    <w:p>
      <w:pPr>
        <w:pStyle w:val="ListBullet"/>
      </w:pPr>
      <w:r>
        <w:t>Smaller, faster GeoParquet (ZSTD-3). Processing outputs are now written with ZSTD level 3 instead of SNAPPY, roughly halving on-disk size on large partitions; reading is unchanged.</w:t>
      </w:r>
    </w:p>
    <w:p>
      <w:pPr>
        <w:pStyle w:val="ListBullet"/>
      </w:pPr>
      <w:r>
        <w:t>Threaded backup with a progress dialog. Create / Restore backup now run off the GUI thread with a proper progress dialog, plus options to include or skip MBTiles and to choose DEFLATE (Explorer-compatible) or LZMA (smaller) archives.</w:t>
      </w:r>
    </w:p>
    <w:p>
      <w:pPr>
        <w:pStyle w:val="ListBullet"/>
      </w:pPr>
      <w:r>
        <w:t>Tiles cleanup when unchecked. Unchecking Tiles and re-running deletes the existing .mbtiles at run start so they cannot silently misalign with new results; a warning label surfaces the deletion.</w:t>
      </w:r>
    </w:p>
    <w:p>
      <w:pPr>
        <w:pStyle w:val="ListBullet"/>
      </w:pPr>
      <w:r>
        <w:t>Asset-import provenance. Asset import records the source path, time, and layer count, shown above the parameter editor so you can tell which input/asset/ folder a parameter set came from after several re-imports.</w:t>
      </w:r>
    </w:p>
    <w:p>
      <w:pPr>
        <w:pStyle w:val="ListBullet"/>
      </w:pPr>
      <w:r>
        <w:t>Corrected GPU RAM and live version on the About tab. GPU VRAM now reads the full 64-bit value (no 4 GB truncation) and the reported MESA version always reflects the running build.</w:t>
      </w:r>
    </w:p>
    <w:p>
      <w:r>
        <w:br w:type="page"/>
      </w:r>
    </w:p>
    <w:p>
      <w:pPr>
        <w:pStyle w:val="Heading1"/>
      </w:pPr>
      <w:r>
        <w:t>3. Quickstart</w:t>
      </w:r>
    </w:p>
    <w:p>
      <w:r>
        <w:t>This quick-start guide shows how to run the current MESA 5 workflow end-to-end: prepare inputs, configure parameters, run processing, and review outputs.</w:t>
      </w:r>
    </w:p>
    <w:p>
      <w:pPr>
        <w:jc w:val="center"/>
      </w:pPr>
      <w:r>
        <w:drawing>
          <wp:inline xmlns:a="http://schemas.openxmlformats.org/drawingml/2006/main" xmlns:pic="http://schemas.openxmlformats.org/drawingml/2006/picture">
            <wp:extent cx="5400000" cy="3066279"/>
            <wp:docPr id="6" name="Picture 6"/>
            <wp:cNvGraphicFramePr>
              <a:graphicFrameLocks noChangeAspect="1"/>
            </wp:cNvGraphicFramePr>
            <a:graphic>
              <a:graphicData uri="http://schemas.openxmlformats.org/drawingml/2006/picture">
                <pic:pic>
                  <pic:nvPicPr>
                    <pic:cNvPr id="0" name="process_overview.png"/>
                    <pic:cNvPicPr/>
                  </pic:nvPicPr>
                  <pic:blipFill>
                    <a:blip r:embed="rId14"/>
                    <a:stretch>
                      <a:fillRect/>
                    </a:stretch>
                  </pic:blipFill>
                  <pic:spPr>
                    <a:xfrm>
                      <a:off x="0" y="0"/>
                      <a:ext cx="5400000" cy="3066279"/>
                    </a:xfrm>
                    <a:prstGeom prst="rect"/>
                  </pic:spPr>
                </pic:pic>
              </a:graphicData>
            </a:graphic>
          </wp:inline>
        </w:drawing>
      </w:r>
    </w:p>
    <w:p>
      <w:pPr>
        <w:jc w:val="center"/>
      </w:pPr>
      <w:r>
        <w:rPr>
          <w:i/>
          <w:sz w:val="20"/>
        </w:rPr>
        <w:t>MESA process overview — prepare data, configure, process, review.</w:t>
      </w:r>
    </w:p>
    <w:p>
      <w:pPr>
        <w:pStyle w:val="Heading2"/>
      </w:pPr>
      <w:r>
        <w:t>3.1 The MESA tool</w:t>
      </w:r>
    </w:p>
    <w:p>
      <w:r>
        <w:t>MESA is operated from the desktop launcher. Use mesa.exe for the packaged distribution or python mesa.py when running from source. From the launcher you can import data, configure parameters, run processing, open interactive viewers, and export reports.</w:t>
      </w:r>
    </w:p>
    <w:p>
      <w:pPr>
        <w:pStyle w:val="Heading2"/>
      </w:pPr>
      <w:r>
        <w:t>3.2 Getting ready</w:t>
      </w:r>
    </w:p>
    <w:p>
      <w:pPr>
        <w:pStyle w:val="ListNumber"/>
        <w:numPr>
          <w:ilvl w:val="0"/>
          <w:numId w:val="10"/>
        </w:numPr>
      </w:pPr>
      <w:r>
        <w:t>System — Windows 11, minimum 16 GB RAM, minimum 8 CPU cores, and optional QGIS for atlas authoring.</w:t>
      </w:r>
    </w:p>
    <w:p>
      <w:pPr>
        <w:pStyle w:val="ListNumber"/>
        <w:numPr>
          <w:ilvl w:val="0"/>
          <w:numId w:val="10"/>
        </w:numPr>
      </w:pPr>
      <w:r>
        <w:t>Workspace — unzip the latest MESA release (packaged) or clone the repository (source). Keep the folder structure intact.</w:t>
      </w:r>
    </w:p>
    <w:p>
      <w:pPr>
        <w:pStyle w:val="ListNumber"/>
        <w:numPr>
          <w:ilvl w:val="0"/>
          <w:numId w:val="10"/>
        </w:numPr>
      </w:pPr>
      <w:r>
        <w:t>Disk space — plan for several GB free space for GeoParquet, MBTiles, logs, reports, and temporary processing files.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Data set</w:t>
            </w:r>
          </w:p>
        </w:tc>
        <w:tc>
          <w:tcPr>
            <w:tcW w:type="dxa" w:w="3249"/>
            <w:shd w:val="clear" w:color="auto" w:fill="1F3A5F"/>
          </w:tcPr>
          <w:p>
            <w:r>
              <w:rPr>
                <w:color w:val="FFFFFF"/>
              </w:rPr>
            </w:r>
            <w:r>
              <w:rPr>
                <w:b/>
                <w:color w:val="FFFFFF"/>
              </w:rPr>
              <w:t>Description</w:t>
            </w:r>
          </w:p>
        </w:tc>
        <w:tc>
          <w:tcPr>
            <w:tcW w:type="dxa" w:w="3249"/>
            <w:shd w:val="clear" w:color="auto" w:fill="1F3A5F"/>
          </w:tcPr>
          <w:p>
            <w:r>
              <w:rPr>
                <w:color w:val="FFFFFF"/>
              </w:rPr>
            </w:r>
            <w:r>
              <w:rPr>
                <w:b/>
                <w:color w:val="FFFFFF"/>
              </w:rPr>
              <w:t>Required</w:t>
            </w:r>
          </w:p>
        </w:tc>
      </w:tr>
      <w:tr>
        <w:tc>
          <w:tcPr>
            <w:tcW w:type="dxa" w:w="3249"/>
            <w:vAlign w:val="top"/>
          </w:tcPr>
          <w:p>
            <w:r>
              <w:t>Environmental assets</w:t>
            </w:r>
          </w:p>
        </w:tc>
        <w:tc>
          <w:tcPr>
            <w:tcW w:type="dxa" w:w="3249"/>
            <w:vAlign w:val="top"/>
          </w:tcPr>
          <w:p>
            <w:r>
              <w:t>Natural or anthropogenic entities that provide ecological, socio-cultural, economic, or political value. Stored under input/asset/&lt;collection&gt;.</w:t>
            </w:r>
          </w:p>
        </w:tc>
        <w:tc>
          <w:tcPr>
            <w:tcW w:type="dxa" w:w="3249"/>
            <w:vAlign w:val="top"/>
          </w:tcPr>
          <w:p>
            <w:r>
              <w:t>Yes</w:t>
            </w:r>
          </w:p>
        </w:tc>
      </w:tr>
      <w:tr>
        <w:tc>
          <w:tcPr>
            <w:tcW w:type="dxa" w:w="3249"/>
            <w:vAlign w:val="top"/>
          </w:tcPr>
          <w:p>
            <w:r>
              <w:t>Geocode layer</w:t>
            </w:r>
          </w:p>
        </w:tc>
        <w:tc>
          <w:tcPr>
            <w:tcW w:type="dxa" w:w="3249"/>
            <w:vAlign w:val="top"/>
          </w:tcPr>
          <w:p>
            <w:r>
              <w:t>Spatial grids or polygons that aggregate sensitivity. H3 hexagons, quarter-degree grid cells, municipalities, or any non-overlapping polygons under input/geocode/.</w:t>
            </w:r>
          </w:p>
        </w:tc>
        <w:tc>
          <w:tcPr>
            <w:tcW w:type="dxa" w:w="3249"/>
            <w:vAlign w:val="top"/>
          </w:tcPr>
          <w:p>
            <w:r>
              <w:t>Yes</w:t>
            </w:r>
          </w:p>
        </w:tc>
      </w:tr>
      <w:tr>
        <w:tc>
          <w:tcPr>
            <w:tcW w:type="dxa" w:w="3249"/>
            <w:vAlign w:val="top"/>
          </w:tcPr>
          <w:p>
            <w:r>
              <w:t>Line data</w:t>
            </w:r>
          </w:p>
        </w:tc>
        <w:tc>
          <w:tcPr>
            <w:tcW w:type="dxa" w:w="3249"/>
            <w:vAlign w:val="top"/>
          </w:tcPr>
          <w:p>
            <w:r>
              <w:t>Roads, pipelines, coastlines, rivers, or similar linear assets stored under input/lines/.</w:t>
            </w:r>
          </w:p>
        </w:tc>
        <w:tc>
          <w:tcPr>
            <w:tcW w:type="dxa" w:w="3249"/>
            <w:vAlign w:val="top"/>
          </w:tcPr>
          <w:p>
            <w:r>
              <w:t>No</w:t>
            </w:r>
          </w:p>
        </w:tc>
      </w:tr>
      <w:tr>
        <w:tc>
          <w:tcPr>
            <w:tcW w:type="dxa" w:w="3249"/>
            <w:vAlign w:val="top"/>
          </w:tcPr>
          <w:p>
            <w:r>
              <w:t>Atlas tiles</w:t>
            </w:r>
          </w:p>
        </w:tc>
        <w:tc>
          <w:tcPr>
            <w:tcW w:type="dxa" w:w="3249"/>
            <w:vAlign w:val="top"/>
          </w:tcPr>
          <w:p>
            <w:r>
              <w:t>Optional atlas polygons for QGIS atlas exports and report rendering. Created inside MESA or imported from input/atlas/.</w:t>
            </w:r>
          </w:p>
        </w:tc>
        <w:tc>
          <w:tcPr>
            <w:tcW w:type="dxa" w:w="3249"/>
            <w:vAlign w:val="top"/>
          </w:tcPr>
          <w:p>
            <w:r>
              <w:t>No</w:t>
            </w:r>
          </w:p>
        </w:tc>
      </w:tr>
      <w:tr>
        <w:tc>
          <w:tcPr>
            <w:tcW w:type="dxa" w:w="3249"/>
            <w:vAlign w:val="top"/>
          </w:tcPr>
          <w:p>
            <w:r>
              <w:t>Analysis areas</w:t>
            </w:r>
          </w:p>
        </w:tc>
        <w:tc>
          <w:tcPr>
            <w:tcW w:type="dxa" w:w="3249"/>
            <w:vAlign w:val="top"/>
          </w:tcPr>
          <w:p>
            <w:r>
              <w:t>Optional study areas / groups used for side-by-side comparison and analysis outputs.</w:t>
            </w:r>
          </w:p>
        </w:tc>
        <w:tc>
          <w:tcPr>
            <w:tcW w:type="dxa" w:w="3249"/>
            <w:vAlign w:val="top"/>
          </w:tcPr>
          <w:p>
            <w:r>
              <w:t>No</w:t>
            </w:r>
          </w:p>
        </w:tc>
      </w:tr>
    </w:tbl>
    <w:p/>
    <w:p>
      <w:r>
        <w:t>Demonstration data. MESA is delivered without project data: input/ holds four empty folders and output/ is empty. To try MESA before you have your own data, download a demonstration package from Zenodo and load it under Manage data, Restore data. The packages hold input data only, so run Process after restoring one. Restore replaces the input/, output/ and config.ini of the project you restore into.</w:t>
      </w:r>
    </w:p>
    <w:p>
      <w:pPr>
        <w:pStyle w:val="ListBullet"/>
      </w:pPr>
      <w:r>
        <w:t>Open data from sites in Uganda, Kenya and Ghana (ESA WorldCover, OpenStreetMap, Allen Coral Atlas): https://doi.org/10.5281/zenodo.21744272</w:t>
      </w:r>
    </w:p>
    <w:p>
      <w:pPr>
        <w:pStyle w:val="ListBullet"/>
      </w:pPr>
      <w:r>
        <w:t>Synthetic test data with invented, deliberately overlapping asset layers: https://doi.org/10.5281/zenodo.21744039</w:t>
      </w:r>
    </w:p>
    <w:p>
      <w:pPr>
        <w:pStyle w:val="ListBullet"/>
      </w:pPr>
      <w:r>
        <w:t>Each record includes a guide, and every package carries docs/readme_demodata.txt with its sources and credits. Both links always lead to the newest version of the data.</w:t>
      </w:r>
    </w:p>
    <w:p>
      <w:pPr>
        <w:pStyle w:val="Heading2"/>
      </w:pPr>
      <w:r>
        <w:t>3.3 Importing data</w:t>
      </w:r>
    </w:p>
    <w:p>
      <w:pPr>
        <w:pStyle w:val="ListNumber"/>
        <w:numPr>
          <w:ilvl w:val="0"/>
          <w:numId w:val="11"/>
        </w:numPr>
      </w:pPr>
      <w:r>
        <w:t>Copy asset datasets into input/asset/.</w:t>
      </w:r>
    </w:p>
    <w:p>
      <w:pPr>
        <w:pStyle w:val="ListNumber"/>
        <w:numPr>
          <w:ilvl w:val="0"/>
          <w:numId w:val="11"/>
        </w:numPr>
      </w:pPr>
      <w:r>
        <w:t>Copy geocode layers into input/geocode/.</w:t>
      </w:r>
    </w:p>
    <w:p>
      <w:pPr>
        <w:pStyle w:val="ListNumber"/>
        <w:numPr>
          <w:ilvl w:val="0"/>
          <w:numId w:val="11"/>
        </w:numPr>
      </w:pPr>
      <w:r>
        <w:t>Copy line datasets into input/lines/ when you need segment-level sensitivity.</w:t>
      </w:r>
    </w:p>
    <w:p>
      <w:pPr>
        <w:pStyle w:val="ListNumber"/>
        <w:numPr>
          <w:ilvl w:val="0"/>
          <w:numId w:val="11"/>
        </w:numPr>
      </w:pPr>
      <w:r>
        <w:t>Review config.ini if you need to adjust projections, tile zoom levels, buffers, or performance knobs.</w:t>
      </w:r>
    </w:p>
    <w:p>
      <w:r>
        <w:t>Then use Workflows → Prepare data (step 1):</w:t>
      </w:r>
    </w:p>
    <w:p>
      <w:pPr>
        <w:pStyle w:val="ListBullet"/>
      </w:pPr>
      <w:r>
        <w:t>Assets imports asset datasets and lets you maintain asset-group metadata.</w:t>
      </w:r>
    </w:p>
    <w:p>
      <w:pPr>
        <w:pStyle w:val="ListBullet"/>
      </w:pPr>
      <w:r>
        <w:t>Geocodes imports geocode layers and can also generate or refresh supported grids.</w:t>
      </w:r>
    </w:p>
    <w:p>
      <w:pPr>
        <w:pStyle w:val="ListBullet"/>
      </w:pPr>
      <w:r>
        <w:t>Lines imports and edits line data plus segmentation settings.</w:t>
      </w:r>
    </w:p>
    <w:p>
      <w:pPr>
        <w:pStyle w:val="ListBullet"/>
      </w:pPr>
      <w:r>
        <w:t>Atlas imports or creates atlas polygons when you need atlas pages later.</w:t>
      </w:r>
    </w:p>
    <w:p>
      <w:pPr>
        <w:pStyle w:val="Heading2"/>
      </w:pPr>
      <w:r>
        <w:t>3.4 Configuring the project</w:t>
      </w:r>
    </w:p>
    <w:p>
      <w:r>
        <w:t>Use Workflows → Configure (step 2) before heavy runs. Parameters edits processing rules such as sensitivity weights, thresholds, and related settings. Analysis defines optional study-area polygons and named analysis groups.</w:t>
      </w:r>
    </w:p>
    <w:p>
      <w:pPr>
        <w:pStyle w:val="Heading2"/>
      </w:pPr>
      <w:r>
        <w:t>3.5 Running processing</w:t>
      </w:r>
    </w:p>
    <w:p>
      <w:pPr>
        <w:pStyle w:val="ListNumber"/>
        <w:numPr>
          <w:ilvl w:val="0"/>
          <w:numId w:val="12"/>
        </w:numPr>
      </w:pPr>
      <w:r>
        <w:t>Open Workflows → Process (step 3) → Process.</w:t>
      </w:r>
    </w:p>
    <w:p>
      <w:pPr>
        <w:pStyle w:val="ListNumber"/>
        <w:numPr>
          <w:ilvl w:val="0"/>
          <w:numId w:val="12"/>
        </w:numPr>
      </w:pPr>
      <w:r>
        <w:t>In the process runner, select the steps you want: Data processing (Prep / Intersect / Flatten / Backfill / Segment), Tiles processing, Lines processing, Analysis processing.</w:t>
      </w:r>
    </w:p>
    <w:p>
      <w:pPr>
        <w:pStyle w:val="ListNumber"/>
        <w:numPr>
          <w:ilvl w:val="0"/>
          <w:numId w:val="12"/>
        </w:numPr>
      </w:pPr>
      <w:r>
        <w:t>Leave Data processing enabled at minimum for a first full run.</w:t>
      </w:r>
    </w:p>
    <w:p>
      <w:pPr>
        <w:pStyle w:val="ListNumber"/>
        <w:numPr>
          <w:ilvl w:val="0"/>
          <w:numId w:val="12"/>
        </w:numPr>
      </w:pPr>
      <w:r>
        <w:t>Enable Tiles processing if you want MBTiles in the same run.</w:t>
      </w:r>
    </w:p>
    <w:p>
      <w:pPr>
        <w:pStyle w:val="ListNumber"/>
        <w:numPr>
          <w:ilvl w:val="0"/>
          <w:numId w:val="12"/>
        </w:numPr>
      </w:pPr>
      <w:r>
        <w:t>Enable Lines and/or Analysis processing when those datasets have been prepared.</w:t>
      </w:r>
    </w:p>
    <w:p>
      <w:pPr>
        <w:pStyle w:val="ListNumber"/>
        <w:numPr>
          <w:ilvl w:val="0"/>
          <w:numId w:val="12"/>
        </w:numPr>
      </w:pPr>
      <w:r>
        <w:t>Use Progress map inside the process runner if you want a live minimap during longer runs.</w:t>
      </w:r>
    </w:p>
    <w:p>
      <w:pPr>
        <w:pStyle w:val="ListNumber"/>
        <w:numPr>
          <w:ilvl w:val="0"/>
          <w:numId w:val="12"/>
        </w:numPr>
      </w:pPr>
      <w:r>
        <w:t>Use the Normal / Advanced toggle at the top of the runner to expose per-stage selectors and the sliver-cleanup option.</w:t>
      </w:r>
    </w:p>
    <w:p>
      <w:r>
        <w:t>After the first end-to-end run, every stage's output sits on disk and downstream stages can be re-run on their own. To explore parameter changes, switch the runner to Advanced and tick only the stages affected by your change. The full mapping from 'what I changed' to 'which stages I need to rerun' is in section 10.2 Iterative workflow.</w:t>
      </w:r>
    </w:p>
    <w:p>
      <w:pPr>
        <w:pStyle w:val="Heading2"/>
      </w:pPr>
      <w:r>
        <w:t>3.6 Reviewing results</w:t>
      </w:r>
    </w:p>
    <w:p>
      <w:r>
        <w:t>After processing, use Workflows → Results (step 4): Maps opens one tabbed window with Overview (index/sensitivity layers), Segmentation (the Segment-stage output), and Assets (imported asset layers), with linked zoom &amp; pan, opacity, a basemap selector, and PNG export; Compare study areas compares analysis groups side by side; and Report engine creates a Word report from the latest outputs.</w:t>
      </w:r>
    </w:p>
    <w:p>
      <w:pPr>
        <w:pStyle w:val="Heading2"/>
      </w:pPr>
      <w:r>
        <w:t>3.7 Backup and restore</w:t>
      </w:r>
    </w:p>
    <w:p>
      <w:pPr>
        <w:pStyle w:val="ListBullet"/>
      </w:pPr>
      <w:r>
        <w:t>Create backup saves input/, output/, and config.ini into one ZIP archive.</w:t>
      </w:r>
    </w:p>
    <w:p>
      <w:pPr>
        <w:pStyle w:val="ListBullet"/>
      </w:pPr>
      <w:r>
        <w:t>Restore backup replaces the current input/, output/, and config.ini with the selected archive.</w:t>
      </w:r>
    </w:p>
    <w:p>
      <w:pPr>
        <w:pStyle w:val="ListBullet"/>
      </w:pPr>
      <w:r>
        <w:t>Clear output removes generated outputs while keeping inputs and configuration.</w:t>
      </w:r>
    </w:p>
    <w:p>
      <w:r>
        <w:t>Restore is destructive. Make sure no MESA windows are actively using the project folder before restoring.</w:t>
      </w:r>
    </w:p>
    <w:p>
      <w:r>
        <w:br w:type="page"/>
      </w:r>
    </w:p>
    <w:p>
      <w:pPr>
        <w:pStyle w:val="Heading1"/>
      </w:pPr>
      <w:r>
        <w:t>4. Desktop user interface</w:t>
      </w:r>
    </w:p>
    <w:p>
      <w:r>
        <w:t>The MESA 5.2 desktop launcher opens on the Welcome tab, where you can name the project and add a short description, then continue to Workflows. The Workflows tab organizes the project into four practical phases: prepare data, configure the project, run processing, and review results.</w:t>
      </w:r>
    </w:p>
    <w:p>
      <w:pPr>
        <w:jc w:val="center"/>
      </w:pPr>
      <w:r>
        <w:drawing>
          <wp:inline xmlns:a="http://schemas.openxmlformats.org/drawingml/2006/main" xmlns:pic="http://schemas.openxmlformats.org/drawingml/2006/picture">
            <wp:extent cx="5400000" cy="3605070"/>
            <wp:docPr id="7" name="Picture 7"/>
            <wp:cNvGraphicFramePr>
              <a:graphicFrameLocks noChangeAspect="1"/>
            </wp:cNvGraphicFramePr>
            <a:graphic>
              <a:graphicData uri="http://schemas.openxmlformats.org/drawingml/2006/picture">
                <pic:pic>
                  <pic:nvPicPr>
                    <pic:cNvPr id="0" name="ui_workflows.png"/>
                    <pic:cNvPicPr/>
                  </pic:nvPicPr>
                  <pic:blipFill>
                    <a:blip r:embed="rId15"/>
                    <a:stretch>
                      <a:fillRect/>
                    </a:stretch>
                  </pic:blipFill>
                  <pic:spPr>
                    <a:xfrm>
                      <a:off x="0" y="0"/>
                      <a:ext cx="5400000" cy="3605070"/>
                    </a:xfrm>
                    <a:prstGeom prst="rect"/>
                  </pic:spPr>
                </pic:pic>
              </a:graphicData>
            </a:graphic>
          </wp:inline>
        </w:drawing>
      </w:r>
    </w:p>
    <w:p>
      <w:pPr>
        <w:jc w:val="center"/>
      </w:pPr>
      <w:r>
        <w:rPr>
          <w:i/>
          <w:sz w:val="20"/>
        </w:rPr>
        <w:t>Desktop launcher — Workflows tab.</w:t>
      </w:r>
    </w:p>
    <w:p>
      <w:pPr>
        <w:jc w:val="center"/>
      </w:pPr>
      <w:r>
        <w:drawing>
          <wp:inline xmlns:a="http://schemas.openxmlformats.org/drawingml/2006/main" xmlns:pic="http://schemas.openxmlformats.org/drawingml/2006/picture">
            <wp:extent cx="5400000" cy="3615385"/>
            <wp:docPr id="8" name="Picture 8"/>
            <wp:cNvGraphicFramePr>
              <a:graphicFrameLocks noChangeAspect="1"/>
            </wp:cNvGraphicFramePr>
            <a:graphic>
              <a:graphicData uri="http://schemas.openxmlformats.org/drawingml/2006/picture">
                <pic:pic>
                  <pic:nvPicPr>
                    <pic:cNvPr id="0" name="ui_status.png"/>
                    <pic:cNvPicPr/>
                  </pic:nvPicPr>
                  <pic:blipFill>
                    <a:blip r:embed="rId16"/>
                    <a:stretch>
                      <a:fillRect/>
                    </a:stretch>
                  </pic:blipFill>
                  <pic:spPr>
                    <a:xfrm>
                      <a:off x="0" y="0"/>
                      <a:ext cx="5400000" cy="3615385"/>
                    </a:xfrm>
                    <a:prstGeom prst="rect"/>
                  </pic:spPr>
                </pic:pic>
              </a:graphicData>
            </a:graphic>
          </wp:inline>
        </w:drawing>
      </w:r>
    </w:p>
    <w:p>
      <w:pPr>
        <w:jc w:val="center"/>
      </w:pPr>
      <w:r>
        <w:rPr>
          <w:i/>
          <w:sz w:val="20"/>
        </w:rPr>
        <w:t>Status tab — counters, recent activity, headline metrics.</w:t>
      </w:r>
    </w:p>
    <w:p>
      <w:pPr>
        <w:jc w:val="center"/>
      </w:pPr>
      <w:r>
        <w:drawing>
          <wp:inline xmlns:a="http://schemas.openxmlformats.org/drawingml/2006/main" xmlns:pic="http://schemas.openxmlformats.org/drawingml/2006/picture">
            <wp:extent cx="5400000" cy="3625937"/>
            <wp:docPr id="9" name="Picture 9"/>
            <wp:cNvGraphicFramePr>
              <a:graphicFrameLocks noChangeAspect="1"/>
            </wp:cNvGraphicFramePr>
            <a:graphic>
              <a:graphicData uri="http://schemas.openxmlformats.org/drawingml/2006/picture">
                <pic:pic>
                  <pic:nvPicPr>
                    <pic:cNvPr id="0" name="ui_manage.png"/>
                    <pic:cNvPicPr/>
                  </pic:nvPicPr>
                  <pic:blipFill>
                    <a:blip r:embed="rId17"/>
                    <a:stretch>
                      <a:fillRect/>
                    </a:stretch>
                  </pic:blipFill>
                  <pic:spPr>
                    <a:xfrm>
                      <a:off x="0" y="0"/>
                      <a:ext cx="5400000" cy="3625937"/>
                    </a:xfrm>
                    <a:prstGeom prst="rect"/>
                  </pic:spPr>
                </pic:pic>
              </a:graphicData>
            </a:graphic>
          </wp:inline>
        </w:drawing>
      </w:r>
    </w:p>
    <w:p>
      <w:pPr>
        <w:jc w:val="center"/>
      </w:pPr>
      <w:r>
        <w:rPr>
          <w:i/>
          <w:sz w:val="20"/>
        </w:rPr>
        <w:t>Manage data tab — backup, restore, clear output, GeoNode publish.</w:t>
      </w:r>
    </w:p>
    <w:p>
      <w:pPr>
        <w:jc w:val="center"/>
      </w:pPr>
      <w:r>
        <w:drawing>
          <wp:inline xmlns:a="http://schemas.openxmlformats.org/drawingml/2006/main" xmlns:pic="http://schemas.openxmlformats.org/drawingml/2006/picture">
            <wp:extent cx="5400000" cy="3636735"/>
            <wp:docPr id="10" name="Picture 10"/>
            <wp:cNvGraphicFramePr>
              <a:graphicFrameLocks noChangeAspect="1"/>
            </wp:cNvGraphicFramePr>
            <a:graphic>
              <a:graphicData uri="http://schemas.openxmlformats.org/drawingml/2006/picture">
                <pic:pic>
                  <pic:nvPicPr>
                    <pic:cNvPr id="0" name="ui_config.png"/>
                    <pic:cNvPicPr/>
                  </pic:nvPicPr>
                  <pic:blipFill>
                    <a:blip r:embed="rId18"/>
                    <a:stretch>
                      <a:fillRect/>
                    </a:stretch>
                  </pic:blipFill>
                  <pic:spPr>
                    <a:xfrm>
                      <a:off x="0" y="0"/>
                      <a:ext cx="5400000" cy="3636735"/>
                    </a:xfrm>
                    <a:prstGeom prst="rect"/>
                  </pic:spPr>
                </pic:pic>
              </a:graphicData>
            </a:graphic>
          </wp:inline>
        </w:drawing>
      </w:r>
    </w:p>
    <w:p>
      <w:pPr>
        <w:jc w:val="center"/>
      </w:pPr>
      <w:r>
        <w:rPr>
          <w:i/>
          <w:sz w:val="20"/>
        </w:rPr>
        <w:t>Config tab — direct editor for config.ini, with Tune processing popup.</w:t>
      </w:r>
    </w:p>
    <w:p>
      <w:pPr>
        <w:jc w:val="center"/>
      </w:pPr>
      <w:r>
        <w:drawing>
          <wp:inline xmlns:a="http://schemas.openxmlformats.org/drawingml/2006/main" xmlns:pic="http://schemas.openxmlformats.org/drawingml/2006/picture">
            <wp:extent cx="5400000" cy="3647788"/>
            <wp:docPr id="11" name="Picture 11"/>
            <wp:cNvGraphicFramePr>
              <a:graphicFrameLocks noChangeAspect="1"/>
            </wp:cNvGraphicFramePr>
            <a:graphic>
              <a:graphicData uri="http://schemas.openxmlformats.org/drawingml/2006/picture">
                <pic:pic>
                  <pic:nvPicPr>
                    <pic:cNvPr id="0" name="ui_about.png"/>
                    <pic:cNvPicPr/>
                  </pic:nvPicPr>
                  <pic:blipFill>
                    <a:blip r:embed="rId19"/>
                    <a:stretch>
                      <a:fillRect/>
                    </a:stretch>
                  </pic:blipFill>
                  <pic:spPr>
                    <a:xfrm>
                      <a:off x="0" y="0"/>
                      <a:ext cx="5400000" cy="3647788"/>
                    </a:xfrm>
                    <a:prstGeom prst="rect"/>
                  </pic:spPr>
                </pic:pic>
              </a:graphicData>
            </a:graphic>
          </wp:inline>
        </w:drawing>
      </w:r>
    </w:p>
    <w:p>
      <w:pPr>
        <w:jc w:val="center"/>
      </w:pPr>
      <w:r>
        <w:rPr>
          <w:i/>
          <w:sz w:val="20"/>
        </w:rPr>
        <w:t>About tab — build banner and system profile.</w:t>
      </w:r>
    </w:p>
    <w:p>
      <w:pPr>
        <w:pStyle w:val="Heading2"/>
      </w:pPr>
      <w:r>
        <w:t>4.1 Prepare data (step 1)</w:t>
      </w:r>
    </w:p>
    <w:p>
      <w:pPr>
        <w:jc w:val="center"/>
      </w:pPr>
      <w:r>
        <w:drawing>
          <wp:inline xmlns:a="http://schemas.openxmlformats.org/drawingml/2006/main" xmlns:pic="http://schemas.openxmlformats.org/drawingml/2006/picture">
            <wp:extent cx="5400000" cy="6942857"/>
            <wp:docPr id="12" name="Picture 12"/>
            <wp:cNvGraphicFramePr>
              <a:graphicFrameLocks noChangeAspect="1"/>
            </wp:cNvGraphicFramePr>
            <a:graphic>
              <a:graphicData uri="http://schemas.openxmlformats.org/drawingml/2006/picture">
                <pic:pic>
                  <pic:nvPicPr>
                    <pic:cNvPr id="0" name="overview_prepare_data.png"/>
                    <pic:cNvPicPr/>
                  </pic:nvPicPr>
                  <pic:blipFill>
                    <a:blip r:embed="rId20"/>
                    <a:stretch>
                      <a:fillRect/>
                    </a:stretch>
                  </pic:blipFill>
                  <pic:spPr>
                    <a:xfrm>
                      <a:off x="0" y="0"/>
                      <a:ext cx="5400000" cy="6942857"/>
                    </a:xfrm>
                    <a:prstGeom prst="rect"/>
                  </pic:spPr>
                </pic:pic>
              </a:graphicData>
            </a:graphic>
          </wp:inline>
        </w:drawing>
      </w:r>
    </w:p>
    <w:p>
      <w:pPr>
        <w:jc w:val="center"/>
      </w:pPr>
      <w:r>
        <w:rPr>
          <w:i/>
          <w:sz w:val="20"/>
        </w:rPr>
        <w:t>Prepare data — assets, geocodes, atlas.</w:t>
      </w:r>
    </w:p>
    <w:p>
      <w:pPr>
        <w:pStyle w:val="ListBullet"/>
      </w:pPr>
      <w:r>
        <w:t>Assets — import area assets from input/asset/ and maintain asset-group metadata. Two convenience options are on by default: Dissolve adjacent polygons (removes source-grid moiré) and automatic buffering of point and line inputs.</w:t>
      </w:r>
    </w:p>
    <w:p>
      <w:pPr>
        <w:pStyle w:val="ListBullet"/>
      </w:pPr>
      <w:r>
        <w:t>Geocodes — import geocode layers or generate supported grids used by analysis and reporting.</w:t>
      </w:r>
    </w:p>
    <w:p>
      <w:pPr>
        <w:pStyle w:val="ListBullet"/>
      </w:pPr>
      <w:r>
        <w:t>Atlas — import or create atlas polygons and maintain atlas page metadata. The helper now surfaces existing atlas state on open and includes a Delete action.</w:t>
      </w:r>
    </w:p>
    <w:p>
      <w:pPr>
        <w:jc w:val="center"/>
      </w:pPr>
      <w:r>
        <w:drawing>
          <wp:inline xmlns:a="http://schemas.openxmlformats.org/drawingml/2006/main" xmlns:pic="http://schemas.openxmlformats.org/drawingml/2006/picture">
            <wp:extent cx="5400000" cy="4060559"/>
            <wp:docPr id="13" name="Picture 13"/>
            <wp:cNvGraphicFramePr>
              <a:graphicFrameLocks noChangeAspect="1"/>
            </wp:cNvGraphicFramePr>
            <a:graphic>
              <a:graphicData uri="http://schemas.openxmlformats.org/drawingml/2006/picture">
                <pic:pic>
                  <pic:nvPicPr>
                    <pic:cNvPr id="0" name="ui_asset_manage.png"/>
                    <pic:cNvPicPr/>
                  </pic:nvPicPr>
                  <pic:blipFill>
                    <a:blip r:embed="rId21"/>
                    <a:stretch>
                      <a:fillRect/>
                    </a:stretch>
                  </pic:blipFill>
                  <pic:spPr>
                    <a:xfrm>
                      <a:off x="0" y="0"/>
                      <a:ext cx="5400000" cy="4060559"/>
                    </a:xfrm>
                    <a:prstGeom prst="rect"/>
                  </pic:spPr>
                </pic:pic>
              </a:graphicData>
            </a:graphic>
          </wp:inline>
        </w:drawing>
      </w:r>
    </w:p>
    <w:p>
      <w:pPr>
        <w:jc w:val="center"/>
      </w:pPr>
      <w:r>
        <w:rPr>
          <w:i/>
          <w:sz w:val="20"/>
        </w:rPr>
        <w:t>Asset manager — group metadata and per-layer controls.</w:t>
      </w:r>
    </w:p>
    <w:p>
      <w:pPr>
        <w:jc w:val="center"/>
      </w:pPr>
      <w:r>
        <w:drawing>
          <wp:inline xmlns:a="http://schemas.openxmlformats.org/drawingml/2006/main" xmlns:pic="http://schemas.openxmlformats.org/drawingml/2006/picture">
            <wp:extent cx="5400000" cy="4058630"/>
            <wp:docPr id="14" name="Picture 14"/>
            <wp:cNvGraphicFramePr>
              <a:graphicFrameLocks noChangeAspect="1"/>
            </wp:cNvGraphicFramePr>
            <a:graphic>
              <a:graphicData uri="http://schemas.openxmlformats.org/drawingml/2006/picture">
                <pic:pic>
                  <pic:nvPicPr>
                    <pic:cNvPr id="0" name="ui_geocode_create.png"/>
                    <pic:cNvPicPr/>
                  </pic:nvPicPr>
                  <pic:blipFill>
                    <a:blip r:embed="rId22"/>
                    <a:stretch>
                      <a:fillRect/>
                    </a:stretch>
                  </pic:blipFill>
                  <pic:spPr>
                    <a:xfrm>
                      <a:off x="0" y="0"/>
                      <a:ext cx="5400000" cy="4058630"/>
                    </a:xfrm>
                    <a:prstGeom prst="rect"/>
                  </pic:spPr>
                </pic:pic>
              </a:graphicData>
            </a:graphic>
          </wp:inline>
        </w:drawing>
      </w:r>
    </w:p>
    <w:p>
      <w:pPr>
        <w:jc w:val="center"/>
      </w:pPr>
      <w:r>
        <w:rPr>
          <w:i/>
          <w:sz w:val="20"/>
        </w:rPr>
        <w:t>Geocode creation — generate or import geocode layers.</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atlas_manag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Atlas manager — atlas pages and metadata.</w:t>
      </w:r>
    </w:p>
    <w:p>
      <w:pPr>
        <w:pStyle w:val="Heading2"/>
      </w:pPr>
      <w:r>
        <w:t>4.2 Configure (step 2)</w:t>
      </w:r>
    </w:p>
    <w:p>
      <w:pPr>
        <w:jc w:val="center"/>
      </w:pPr>
      <w:r>
        <w:drawing>
          <wp:inline xmlns:a="http://schemas.openxmlformats.org/drawingml/2006/main" xmlns:pic="http://schemas.openxmlformats.org/drawingml/2006/picture">
            <wp:extent cx="5400000" cy="6942857"/>
            <wp:docPr id="16" name="Picture 16"/>
            <wp:cNvGraphicFramePr>
              <a:graphicFrameLocks noChangeAspect="1"/>
            </wp:cNvGraphicFramePr>
            <a:graphic>
              <a:graphicData uri="http://schemas.openxmlformats.org/drawingml/2006/picture">
                <pic:pic>
                  <pic:nvPicPr>
                    <pic:cNvPr id="0" name="overview_configure_analysis.png"/>
                    <pic:cNvPicPr/>
                  </pic:nvPicPr>
                  <pic:blipFill>
                    <a:blip r:embed="rId24"/>
                    <a:stretch>
                      <a:fillRect/>
                    </a:stretch>
                  </pic:blipFill>
                  <pic:spPr>
                    <a:xfrm>
                      <a:off x="0" y="0"/>
                      <a:ext cx="5400000" cy="6942857"/>
                    </a:xfrm>
                    <a:prstGeom prst="rect"/>
                  </pic:spPr>
                </pic:pic>
              </a:graphicData>
            </a:graphic>
          </wp:inline>
        </w:drawing>
      </w:r>
    </w:p>
    <w:p>
      <w:pPr>
        <w:jc w:val="center"/>
      </w:pPr>
      <w:r>
        <w:rPr>
          <w:i/>
          <w:sz w:val="20"/>
        </w:rPr>
        <w:t>Configure — parameters, lines, analysis.</w:t>
      </w:r>
    </w:p>
    <w:p>
      <w:pPr>
        <w:pStyle w:val="ListBullet"/>
      </w:pPr>
      <w:r>
        <w:t>Parameters — adjust processing rules such as weights, thresholds, and related setup values.</w:t>
      </w:r>
    </w:p>
    <w:p>
      <w:pPr>
        <w:pStyle w:val="ListBullet"/>
      </w:pPr>
      <w:r>
        <w:t>Lines — import and edit line datasets such as transport, rivers, utilities, or coastlines.</w:t>
      </w:r>
    </w:p>
    <w:p>
      <w:pPr>
        <w:pStyle w:val="ListBullet"/>
      </w:pPr>
      <w:r>
        <w:t>Analysis — define study-area polygons and named analysis groups.</w:t>
      </w:r>
    </w:p>
    <w:p>
      <w:pPr>
        <w:jc w:val="center"/>
      </w:pPr>
      <w:r>
        <w:drawing>
          <wp:inline xmlns:a="http://schemas.openxmlformats.org/drawingml/2006/main" xmlns:pic="http://schemas.openxmlformats.org/drawingml/2006/picture">
            <wp:extent cx="5400000" cy="4560000"/>
            <wp:docPr id="17" name="Picture 17"/>
            <wp:cNvGraphicFramePr>
              <a:graphicFrameLocks noChangeAspect="1"/>
            </wp:cNvGraphicFramePr>
            <a:graphic>
              <a:graphicData uri="http://schemas.openxmlformats.org/drawingml/2006/picture">
                <pic:pic>
                  <pic:nvPicPr>
                    <pic:cNvPr id="0" name="ui_processing_setup.png"/>
                    <pic:cNvPicPr/>
                  </pic:nvPicPr>
                  <pic:blipFill>
                    <a:blip r:embed="rId25"/>
                    <a:stretch>
                      <a:fillRect/>
                    </a:stretch>
                  </pic:blipFill>
                  <pic:spPr>
                    <a:xfrm>
                      <a:off x="0" y="0"/>
                      <a:ext cx="5400000" cy="4560000"/>
                    </a:xfrm>
                    <a:prstGeom prst="rect"/>
                  </pic:spPr>
                </pic:pic>
              </a:graphicData>
            </a:graphic>
          </wp:inline>
        </w:drawing>
      </w:r>
    </w:p>
    <w:p>
      <w:pPr>
        <w:jc w:val="center"/>
      </w:pPr>
      <w:r>
        <w:rPr>
          <w:i/>
          <w:sz w:val="20"/>
        </w:rPr>
        <w:t>Parameters helper — sensitivity setup.</w:t>
      </w:r>
    </w:p>
    <w:p>
      <w:pPr>
        <w:jc w:val="center"/>
      </w:pPr>
      <w:r>
        <w:drawing>
          <wp:inline xmlns:a="http://schemas.openxmlformats.org/drawingml/2006/main" xmlns:pic="http://schemas.openxmlformats.org/drawingml/2006/picture">
            <wp:extent cx="5400000" cy="3646652"/>
            <wp:docPr id="18" name="Picture 18"/>
            <wp:cNvGraphicFramePr>
              <a:graphicFrameLocks noChangeAspect="1"/>
            </wp:cNvGraphicFramePr>
            <a:graphic>
              <a:graphicData uri="http://schemas.openxmlformats.org/drawingml/2006/picture">
                <pic:pic>
                  <pic:nvPicPr>
                    <pic:cNvPr id="0" name="ui_line_manage.png"/>
                    <pic:cNvPicPr/>
                  </pic:nvPicPr>
                  <pic:blipFill>
                    <a:blip r:embed="rId26"/>
                    <a:stretch>
                      <a:fillRect/>
                    </a:stretch>
                  </pic:blipFill>
                  <pic:spPr>
                    <a:xfrm>
                      <a:off x="0" y="0"/>
                      <a:ext cx="5400000" cy="3646652"/>
                    </a:xfrm>
                    <a:prstGeom prst="rect"/>
                  </pic:spPr>
                </pic:pic>
              </a:graphicData>
            </a:graphic>
          </wp:inline>
        </w:drawing>
      </w:r>
    </w:p>
    <w:p>
      <w:pPr>
        <w:jc w:val="center"/>
      </w:pPr>
      <w:r>
        <w:rPr>
          <w:i/>
          <w:sz w:val="20"/>
        </w:rPr>
        <w:t>Line manager — line layers and segmentation settings.</w:t>
      </w:r>
    </w:p>
    <w:p>
      <w:pPr>
        <w:jc w:val="center"/>
      </w:pPr>
      <w:r>
        <w:drawing>
          <wp:inline xmlns:a="http://schemas.openxmlformats.org/drawingml/2006/main" xmlns:pic="http://schemas.openxmlformats.org/drawingml/2006/picture">
            <wp:extent cx="5400000" cy="3425807"/>
            <wp:docPr id="19" name="Picture 19"/>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Analysis setup — study areas and analysis groups.</w:t>
      </w:r>
    </w:p>
    <w:p>
      <w:pPr>
        <w:pStyle w:val="Heading2"/>
      </w:pPr>
      <w:r>
        <w:t>4.3 Process (step 3)</w:t>
      </w:r>
    </w:p>
    <w:p>
      <w:pPr>
        <w:jc w:val="center"/>
      </w:pPr>
      <w:r>
        <w:drawing>
          <wp:inline xmlns:a="http://schemas.openxmlformats.org/drawingml/2006/main" xmlns:pic="http://schemas.openxmlformats.org/drawingml/2006/picture">
            <wp:extent cx="5400000" cy="6922255"/>
            <wp:docPr id="20" name="Picture 20"/>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 — unified processing runner.</w:t>
      </w:r>
    </w:p>
    <w:p>
      <w:r>
        <w:t>The runner can execute eight numbered stages, in order: Data processing (prep, intersect, flatten, backfill, segment); Tiles processing; Lines processing; Analysis processing. The Segment sub-stage builds a per-geocode-layer segmentation (tbl_segmentation) and is on by default when data is available. Each materially-costly stage has its own checkbox in the run grid, so any one of them can be re-run without forcing the others to repeat. A Normal / Advanced toggle at the top keeps the default view simple. Worker counts for each stage are decided at runtime by the auto-tune step unless explicit values are set in config.ini.</w:t>
      </w:r>
    </w:p>
    <w:p>
      <w:pPr>
        <w:jc w:val="center"/>
      </w:pPr>
      <w:r>
        <w:drawing>
          <wp:inline xmlns:a="http://schemas.openxmlformats.org/drawingml/2006/main" xmlns:pic="http://schemas.openxmlformats.org/drawingml/2006/picture">
            <wp:extent cx="5400000" cy="3103494"/>
            <wp:docPr id="21" name="Picture 21"/>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Processing pipeline runner — numbered stages and per-stage controls.</w:t>
      </w:r>
    </w:p>
    <w:p>
      <w:pPr>
        <w:pStyle w:val="Heading2"/>
      </w:pPr>
      <w:r>
        <w:t>4.4 Results (step 4)</w:t>
      </w:r>
    </w:p>
    <w:p>
      <w:pPr>
        <w:jc w:val="center"/>
      </w:pPr>
      <w:r>
        <w:drawing>
          <wp:inline xmlns:a="http://schemas.openxmlformats.org/drawingml/2006/main" xmlns:pic="http://schemas.openxmlformats.org/drawingml/2006/picture">
            <wp:extent cx="5400000" cy="6922255"/>
            <wp:docPr id="22" name="Picture 22"/>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Results — Maps, compare study areas, report engine.</w:t>
      </w:r>
    </w:p>
    <w:p>
      <w:pPr>
        <w:pStyle w:val="ListBullet"/>
      </w:pPr>
      <w:r>
        <w:t>Maps — one tabbed window (replacing the former separate Asset map and Results map viewers) with Overview (index/sensitivity layers), Segmentation (Segment-stage output), and Assets (imported asset layers) tabs; linked zoom &amp; pan, an opacity slider, a basemap selector, floating layer controls, and Export PNG.</w:t>
      </w:r>
    </w:p>
    <w:p>
      <w:pPr>
        <w:pStyle w:val="ListBullet"/>
      </w:pPr>
      <w:r>
        <w:t>Compare study areas — compare analysis groups side by side.</w:t>
      </w:r>
    </w:p>
    <w:p>
      <w:pPr>
        <w:pStyle w:val="ListBullet"/>
      </w:pPr>
      <w:r>
        <w:t>Report engine — create a Word report from the latest results, now including per-method segmentation sub-tables.</w:t>
      </w:r>
    </w:p>
    <w:p>
      <w:pPr>
        <w:jc w:val="center"/>
      </w:pPr>
      <w:r>
        <w:drawing>
          <wp:inline xmlns:a="http://schemas.openxmlformats.org/drawingml/2006/main" xmlns:pic="http://schemas.openxmlformats.org/drawingml/2006/picture">
            <wp:extent cx="5400000" cy="3229540"/>
            <wp:docPr id="23" name="Picture 23"/>
            <wp:cNvGraphicFramePr>
              <a:graphicFrameLocks noChangeAspect="1"/>
            </wp:cNvGraphicFramePr>
            <a:graphic>
              <a:graphicData uri="http://schemas.openxmlformats.org/drawingml/2006/picture">
                <pic:pic>
                  <pic:nvPicPr>
                    <pic:cNvPr id="0" name="ui_combined_map.png"/>
                    <pic:cNvPicPr/>
                  </pic:nvPicPr>
                  <pic:blipFill>
                    <a:blip r:embed="rId12"/>
                    <a:stretch>
                      <a:fillRect/>
                    </a:stretch>
                  </pic:blipFill>
                  <pic:spPr>
                    <a:xfrm>
                      <a:off x="0" y="0"/>
                      <a:ext cx="5400000" cy="3229540"/>
                    </a:xfrm>
                    <a:prstGeom prst="rect"/>
                  </pic:spPr>
                </pic:pic>
              </a:graphicData>
            </a:graphic>
          </wp:inline>
        </w:drawing>
      </w:r>
    </w:p>
    <w:p>
      <w:pPr>
        <w:jc w:val="center"/>
      </w:pPr>
      <w:r>
        <w:rPr>
          <w:i/>
          <w:sz w:val="20"/>
        </w:rPr>
        <w:t>Maps window — Overview / Segmentation / Assets tabs.</w:t>
      </w:r>
    </w:p>
    <w:p>
      <w:pPr>
        <w:jc w:val="center"/>
      </w:pPr>
      <w:r>
        <w:drawing>
          <wp:inline xmlns:a="http://schemas.openxmlformats.org/drawingml/2006/main" xmlns:pic="http://schemas.openxmlformats.org/drawingml/2006/picture">
            <wp:extent cx="5400000" cy="3391173"/>
            <wp:docPr id="24" name="Picture 24"/>
            <wp:cNvGraphicFramePr>
              <a:graphicFrameLocks noChangeAspect="1"/>
            </wp:cNvGraphicFramePr>
            <a:graphic>
              <a:graphicData uri="http://schemas.openxmlformats.org/drawingml/2006/picture">
                <pic:pic>
                  <pic:nvPicPr>
                    <pic:cNvPr id="0" name="ui_analysis_present.png"/>
                    <pic:cNvPicPr/>
                  </pic:nvPicPr>
                  <pic:blipFill>
                    <a:blip r:embed="rId31"/>
                    <a:stretch>
                      <a:fillRect/>
                    </a:stretch>
                  </pic:blipFill>
                  <pic:spPr>
                    <a:xfrm>
                      <a:off x="0" y="0"/>
                      <a:ext cx="5400000" cy="3391173"/>
                    </a:xfrm>
                    <a:prstGeom prst="rect"/>
                  </pic:spPr>
                </pic:pic>
              </a:graphicData>
            </a:graphic>
          </wp:inline>
        </w:drawing>
      </w:r>
    </w:p>
    <w:p>
      <w:pPr>
        <w:jc w:val="center"/>
      </w:pPr>
      <w:r>
        <w:rPr>
          <w:i/>
          <w:sz w:val="20"/>
        </w:rPr>
        <w:t>Compare study areas.</w:t>
      </w:r>
    </w:p>
    <w:p>
      <w:pPr>
        <w:jc w:val="center"/>
      </w:pPr>
      <w:r>
        <w:drawing>
          <wp:inline xmlns:a="http://schemas.openxmlformats.org/drawingml/2006/main" xmlns:pic="http://schemas.openxmlformats.org/drawingml/2006/picture">
            <wp:extent cx="5400000" cy="4058630"/>
            <wp:docPr id="25" name="Picture 25"/>
            <wp:cNvGraphicFramePr>
              <a:graphicFrameLocks noChangeAspect="1"/>
            </wp:cNvGraphicFramePr>
            <a:graphic>
              <a:graphicData uri="http://schemas.openxmlformats.org/drawingml/2006/picture">
                <pic:pic>
                  <pic:nvPicPr>
                    <pic:cNvPr id="0" name="ui_report_generate.png"/>
                    <pic:cNvPicPr/>
                  </pic:nvPicPr>
                  <pic:blipFill>
                    <a:blip r:embed="rId32"/>
                    <a:stretch>
                      <a:fillRect/>
                    </a:stretch>
                  </pic:blipFill>
                  <pic:spPr>
                    <a:xfrm>
                      <a:off x="0" y="0"/>
                      <a:ext cx="5400000" cy="4058630"/>
                    </a:xfrm>
                    <a:prstGeom prst="rect"/>
                  </pic:spPr>
                </pic:pic>
              </a:graphicData>
            </a:graphic>
          </wp:inline>
        </w:drawing>
      </w:r>
    </w:p>
    <w:p>
      <w:pPr>
        <w:jc w:val="center"/>
      </w:pPr>
      <w:r>
        <w:rPr>
          <w:i/>
          <w:sz w:val="20"/>
        </w:rPr>
        <w:t>Report engine.</w:t>
      </w:r>
    </w:p>
    <w:p>
      <w:pPr>
        <w:pStyle w:val="Heading2"/>
      </w:pPr>
      <w:r>
        <w:t>4.5 Tune processing popup</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Tune processing popup — evaluate, commit, restore.</w:t>
      </w:r>
    </w:p>
    <w:p>
      <w:r>
        <w:t>Evaluate compares current values with advised values based on detected CPU and RAM. Commit changes writes the advised values into config.ini. Restore previous tuning restores the last saved pre-tuning values.</w:t>
      </w:r>
    </w:p>
    <w:p>
      <w:r>
        <w:br w:type="page"/>
      </w:r>
    </w:p>
    <w:p>
      <w:pPr>
        <w:pStyle w:val="Heading1"/>
      </w:pPr>
      <w:r>
        <w:t>5. Data and data quality</w:t>
      </w:r>
    </w:p>
    <w:p>
      <w:r>
        <w:t>Most MESA results trace back to the quality of the inputs. Two layers with the same geographic extent and the same sensitivity values can produce very different mosaics depending on how their geometry was prepared and what attributes survive into MESA's processing tables.</w:t>
      </w:r>
    </w:p>
    <w:p>
      <w:pPr>
        <w:jc w:val="center"/>
      </w:pPr>
      <w:r>
        <w:drawing>
          <wp:inline xmlns:a="http://schemas.openxmlformats.org/drawingml/2006/main" xmlns:pic="http://schemas.openxmlformats.org/drawingml/2006/picture">
            <wp:extent cx="5400000" cy="4050000"/>
            <wp:docPr id="27" name="Picture 27"/>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MESA input data and folder layout.</w:t>
      </w:r>
    </w:p>
    <w:p>
      <w:pPr>
        <w:pStyle w:val="Heading2"/>
      </w:pPr>
      <w:r>
        <w:t>5.1 Input data folders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Folder</w:t>
            </w:r>
          </w:p>
        </w:tc>
        <w:tc>
          <w:tcPr>
            <w:tcW w:type="dxa" w:w="3249"/>
            <w:shd w:val="clear" w:color="auto" w:fill="1F3A5F"/>
          </w:tcPr>
          <w:p>
            <w:r>
              <w:rPr>
                <w:color w:val="FFFFFF"/>
              </w:rPr>
            </w:r>
            <w:r>
              <w:rPr>
                <w:b/>
                <w:color w:val="FFFFFF"/>
              </w:rPr>
              <w:t>Contents</w:t>
            </w:r>
          </w:p>
        </w:tc>
        <w:tc>
          <w:tcPr>
            <w:tcW w:type="dxa" w:w="3249"/>
            <w:shd w:val="clear" w:color="auto" w:fill="1F3A5F"/>
          </w:tcPr>
          <w:p>
            <w:r>
              <w:rPr>
                <w:color w:val="FFFFFF"/>
              </w:rPr>
            </w:r>
            <w:r>
              <w:rPr>
                <w:b/>
                <w:color w:val="FFFFFF"/>
              </w:rPr>
              <w:t>Required</w:t>
            </w:r>
          </w:p>
        </w:tc>
      </w:tr>
      <w:tr>
        <w:tc>
          <w:tcPr>
            <w:tcW w:type="dxa" w:w="3249"/>
            <w:vAlign w:val="top"/>
          </w:tcPr>
          <w:p>
            <w:r>
              <w:t>input/asset/</w:t>
            </w:r>
          </w:p>
        </w:tc>
        <w:tc>
          <w:tcPr>
            <w:tcW w:type="dxa" w:w="3249"/>
            <w:vAlign w:val="top"/>
          </w:tcPr>
          <w:p>
            <w:r>
              <w:t>Area-asset datasets, organised into one subfolder per asset group.</w:t>
            </w:r>
          </w:p>
        </w:tc>
        <w:tc>
          <w:tcPr>
            <w:tcW w:type="dxa" w:w="3249"/>
            <w:vAlign w:val="top"/>
          </w:tcPr>
          <w:p>
            <w:r>
              <w:t>Yes</w:t>
            </w:r>
          </w:p>
        </w:tc>
      </w:tr>
      <w:tr>
        <w:tc>
          <w:tcPr>
            <w:tcW w:type="dxa" w:w="3249"/>
            <w:vAlign w:val="top"/>
          </w:tcPr>
          <w:p>
            <w:r>
              <w:t>input/geocode/</w:t>
            </w:r>
          </w:p>
        </w:tc>
        <w:tc>
          <w:tcPr>
            <w:tcW w:type="dxa" w:w="3249"/>
            <w:vAlign w:val="top"/>
          </w:tcPr>
          <w:p>
            <w:r>
              <w:t>Geocode layers (analysis grids / polygons).</w:t>
            </w:r>
          </w:p>
        </w:tc>
        <w:tc>
          <w:tcPr>
            <w:tcW w:type="dxa" w:w="3249"/>
            <w:vAlign w:val="top"/>
          </w:tcPr>
          <w:p>
            <w:r>
              <w:t>Yes (or generate inside MESA)</w:t>
            </w:r>
          </w:p>
        </w:tc>
      </w:tr>
      <w:tr>
        <w:tc>
          <w:tcPr>
            <w:tcW w:type="dxa" w:w="3249"/>
            <w:vAlign w:val="top"/>
          </w:tcPr>
          <w:p>
            <w:r>
              <w:t>input/lines/</w:t>
            </w:r>
          </w:p>
        </w:tc>
        <w:tc>
          <w:tcPr>
            <w:tcW w:type="dxa" w:w="3249"/>
            <w:vAlign w:val="top"/>
          </w:tcPr>
          <w:p>
            <w:r>
              <w:t>Line datasets — pipelines, rivers, roads, transmission lines.</w:t>
            </w:r>
          </w:p>
        </w:tc>
        <w:tc>
          <w:tcPr>
            <w:tcW w:type="dxa" w:w="3249"/>
            <w:vAlign w:val="top"/>
          </w:tcPr>
          <w:p>
            <w:r>
              <w:t>Optional</w:t>
            </w:r>
          </w:p>
        </w:tc>
      </w:tr>
      <w:tr>
        <w:tc>
          <w:tcPr>
            <w:tcW w:type="dxa" w:w="3249"/>
            <w:vAlign w:val="top"/>
          </w:tcPr>
          <w:p>
            <w:r>
              <w:t>input/atlas/</w:t>
            </w:r>
          </w:p>
        </w:tc>
        <w:tc>
          <w:tcPr>
            <w:tcW w:type="dxa" w:w="3249"/>
            <w:vAlign w:val="top"/>
          </w:tcPr>
          <w:p>
            <w:r>
              <w:t>Atlas-tile polygons used by QGIS atlas layouts.</w:t>
            </w:r>
          </w:p>
        </w:tc>
        <w:tc>
          <w:tcPr>
            <w:tcW w:type="dxa" w:w="3249"/>
            <w:vAlign w:val="top"/>
          </w:tcPr>
          <w:p>
            <w:r>
              <w:t>Optional</w:t>
            </w:r>
          </w:p>
        </w:tc>
      </w:tr>
      <w:tr>
        <w:tc>
          <w:tcPr>
            <w:tcW w:type="dxa" w:w="3249"/>
            <w:vAlign w:val="top"/>
          </w:tcPr>
          <w:p>
            <w:r>
              <w:t>input/images/</w:t>
            </w:r>
          </w:p>
        </w:tc>
        <w:tc>
          <w:tcPr>
            <w:tcW w:type="dxa" w:w="3249"/>
            <w:vAlign w:val="top"/>
          </w:tcPr>
          <w:p>
            <w:r>
              <w:t>Project imagery referenced by reports.</w:t>
            </w:r>
          </w:p>
        </w:tc>
        <w:tc>
          <w:tcPr>
            <w:tcW w:type="dxa" w:w="3249"/>
            <w:vAlign w:val="top"/>
          </w:tcPr>
          <w:p>
            <w:r>
              <w:t>Optional</w:t>
            </w:r>
          </w:p>
        </w:tc>
      </w:tr>
      <w:tr>
        <w:tc>
          <w:tcPr>
            <w:tcW w:type="dxa" w:w="3249"/>
            <w:vAlign w:val="top"/>
          </w:tcPr>
          <w:p>
            <w:r>
              <w:t>input/evaluate_landuse/</w:t>
            </w:r>
          </w:p>
        </w:tc>
        <w:tc>
          <w:tcPr>
            <w:tcW w:type="dxa" w:w="3249"/>
            <w:vAlign w:val="top"/>
          </w:tcPr>
          <w:p>
            <w:r>
              <w:t>Land-use classification inputs (advanced).</w:t>
            </w:r>
          </w:p>
        </w:tc>
        <w:tc>
          <w:tcPr>
            <w:tcW w:type="dxa" w:w="3249"/>
            <w:vAlign w:val="top"/>
          </w:tcPr>
          <w:p>
            <w:r>
              <w:t>Optional</w:t>
            </w:r>
          </w:p>
        </w:tc>
      </w:tr>
    </w:tbl>
    <w:p/>
    <w:p>
      <w:pPr>
        <w:pStyle w:val="Heading2"/>
      </w:pPr>
      <w:r>
        <w:t>5.2 Supported file formats</w:t>
      </w:r>
    </w:p>
    <w:p>
      <w:r>
        <w:t>MESA reads inputs through GeoPandas and Fiona/PyOGRIO, so common vector formats work: GeoPackage (.gpkg), Shapefile (.shp + sidecars), GeoParquet (.parquet), and a few others. GeoPackage is the safest input format. Shapefile works but truncates: column names are silently shortened to 10 characters, string values longer than 254 characters are clipped, and field types may be downgraded.</w:t>
      </w:r>
    </w:p>
    <w:p>
      <w:pPr>
        <w:pStyle w:val="Heading2"/>
      </w:pPr>
      <w:r>
        <w:t>5.3 Coordinate systems and projections</w:t>
      </w:r>
    </w:p>
    <w:p>
      <w:pPr>
        <w:pStyle w:val="ListBullet"/>
      </w:pPr>
      <w:r>
        <w:t>working_projection_epsg (default 4326) — the projection MESA uses for fast spatial work in lat/lon.</w:t>
      </w:r>
    </w:p>
    <w:p>
      <w:pPr>
        <w:pStyle w:val="ListBullet"/>
      </w:pPr>
      <w:r>
        <w:t>area_projection_epsg (default 3035 for Europe) — equal-area projection used to compute areas in m². Pick one appropriate to your study region.</w:t>
      </w:r>
    </w:p>
    <w:p>
      <w:pPr>
        <w:pStyle w:val="ListBullet"/>
      </w:pPr>
      <w:r>
        <w:t>output_projection_epsg (default 4326) — the projection MESA writes outputs in.</w:t>
      </w:r>
    </w:p>
    <w:p>
      <w:pPr>
        <w:pStyle w:val="Heading2"/>
      </w:pPr>
      <w:r>
        <w:t>5.4 Preparing your data</w:t>
      </w:r>
    </w:p>
    <w:p>
      <w:r>
        <w:t>Ecological / organic asset polygons work best — wetland outlines, settlement footprints, river polygons, protected-area boundaries. The mosaic stays compact and the result map reads as discrete sensitivity zones. Gridded / raster-derived asset layers are the failure mode: per-cell visual moiré, and mosaic-face collapse if the layer has no honest classifier column. The takeaway: raster-derived asset layers without a classifying attribute are a known hazard. MESA handles them conservatively (no dissolve → moiré), but the right fix is upstream.</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How gridded vector data creates map artefacts.</w:t>
      </w:r>
    </w:p>
    <w:p>
      <w:pPr>
        <w:pStyle w:val="Heading2"/>
      </w:pPr>
      <w:r>
        <w:t>5.5 What MESA does at import</w:t>
      </w:r>
    </w:p>
    <w:p>
      <w:pPr>
        <w:pStyle w:val="ListNumber"/>
        <w:numPr>
          <w:ilvl w:val="0"/>
          <w:numId w:val="13"/>
        </w:numPr>
      </w:pPr>
      <w:r>
        <w:t>Geometry validation (on by default; "Validate geometries" in the import window) — every geometry passes through make_valid() with a buffer(0) fallback.</w:t>
      </w:r>
    </w:p>
    <w:p>
      <w:pPr>
        <w:pStyle w:val="ListNumber"/>
        <w:numPr>
          <w:ilvl w:val="0"/>
          <w:numId w:val="13"/>
        </w:numPr>
      </w:pPr>
      <w:r>
        <w:t>Smart-key dissolve — classifies attribute columns as uniform or diverging; merges touching polygons that share uniform-attribute values.</w:t>
      </w:r>
    </w:p>
    <w:p>
      <w:pPr>
        <w:pStyle w:val="ListNumber"/>
        <w:numPr>
          <w:ilvl w:val="0"/>
          <w:numId w:val="13"/>
        </w:numPr>
      </w:pPr>
      <w:r>
        <w:t>Buffer points and lines (always on for non-polygon inputs) — Points and LineStrings are buffered using default_point_buffer_m and default_line_buffer_m before intersection.</w:t>
      </w:r>
    </w:p>
    <w:p>
      <w:pPr>
        <w:pStyle w:val="Heading2"/>
      </w:pPr>
      <w:r>
        <w:t>5.6 Output data tables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Table</w:t>
            </w:r>
          </w:p>
        </w:tc>
        <w:tc>
          <w:tcPr>
            <w:tcW w:type="dxa" w:w="4873"/>
            <w:shd w:val="clear" w:color="auto" w:fill="1F3A5F"/>
          </w:tcPr>
          <w:p>
            <w:r>
              <w:rPr>
                <w:color w:val="FFFFFF"/>
              </w:rPr>
            </w:r>
            <w:r>
              <w:rPr>
                <w:b/>
                <w:color w:val="FFFFFF"/>
              </w:rPr>
              <w:t>Contents</w:t>
            </w:r>
          </w:p>
        </w:tc>
      </w:tr>
      <w:tr>
        <w:tc>
          <w:tcPr>
            <w:tcW w:type="dxa" w:w="4873"/>
            <w:vAlign w:val="top"/>
          </w:tcPr>
          <w:p>
            <w:r>
              <w:t>tbl_asset_group</w:t>
            </w:r>
          </w:p>
        </w:tc>
        <w:tc>
          <w:tcPr>
            <w:tcW w:type="dxa" w:w="4873"/>
            <w:vAlign w:val="top"/>
          </w:tcPr>
          <w:p>
            <w:r>
              <w:t>One row per asset group (subfolder under input/asset/).</w:t>
            </w:r>
          </w:p>
        </w:tc>
      </w:tr>
      <w:tr>
        <w:tc>
          <w:tcPr>
            <w:tcW w:type="dxa" w:w="4873"/>
            <w:vAlign w:val="top"/>
          </w:tcPr>
          <w:p>
            <w:r>
              <w:t>tbl_asset_object</w:t>
            </w:r>
          </w:p>
        </w:tc>
        <w:tc>
          <w:tcPr>
            <w:tcW w:type="dxa" w:w="4873"/>
            <w:vAlign w:val="top"/>
          </w:tcPr>
          <w:p>
            <w:r>
              <w:t>One row per imported asset polygon, with attributes and serialised attributes string.</w:t>
            </w:r>
          </w:p>
        </w:tc>
      </w:tr>
      <w:tr>
        <w:tc>
          <w:tcPr>
            <w:tcW w:type="dxa" w:w="4873"/>
            <w:vAlign w:val="top"/>
          </w:tcPr>
          <w:p>
            <w:r>
              <w:t>tbl_geocode_group</w:t>
            </w:r>
          </w:p>
        </w:tc>
        <w:tc>
          <w:tcPr>
            <w:tcW w:type="dxa" w:w="4873"/>
            <w:vAlign w:val="top"/>
          </w:tcPr>
          <w:p>
            <w:r>
              <w:t>One row per geocode group (basic_mosaic, H3 levels, ...).</w:t>
            </w:r>
          </w:p>
        </w:tc>
      </w:tr>
      <w:tr>
        <w:tc>
          <w:tcPr>
            <w:tcW w:type="dxa" w:w="4873"/>
            <w:vAlign w:val="top"/>
          </w:tcPr>
          <w:p>
            <w:r>
              <w:t>tbl_geocode_object</w:t>
            </w:r>
          </w:p>
        </w:tc>
        <w:tc>
          <w:tcPr>
            <w:tcW w:type="dxa" w:w="4873"/>
            <w:vAlign w:val="top"/>
          </w:tcPr>
          <w:p>
            <w:r>
              <w:t>One row per geocode cell, with parent group reference.</w:t>
            </w:r>
          </w:p>
        </w:tc>
      </w:tr>
      <w:tr>
        <w:tc>
          <w:tcPr>
            <w:tcW w:type="dxa" w:w="4873"/>
            <w:vAlign w:val="top"/>
          </w:tcPr>
          <w:p>
            <w:r>
              <w:t>tbl_stacked</w:t>
            </w:r>
          </w:p>
        </w:tc>
        <w:tc>
          <w:tcPr>
            <w:tcW w:type="dxa" w:w="4873"/>
            <w:vAlign w:val="top"/>
          </w:tcPr>
          <w:p>
            <w:r>
              <w:t>Where assets touch geocodes — one row per (asset, geocode) pair.</w:t>
            </w:r>
          </w:p>
        </w:tc>
      </w:tr>
      <w:tr>
        <w:tc>
          <w:tcPr>
            <w:tcW w:type="dxa" w:w="4873"/>
            <w:vAlign w:val="top"/>
          </w:tcPr>
          <w:p>
            <w:r>
              <w:t>tbl_flat</w:t>
            </w:r>
          </w:p>
        </w:tc>
        <w:tc>
          <w:tcPr>
            <w:tcW w:type="dxa" w:w="4873"/>
            <w:vAlign w:val="top"/>
          </w:tcPr>
          <w:p>
            <w:r>
              <w:t>Flattened analysis result — one row per cell with summary sensitivity (max, mean, count, codes, area_m²).</w:t>
            </w:r>
          </w:p>
        </w:tc>
      </w:tr>
      <w:tr>
        <w:tc>
          <w:tcPr>
            <w:tcW w:type="dxa" w:w="4873"/>
            <w:vAlign w:val="top"/>
          </w:tcPr>
          <w:p>
            <w:r>
              <w:t>tbl_system_capabilities</w:t>
            </w:r>
          </w:p>
        </w:tc>
        <w:tc>
          <w:tcPr>
            <w:tcW w:type="dxa" w:w="4873"/>
            <w:vAlign w:val="top"/>
          </w:tcPr>
          <w:p>
            <w:r>
              <w:t>Host fingerprint snapshot used by About and auto_tune.</w:t>
            </w:r>
          </w:p>
        </w:tc>
      </w:tr>
    </w:tbl>
    <w:p/>
    <w:p>
      <w:r>
        <w:br w:type="page"/>
      </w:r>
    </w:p>
    <w:p>
      <w:pPr>
        <w:pStyle w:val="Heading1"/>
      </w:pPr>
      <w:r>
        <w:t>6. Method</w:t>
      </w:r>
    </w:p>
    <w:p>
      <w:pPr>
        <w:jc w:val="center"/>
      </w:pPr>
      <w:r>
        <w:drawing>
          <wp:inline xmlns:a="http://schemas.openxmlformats.org/drawingml/2006/main" xmlns:pic="http://schemas.openxmlformats.org/drawingml/2006/picture">
            <wp:extent cx="4320000" cy="3567273"/>
            <wp:docPr id="29" name="Picture 29"/>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 Mapping Environmentally Sensitive Assets.</w:t>
      </w:r>
    </w:p>
    <w:p>
      <w:r>
        <w:t>MESA (Mapping Environmentally Sensitive Assets) is a method intended for a broad audience of individuals working on the development and use of environmental sensitivity maps. The method provides a step-by-step protocol for developing an environmental sensitivity atlas based on a standardized methodology that was developed following a review of several existing methods.</w:t>
      </w:r>
    </w:p>
    <w:p>
      <w:pPr>
        <w:pStyle w:val="Heading2"/>
      </w:pPr>
      <w:r>
        <w:t>6.1 Introduction</w:t>
      </w:r>
    </w:p>
    <w:p>
      <w:r>
        <w:t>Environmental Sensitivity Atlases display the relative sensitivity of places to one or more clearly defined pressures. Historically, many sensitivity atlases were developed for coastal emergency response and acute pollution scenarios. In MESA, the same underlying idea is used more broadly for early-stage screening of an area of interest by relating it to mapped assets.</w:t>
      </w:r>
    </w:p>
    <w:p>
      <w:r>
        <w:t>In this broader planning context it is important to be explicit about the chain from activity → pressure → pathway → asset. Sensitivity is not an inherent property of a location: it is conditional on what pressure is being considered, how and when it is expressed, and which assets are valued.</w:t>
      </w:r>
    </w:p>
    <w:p>
      <w:pPr>
        <w:jc w:val="center"/>
      </w:pPr>
      <w:r>
        <w:drawing>
          <wp:inline xmlns:a="http://schemas.openxmlformats.org/drawingml/2006/main" xmlns:pic="http://schemas.openxmlformats.org/drawingml/2006/picture">
            <wp:extent cx="5400000" cy="3066279"/>
            <wp:docPr id="30" name="Picture 30"/>
            <wp:cNvGraphicFramePr>
              <a:graphicFrameLocks noChangeAspect="1"/>
            </wp:cNvGraphicFramePr>
            <a:graphic>
              <a:graphicData uri="http://schemas.openxmlformats.org/drawingml/2006/picture">
                <pic:pic>
                  <pic:nvPicPr>
                    <pic:cNvPr id="0" name="process_overview.png"/>
                    <pic:cNvPicPr/>
                  </pic:nvPicPr>
                  <pic:blipFill>
                    <a:blip r:embed="rId14"/>
                    <a:stretch>
                      <a:fillRect/>
                    </a:stretch>
                  </pic:blipFill>
                  <pic:spPr>
                    <a:xfrm>
                      <a:off x="0" y="0"/>
                      <a:ext cx="5400000" cy="3066279"/>
                    </a:xfrm>
                    <a:prstGeom prst="rect"/>
                  </pic:spPr>
                </pic:pic>
              </a:graphicData>
            </a:graphic>
          </wp:inline>
        </w:drawing>
      </w:r>
    </w:p>
    <w:p>
      <w:pPr>
        <w:jc w:val="center"/>
      </w:pPr>
      <w:r>
        <w:rPr>
          <w:i/>
          <w:sz w:val="20"/>
        </w:rPr>
        <w:t>Process overview — methodological steps.</w:t>
      </w:r>
    </w:p>
    <w:p>
      <w:pPr>
        <w:pStyle w:val="Heading2"/>
      </w:pPr>
      <w:r>
        <w:t>6.2 Importance, susceptibility, sensitivity</w:t>
      </w:r>
    </w:p>
    <w:p>
      <w:pPr>
        <w:jc w:val="center"/>
      </w:pPr>
      <w:r>
        <w:drawing>
          <wp:inline xmlns:a="http://schemas.openxmlformats.org/drawingml/2006/main" xmlns:pic="http://schemas.openxmlformats.org/drawingml/2006/picture">
            <wp:extent cx="4320000" cy="2186024"/>
            <wp:docPr id="31" name="Picture 31"/>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MESA calculation — importance × susceptibility = sensitivity.</w:t>
      </w:r>
    </w:p>
    <w:p>
      <w:pPr>
        <w:pStyle w:val="ListBullet"/>
      </w:pPr>
      <w:r>
        <w:t>Asset importance — an asset's value based on its rarity, significance, functional and intrinsic value. Quantified with a value from 1 to 5.</w:t>
      </w:r>
    </w:p>
    <w:p>
      <w:pPr>
        <w:pStyle w:val="ListBullet"/>
      </w:pPr>
      <w:r>
        <w:t>Asset susceptibility — the degree to which an asset will be affected by a pressure, based on the predicted severity of the impact and the asset's ability to recover. Quantified from 1 to 5.</w:t>
      </w:r>
    </w:p>
    <w:p>
      <w:pPr>
        <w:pStyle w:val="ListBullet"/>
      </w:pPr>
      <w:r>
        <w:t>Sensitivity — the product of importance and susceptibility, also expressed on a 1–5 scale.</w:t>
      </w:r>
    </w:p>
    <w:p>
      <w:pPr>
        <w:pStyle w:val="Heading2"/>
      </w:pPr>
      <w:r>
        <w:t>6.3 Intended use</w:t>
      </w:r>
    </w:p>
    <w:p>
      <w:r>
        <w:t>Knowing whether the atlas is intended to be used at a strategic (national planning), operational (project management) or tactical (emergency response) level helps identify the appropriate resolution and assets to include, as well as providing a filter for identifying relevant pressures.</w:t>
      </w:r>
    </w:p>
    <w:p>
      <w:pPr>
        <w:pStyle w:val="Heading2"/>
      </w:pPr>
      <w:r>
        <w:t>6.4 Pressures</w:t>
      </w:r>
    </w:p>
    <w:p>
      <w:r>
        <w:t>The pressures considered will determine which assets are most sensitive. Sources of impact must be clearly identified by users prior to mapping. Table 6.1 lists potential pressures from oil &amp; gas operations across terrestrial, coastal, and marine realms.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Terrestrial</w:t>
            </w:r>
          </w:p>
        </w:tc>
        <w:tc>
          <w:tcPr>
            <w:tcW w:type="dxa" w:w="3249"/>
            <w:shd w:val="clear" w:color="auto" w:fill="1F3A5F"/>
          </w:tcPr>
          <w:p>
            <w:r>
              <w:rPr>
                <w:color w:val="FFFFFF"/>
              </w:rPr>
            </w:r>
            <w:r>
              <w:rPr>
                <w:b/>
                <w:color w:val="FFFFFF"/>
              </w:rPr>
              <w:t>Coastal</w:t>
            </w:r>
          </w:p>
        </w:tc>
        <w:tc>
          <w:tcPr>
            <w:tcW w:type="dxa" w:w="3249"/>
            <w:shd w:val="clear" w:color="auto" w:fill="1F3A5F"/>
          </w:tcPr>
          <w:p>
            <w:r>
              <w:rPr>
                <w:color w:val="FFFFFF"/>
              </w:rPr>
            </w:r>
            <w:r>
              <w:rPr>
                <w:b/>
                <w:color w:val="FFFFFF"/>
              </w:rPr>
              <w:t>Marine</w:t>
            </w:r>
          </w:p>
        </w:tc>
      </w:tr>
      <w:tr>
        <w:tc>
          <w:tcPr>
            <w:tcW w:type="dxa" w:w="3249"/>
            <w:vAlign w:val="top"/>
          </w:tcPr>
          <w:p>
            <w:r>
              <w:t>Oil Spill</w:t>
            </w:r>
          </w:p>
        </w:tc>
        <w:tc>
          <w:tcPr>
            <w:tcW w:type="dxa" w:w="3249"/>
            <w:vAlign w:val="top"/>
          </w:tcPr>
          <w:p>
            <w:r>
              <w:t>Oil Spill</w:t>
            </w:r>
          </w:p>
        </w:tc>
        <w:tc>
          <w:tcPr>
            <w:tcW w:type="dxa" w:w="3249"/>
            <w:vAlign w:val="top"/>
          </w:tcPr>
          <w:p>
            <w:r>
              <w:t>Oil Spill</w:t>
            </w:r>
          </w:p>
        </w:tc>
      </w:tr>
      <w:tr>
        <w:tc>
          <w:tcPr>
            <w:tcW w:type="dxa" w:w="3249"/>
            <w:vAlign w:val="top"/>
          </w:tcPr>
          <w:p>
            <w:r>
              <w:t>Habitat Loss</w:t>
            </w:r>
          </w:p>
        </w:tc>
        <w:tc>
          <w:tcPr>
            <w:tcW w:type="dxa" w:w="3249"/>
            <w:vAlign w:val="top"/>
          </w:tcPr>
          <w:p>
            <w:r>
              <w:t>Habitat Loss</w:t>
            </w:r>
          </w:p>
        </w:tc>
        <w:tc>
          <w:tcPr>
            <w:tcW w:type="dxa" w:w="3249"/>
            <w:vAlign w:val="top"/>
          </w:tcPr>
          <w:p>
            <w:r>
              <w:t>Habitat Loss</w:t>
            </w:r>
          </w:p>
        </w:tc>
      </w:tr>
      <w:tr>
        <w:tc>
          <w:tcPr>
            <w:tcW w:type="dxa" w:w="3249"/>
            <w:vAlign w:val="top"/>
          </w:tcPr>
          <w:p>
            <w:r>
              <w:t>Habitat Fragmentation</w:t>
            </w:r>
          </w:p>
        </w:tc>
        <w:tc>
          <w:tcPr>
            <w:tcW w:type="dxa" w:w="3249"/>
            <w:vAlign w:val="top"/>
          </w:tcPr>
          <w:p>
            <w:r>
              <w:t>Habitat Fragmentation</w:t>
            </w:r>
          </w:p>
        </w:tc>
        <w:tc>
          <w:tcPr>
            <w:tcW w:type="dxa" w:w="3249"/>
            <w:vAlign w:val="top"/>
          </w:tcPr>
          <w:p>
            <w:r>
              <w:t>Habitat Fragmentation</w:t>
            </w:r>
          </w:p>
        </w:tc>
      </w:tr>
      <w:tr>
        <w:tc>
          <w:tcPr>
            <w:tcW w:type="dxa" w:w="3249"/>
            <w:vAlign w:val="top"/>
          </w:tcPr>
          <w:p>
            <w:r>
              <w:t>Disturbance</w:t>
            </w:r>
          </w:p>
        </w:tc>
        <w:tc>
          <w:tcPr>
            <w:tcW w:type="dxa" w:w="3249"/>
            <w:vAlign w:val="top"/>
          </w:tcPr>
          <w:p>
            <w:r>
              <w:t>Disturbance</w:t>
            </w:r>
          </w:p>
        </w:tc>
        <w:tc>
          <w:tcPr>
            <w:tcW w:type="dxa" w:w="3249"/>
            <w:vAlign w:val="top"/>
          </w:tcPr>
          <w:p>
            <w:r>
              <w:t>Disturbance</w:t>
            </w:r>
          </w:p>
        </w:tc>
      </w:tr>
      <w:tr>
        <w:tc>
          <w:tcPr>
            <w:tcW w:type="dxa" w:w="3249"/>
            <w:vAlign w:val="top"/>
          </w:tcPr>
          <w:p>
            <w:r>
              <w:t>Atmospheric emissions</w:t>
            </w:r>
          </w:p>
        </w:tc>
        <w:tc>
          <w:tcPr>
            <w:tcW w:type="dxa" w:w="3249"/>
            <w:vAlign w:val="top"/>
          </w:tcPr>
          <w:p>
            <w:r>
              <w:t>Atmospheric emissions</w:t>
            </w:r>
          </w:p>
        </w:tc>
        <w:tc>
          <w:tcPr>
            <w:tcW w:type="dxa" w:w="3249"/>
            <w:vAlign w:val="top"/>
          </w:tcPr>
          <w:p>
            <w:r>
              <w:t>Atmospheric emissions</w:t>
            </w:r>
          </w:p>
        </w:tc>
      </w:tr>
      <w:tr>
        <w:tc>
          <w:tcPr>
            <w:tcW w:type="dxa" w:w="3249"/>
            <w:vAlign w:val="top"/>
          </w:tcPr>
          <w:p>
            <w:r>
              <w:t>Aquatic pollution (excl. oil)</w:t>
            </w:r>
          </w:p>
        </w:tc>
        <w:tc>
          <w:tcPr>
            <w:tcW w:type="dxa" w:w="3249"/>
            <w:vAlign w:val="top"/>
          </w:tcPr>
          <w:p>
            <w:r>
              <w:t>Aquatic pollution (excl. oil)</w:t>
            </w:r>
          </w:p>
        </w:tc>
        <w:tc>
          <w:tcPr>
            <w:tcW w:type="dxa" w:w="3249"/>
            <w:vAlign w:val="top"/>
          </w:tcPr>
          <w:p>
            <w:r>
              <w:t>Aquatic pollution (excl. oil)</w:t>
            </w:r>
          </w:p>
        </w:tc>
      </w:tr>
      <w:tr>
        <w:tc>
          <w:tcPr>
            <w:tcW w:type="dxa" w:w="3249"/>
            <w:vAlign w:val="top"/>
          </w:tcPr>
          <w:p>
            <w:r>
              <w:t>Soil erosion and degradation</w:t>
            </w:r>
          </w:p>
        </w:tc>
        <w:tc>
          <w:tcPr>
            <w:tcW w:type="dxa" w:w="3249"/>
            <w:vAlign w:val="top"/>
          </w:tcPr>
          <w:p>
            <w:r>
              <w:t>Soil erosion</w:t>
            </w:r>
          </w:p>
        </w:tc>
        <w:tc>
          <w:tcPr>
            <w:tcW w:type="dxa" w:w="3249"/>
            <w:vAlign w:val="top"/>
          </w:tcPr>
          <w:p>
            <w:r>
              <w:t>Increased biological resource use</w:t>
            </w:r>
          </w:p>
        </w:tc>
      </w:tr>
      <w:tr>
        <w:tc>
          <w:tcPr>
            <w:tcW w:type="dxa" w:w="3249"/>
            <w:vAlign w:val="top"/>
          </w:tcPr>
          <w:p>
            <w:r>
              <w:t>Airborne particulates (e.g. dust)</w:t>
            </w:r>
          </w:p>
        </w:tc>
        <w:tc>
          <w:tcPr>
            <w:tcW w:type="dxa" w:w="3249"/>
            <w:vAlign w:val="top"/>
          </w:tcPr>
          <w:p>
            <w:r>
              <w:t>Airborne particulates (e.g. dust)</w:t>
            </w:r>
          </w:p>
        </w:tc>
        <w:tc>
          <w:tcPr>
            <w:tcW w:type="dxa" w:w="3249"/>
            <w:vAlign w:val="top"/>
          </w:tcPr>
          <w:p>
            <w:r/>
          </w:p>
        </w:tc>
      </w:tr>
      <w:tr>
        <w:tc>
          <w:tcPr>
            <w:tcW w:type="dxa" w:w="3249"/>
            <w:vAlign w:val="top"/>
          </w:tcPr>
          <w:p>
            <w:r>
              <w:t>Increased biological resource use</w:t>
            </w:r>
          </w:p>
        </w:tc>
        <w:tc>
          <w:tcPr>
            <w:tcW w:type="dxa" w:w="3249"/>
            <w:vAlign w:val="top"/>
          </w:tcPr>
          <w:p>
            <w:r>
              <w:t>Increased biological resource use</w:t>
            </w:r>
          </w:p>
        </w:tc>
        <w:tc>
          <w:tcPr>
            <w:tcW w:type="dxa" w:w="3249"/>
            <w:vAlign w:val="top"/>
          </w:tcPr>
          <w:p>
            <w:r/>
          </w:p>
        </w:tc>
      </w:tr>
    </w:tbl>
    <w:p/>
    <w:p>
      <w:pPr>
        <w:pStyle w:val="Heading2"/>
      </w:pPr>
      <w:r>
        <w:t>6.5 Assets</w:t>
      </w:r>
    </w:p>
    <w:p>
      <w:r>
        <w:t>While identifying all features that meet the broad definition of ecological assets is ideal, there is a need to find a pragmatic starting point that captures key biodiversity values. Recommended ecological assets include areas with protected status, biodiversity designations (KBA, AZE), Critical Habitats per IFC PS6, areas supporting Threatened Species, habitats of high biodiversity (mangroves, forests, coral reefs), and other ecologically important assets.</w:t>
      </w:r>
    </w:p>
    <w:p>
      <w:pPr>
        <w:pStyle w:val="Heading2"/>
      </w:pPr>
      <w:r>
        <w:t>6.6 Geocoding and segmentation</w:t>
      </w:r>
    </w:p>
    <w:p>
      <w:r>
        <w:t>Geocode layers define how MESA aggregates results spatially. Drop polygon datasets (Quarter Degree Grid Cells, municipal boundaries, H3 hexagons, or any custom tessellation) into input/geocode/ and reference them in config.ini. Linear features follow a similar pattern: place line datasets under input/lines/. MESA buffers and optionally segments these features and stores results in tbl_segment_flat.parquet.</w:t>
      </w:r>
    </w:p>
    <w:p>
      <w:r>
        <w:t>Distinct from line segmentation, MESA 5.2 adds geocode-layer segmentation: the Segment stage of the processing runner groups the polygons of a geocode layer into a smaller number of zones that share a similar sensitivity profile, so a dense result map can be read as a handful of distinct area types instead of thousands of individual cells. Two methods are offered — Signatures, a deterministic typology where each polygon is labelled by the set of sensitivity codes (A–E) carried by its overlapping assets (the default, needing no tuning), and Clusters, an algorithmic grouping by numeric sensitivity profile (KMeans or a spatially-contiguous variant). The output (tbl_segmentation) carries no geometry and joins back to geocode polygons on code at render time; the resulting zones appear on the Segmentation tab of the Maps window and in the report engine.</w:t>
      </w:r>
    </w:p>
    <w:p>
      <w:r>
        <w:br w:type="page"/>
      </w:r>
    </w:p>
    <w:p>
      <w:pPr>
        <w:pStyle w:val="Heading1"/>
      </w:pPr>
      <w:r>
        <w:t>7. Indexes</w:t>
      </w:r>
    </w:p>
    <w:p>
      <w:r>
        <w:t>An index is a function that maps one or more measured or derived variables to a single summary value. Index construction typically involves selecting variables, normalising them, applying weights, and aggregating them. Indices reduce complexity but introduce modelling choices: weighting, scaling, and aggregation rules can substantially affect interpretation and ranking.</w:t>
      </w:r>
    </w:p>
    <w:p>
      <w:r>
        <w:t>MESA produces one normalised composite index plus a set of raw indicators that summarise the intensity and composition of overlapping assets within each spatial reporting unit (a geocode polygon, and in some workflows along buffered/segmented lines). The OWA index (index_owa) serves as the precautionary primary overlay, alongside four supplementary per-cell indicators that provide raw maxima and counts: Sensitivity (sensitivity_max), Importance (importance_max), Asset groups (asset_groups_total), and Asset objects (assets_overlap_total). All five are stored as fields in tbl_flat.parquet and rendered as overlays in the desktop viewer. (The earlier Importance index and Sensitivity index were removed in MESA 5.2.)</w:t>
      </w:r>
    </w:p>
    <w:p>
      <w:r>
        <w:t>For map presentation, an index value of 0 indicates the absence of relevant overlaps and is not symbolised in the index overlays — those units therefore remain blank in map outputs.</w:t>
      </w:r>
    </w:p>
    <w:p>
      <w:pPr>
        <w:pStyle w:val="Heading2"/>
      </w:pPr>
      <w:r>
        <w:t>7.1 OWA index (index_owa)</w:t>
      </w:r>
    </w:p>
    <w:p>
      <w:r>
        <w:t>OWA is used as a precautionary ranking device: locations that contain any very high sensitivity overlaps are prioritised ahead of locations that merely contain many moderate overlaps. This corresponds to a lexicographic comparison of the count-vector of sensitivity classes from highest to lowest. The OWA index is intentionally non-compensatory: a small number of high-sensitivity overlaps can dominate the ranking, so it should be paired with contextual reporting before management decisions.</w:t>
      </w:r>
    </w:p>
    <w:p>
      <w:pPr>
        <w:pStyle w:val="Heading2"/>
      </w:pPr>
      <w:r>
        <w:t>7.2 Sensitivity (sensitivity_max)</w:t>
      </w:r>
    </w:p>
    <w:p>
      <w:r>
        <w:t>The single highest sensitivity value present in the overlap stack of a spatial unit. Sensitivity per overlap is the product of importance and susceptibility (typically 1–25); this layer reports the worst-case overlap — a single A-rated asset is enough to colour the cell as A, even if many lower-rated assets also overlap.</w:t>
      </w:r>
    </w:p>
    <w:p>
      <w:pPr>
        <w:pStyle w:val="Heading2"/>
      </w:pPr>
      <w:r>
        <w:t>7.3 Importance (importance_max)</w:t>
      </w:r>
    </w:p>
    <w:p>
      <w:r>
        <w:t>The maximum importance class among the overlapping assets in a spatial unit. Importance classes are typically integers in 1..5. This layer answers: what is the highest-importance asset class present in this cell, regardless of how many lower-importance assets share the cell?</w:t>
      </w:r>
    </w:p>
    <w:p>
      <w:pPr>
        <w:pStyle w:val="Heading2"/>
      </w:pPr>
      <w:r>
        <w:t>7.4 Asset groups (asset_groups_total)</w:t>
      </w:r>
    </w:p>
    <w:p>
      <w:r>
        <w:t>The number of distinct asset groups whose footprints overlap a spatial unit. An asset group is a logical category of features (e.g., wetlands, industrial sites); multiple objects from the same group count as one. This layer is a diversity indicator: high values mark cells where many kinds of features coincide (a multi-themed hotspot), independent of how many individual objects are involved. The names of the contributing groups are stored in the asset_group_names field.</w:t>
      </w:r>
    </w:p>
    <w:p>
      <w:pPr>
        <w:pStyle w:val="Heading2"/>
      </w:pPr>
      <w:r>
        <w:t>7.5 Asset objects (assets_overlap_total)</w:t>
      </w:r>
    </w:p>
    <w:p>
      <w:r>
        <w:t>The total number of individual asset objects (polygons, lines, points) overlapping a spatial unit. Two objects from the same asset group both count. This layer is a density indicator: high values mark cells where many features are stacked, regardless of group diversity. Pair with Asset groups to distinguish 'lots of one thing' (1 group, 50 objects) from 'diverse mix, but thin' (5 groups, 5 objects).</w:t>
      </w:r>
    </w:p>
    <w:p>
      <w:r>
        <w:br w:type="page"/>
      </w:r>
    </w:p>
    <w:p>
      <w:pPr>
        <w:pStyle w:val="Heading1"/>
      </w:pPr>
      <w:r>
        <w:t>8. QGIS</w:t>
      </w:r>
    </w:p>
    <w:p>
      <w:r>
        <w:t>MESA ships with a QGIS project template (qgis/mesa.qgz). The project loads GeoParquet tables from output/geoparquet/ (analysis outputs) and MBTiles from output/mbtiles/ (fast rendering layers). Paths are relative to the qgis/ folder, so keep the standard MESA folder structure.</w:t>
      </w:r>
    </w:p>
    <w:p>
      <w:r>
        <w:t>Prerequisites: run MESA processing at least once so the output/ folders exist and contain data; install QGIS 3.36 or newer (the project is authored with QGIS 3.44). Open QGIS by double-clicking qgis/mesa.qgz.</w:t>
      </w:r>
    </w:p>
    <w:p>
      <w:pPr>
        <w:pStyle w:val="Heading2"/>
      </w:pPr>
      <w:r>
        <w:t>8.1 QGIS opened</w:t>
      </w:r>
    </w:p>
    <w:p>
      <w:r>
        <w:t>When QGIS opens, the project can optionally pan/zoom to your data. This depends on QGIS macros: if you see a prompt about macros, enable them to allow the startup logic to run. If you prefer not to enable macros, you can still use the project — just zoom to your layers manually. If layers appear broken or empty, confirm that output/geoparquet/ and output/mbtiles/ were created by a successful MESA run.</w:t>
      </w:r>
    </w:p>
    <w:p>
      <w:pPr>
        <w:jc w:val="center"/>
      </w:pPr>
      <w:r>
        <w:drawing>
          <wp:inline xmlns:a="http://schemas.openxmlformats.org/drawingml/2006/main" xmlns:pic="http://schemas.openxmlformats.org/drawingml/2006/picture">
            <wp:extent cx="5400000" cy="3857143"/>
            <wp:docPr id="32" name="Picture 32"/>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Default QGIS project view.</w:t>
      </w:r>
    </w:p>
    <w:p>
      <w:pPr>
        <w:pStyle w:val="Heading2"/>
      </w:pPr>
      <w:r>
        <w:t>8.2 Segments</w:t>
      </w:r>
    </w:p>
    <w:p>
      <w:r>
        <w:t>The Segments group visualizes results for processed line assets (roads, rivers, coastlines, pipelines, etc.). These layers are backed by GeoParquet tables under output/geoparquet/.</w:t>
      </w:r>
    </w:p>
    <w:p>
      <w:pPr>
        <w:jc w:val="center"/>
      </w:pPr>
      <w:r>
        <w:drawing>
          <wp:inline xmlns:a="http://schemas.openxmlformats.org/drawingml/2006/main" xmlns:pic="http://schemas.openxmlformats.org/drawingml/2006/picture">
            <wp:extent cx="5400000" cy="3753050"/>
            <wp:docPr id="33" name="Picture 33"/>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 segments group.</w:t>
      </w:r>
    </w:p>
    <w:p>
      <w:pPr>
        <w:pStyle w:val="Heading2"/>
      </w:pPr>
      <w:r>
        <w:t>8.3 Importance</w:t>
      </w:r>
    </w:p>
    <w:p>
      <w:r>
        <w:t>The Importance layers show the calculated importance index and/or categorical outputs. They are typically driven by tbl_flat.parquet (polygons) and related tables.</w:t>
      </w:r>
    </w:p>
    <w:p>
      <w:pPr>
        <w:jc w:val="center"/>
      </w:pPr>
      <w:r>
        <w:drawing>
          <wp:inline xmlns:a="http://schemas.openxmlformats.org/drawingml/2006/main" xmlns:pic="http://schemas.openxmlformats.org/drawingml/2006/picture">
            <wp:extent cx="5400000" cy="3728096"/>
            <wp:docPr id="34" name="Picture 34"/>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 importance overlay.</w:t>
      </w:r>
    </w:p>
    <w:p>
      <w:pPr>
        <w:pStyle w:val="Heading2"/>
      </w:pPr>
      <w:r>
        <w:t>8.4 Assets</w:t>
      </w:r>
    </w:p>
    <w:p>
      <w:r>
        <w:t>The Assets group shows imported assets (often with multiple geometry types) loaded from the GeoParquet store. Use these layers to QA imports and to understand which datasets contribute to hotspots.</w:t>
      </w:r>
    </w:p>
    <w:p>
      <w:pPr>
        <w:jc w:val="center"/>
      </w:pPr>
      <w:r>
        <w:drawing>
          <wp:inline xmlns:a="http://schemas.openxmlformats.org/drawingml/2006/main" xmlns:pic="http://schemas.openxmlformats.org/drawingml/2006/picture">
            <wp:extent cx="5400000" cy="3757604"/>
            <wp:docPr id="35" name="Picture 35"/>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 assets group.</w:t>
      </w:r>
    </w:p>
    <w:p>
      <w:r>
        <w:br w:type="page"/>
      </w:r>
    </w:p>
    <w:p>
      <w:pPr>
        <w:pStyle w:val="Heading1"/>
      </w:pPr>
      <w:r>
        <w:t>9. Definitions</w:t>
      </w:r>
    </w:p>
    <w:p>
      <w:pPr>
        <w:pStyle w:val="Heading2"/>
      </w:pPr>
      <w:r>
        <w:t>9.1 Sensitivity mapping</w:t>
      </w:r>
    </w:p>
    <w:p>
      <w:r>
        <w:t>Sensitivity mapping is a structured, anticipatory method for integrating environmental, social, and cultural considerations into spatial decision-making. It identifies assets that society values — habitats, species, ecosystem functions, cultural heritage, livelihoods — and evaluates their sensitivity to specific pressures or interventions. Sensitivity mapping is explicitly designed for early-stage planning and screening: it does not replace detailed impact assessments, but supports strategic choices by making trade-offs visible.</w:t>
      </w:r>
    </w:p>
    <w:p>
      <w:pPr>
        <w:pStyle w:val="Heading2"/>
      </w:pPr>
      <w:r>
        <w:t>9.2 Geocodes</w:t>
      </w:r>
    </w:p>
    <w:p>
      <w:r>
        <w:t>In MESA, geocodes are polygon layers used as the common reference units for aggregating results (indices, counts, summaries). The built-in geocode basic_mosaic is a non-overlapping polygon mosaic produced from the combined footprint of all imported asset objects. Other geocodes you can use include Quarter Degree Grid Cells (QDGC), administrative boundaries, H3 hexagons, and any custom polygon set intended as a set of analysis zones (ideally non-overlapping).</w:t>
      </w:r>
    </w:p>
    <w:p>
      <w:pPr>
        <w:pStyle w:val="Heading2"/>
      </w:pPr>
      <w:r>
        <w:t>9.3 Lines</w:t>
      </w:r>
    </w:p>
    <w:p>
      <w:r>
        <w:t>Lines in MESA are used to analyze sensitivity along linear features (rivers, roads, coastlines, power lines, pipelines, etc.). To represent their footprint or risk area, MESA buffers the input lines before analysis. Buffer width is configurable in config.ini. Lines can also be split into segments so results vary along the feature; MESA stores per-segment metrics in output/geoparquet/tbl_segment_flat.parquet.</w:t>
      </w:r>
    </w:p>
    <w:p>
      <w:pPr>
        <w:jc w:val="center"/>
      </w:pPr>
      <w:r>
        <w:drawing>
          <wp:inline xmlns:a="http://schemas.openxmlformats.org/drawingml/2006/main" xmlns:pic="http://schemas.openxmlformats.org/drawingml/2006/picture">
            <wp:extent cx="5040000" cy="1622334"/>
            <wp:docPr id="36" name="Picture 36"/>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Line segments — sensitivity along linear features.</w:t>
      </w:r>
    </w:p>
    <w:p>
      <w:pPr>
        <w:pStyle w:val="Heading2"/>
      </w:pPr>
      <w:r>
        <w:t>9.4 Atlas</w:t>
      </w:r>
    </w:p>
    <w:p>
      <w:r>
        <w:t>The QGIS atlas functionality automates the creation of map series based on a given layout and data, ideal for presenting comprehensive spatial analyses. By integrating the QGIS atlas with MESA, users can efficiently produce a series of maps that align with the MESA method, facilitating better visualization and decision-making in conservation planning and resource management. ESRI's ArcGIS Pro offers comparable functionality through its Map Series tool.</w:t>
      </w:r>
    </w:p>
    <w:p>
      <w:pPr>
        <w:pStyle w:val="Heading2"/>
      </w:pPr>
      <w:r>
        <w:t>9.5 Other definitions</w:t>
      </w:r>
    </w:p>
    <w:p>
      <w:pPr>
        <w:pStyle w:val="ListBullet"/>
      </w:pPr>
      <w:r>
        <w:t>Environmental Sensitivity Atlas — a collection of maps and supporting narrative text presenting spatial data on the sensitivity of ecological and/or socio-economic assets to a specific pressure.</w:t>
      </w:r>
    </w:p>
    <w:p>
      <w:pPr>
        <w:pStyle w:val="ListBullet"/>
      </w:pPr>
      <w:r>
        <w:t>Environmental Sensitivity — combination of susceptibility and importance of an affected asset that signifies the potential impact of a given pressure.</w:t>
      </w:r>
    </w:p>
    <w:p>
      <w:pPr>
        <w:pStyle w:val="ListBullet"/>
      </w:pPr>
      <w:r>
        <w:t>Pressure (stressor) — the source of potential impact from an activity (habitat loss, disturbance, pollution, altered water levels, ...).</w:t>
      </w:r>
    </w:p>
    <w:p>
      <w:pPr>
        <w:pStyle w:val="ListBullet"/>
      </w:pPr>
      <w:r>
        <w:t>Ecological Asset — naturally occurring entities that provide ecological functions or services, including those without monetary value.</w:t>
      </w:r>
    </w:p>
    <w:p>
      <w:pPr>
        <w:pStyle w:val="ListBullet"/>
      </w:pPr>
      <w:r>
        <w:t>Socio-Economic Asset — natural or anthropogenic entities providing social, cultural, economic or political value.</w:t>
      </w:r>
    </w:p>
    <w:p>
      <w:pPr>
        <w:pStyle w:val="ListBullet"/>
      </w:pPr>
      <w:r>
        <w:t>Importance — an asset's value at global, national, or local scale in relation to rarity, significance, functional and intrinsic value.</w:t>
      </w:r>
    </w:p>
    <w:p>
      <w:pPr>
        <w:pStyle w:val="ListBullet"/>
      </w:pPr>
      <w:r>
        <w:t>Susceptibility — the degree to which an asset will be affected by a pressure, based on severity of impact and recovery ability.</w:t>
      </w:r>
    </w:p>
    <w:p>
      <w:pPr>
        <w:pStyle w:val="ListBullet"/>
      </w:pPr>
      <w:r>
        <w:t>Sensitivity — overall rating of consequences of allowing an impact to occur. Combines importance and susceptibility for a given pressure.</w:t>
      </w:r>
    </w:p>
    <w:p>
      <w:r>
        <w:br w:type="page"/>
      </w:r>
    </w:p>
    <w:p>
      <w:pPr>
        <w:pStyle w:val="Heading1"/>
      </w:pPr>
      <w:r>
        <w:t>10. Advanced</w:t>
      </w:r>
    </w:p>
    <w:p>
      <w:pPr>
        <w:pStyle w:val="Heading2"/>
      </w:pPr>
      <w:r>
        <w:t>10.1 Workspace location overrides (MESA_BASE_DIR)</w:t>
      </w:r>
    </w:p>
    <w:p>
      <w:r>
        <w:t>By default, MESA assumes the workspace folders (input/, output/, qgis/, config.ini) live next to mesa.py (source) or next to mesa.exe (packaged). If you want to keep the application code in one folder but your data workspace somewhere else, set the MESA_BASE_DIR environment variable to the workspace root before launching. When set, MESA reads config.ini and writes output/ under that folder.</w:t>
      </w:r>
    </w:p>
    <w:p>
      <w:pPr>
        <w:pStyle w:val="Heading2"/>
      </w:pPr>
      <w:r>
        <w:t>10.2 Iterative workflow: full run first, then re-run only what changed</w:t>
      </w:r>
    </w:p>
    <w:p>
      <w:r>
        <w:t>The processing pipeline is a chain of stages, each reading the previous stage's parquet output from disk and writing its own. That on-disk hand-off is what makes selective re-runs possible — once a stage has finished, you can change parameters that only affect a downstream stage and rerun just that stage without redoing the heavy work upstream.</w:t>
      </w:r>
    </w:p>
    <w:p>
      <w:r>
        <w:t>The intended workflow is therefore:</w:t>
      </w:r>
    </w:p>
    <w:p>
      <w:pPr>
        <w:pStyle w:val="ListNumber"/>
        <w:numPr>
          <w:ilvl w:val="0"/>
          <w:numId w:val="14"/>
        </w:numPr>
      </w:pPr>
      <w:r>
        <w:t>First time: run the entire pipeline end-to-end so every stage has a valid output.</w:t>
      </w:r>
    </w:p>
    <w:p>
      <w:pPr>
        <w:pStyle w:val="ListNumber"/>
        <w:numPr>
          <w:ilvl w:val="0"/>
          <w:numId w:val="14"/>
        </w:numPr>
      </w:pPr>
      <w:r>
        <w:t>Iterate: change the parameter you want to explore, then in the Process runner switch to Advanced, untick everything except the affected stage and the ones downstream from it, and rerun.</w:t>
      </w:r>
    </w:p>
    <w:p>
      <w:pPr>
        <w:jc w:val="center"/>
      </w:pPr>
      <w:r>
        <w:drawing>
          <wp:inline xmlns:a="http://schemas.openxmlformats.org/drawingml/2006/main" xmlns:pic="http://schemas.openxmlformats.org/drawingml/2006/picture">
            <wp:extent cx="5580000" cy="3140419"/>
            <wp:docPr id="37" name="Picture 37"/>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MESA pipeline scenarios — full run vs. selective re-runs. Each row is a scenario; bars show which stages run.</w:t>
      </w:r>
    </w:p>
    <w:p>
      <w:pPr>
        <w:pStyle w:val="Heading2"/>
      </w:pPr>
      <w:r>
        <w:t>10.2.1 What each stage reads and writes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Stage</w:t>
            </w:r>
          </w:p>
        </w:tc>
        <w:tc>
          <w:tcPr>
            <w:tcW w:type="dxa" w:w="2436"/>
            <w:shd w:val="clear" w:color="auto" w:fill="1F3A5F"/>
          </w:tcPr>
          <w:p>
            <w:r>
              <w:rPr>
                <w:color w:val="FFFFFF"/>
              </w:rPr>
            </w:r>
            <w:r>
              <w:rPr>
                <w:b/>
                <w:color w:val="FFFFFF"/>
              </w:rPr>
              <w:t>Reads</w:t>
            </w:r>
          </w:p>
        </w:tc>
        <w:tc>
          <w:tcPr>
            <w:tcW w:type="dxa" w:w="2436"/>
            <w:shd w:val="clear" w:color="auto" w:fill="1F3A5F"/>
          </w:tcPr>
          <w:p>
            <w:r>
              <w:rPr>
                <w:color w:val="FFFFFF"/>
              </w:rPr>
            </w:r>
            <w:r>
              <w:rPr>
                <w:b/>
                <w:color w:val="FFFFFF"/>
              </w:rPr>
              <w:t>Writes</w:t>
            </w:r>
          </w:p>
        </w:tc>
        <w:tc>
          <w:tcPr>
            <w:tcW w:type="dxa" w:w="2436"/>
            <w:shd w:val="clear" w:color="auto" w:fill="1F3A5F"/>
          </w:tcPr>
          <w:p>
            <w:r>
              <w:rPr>
                <w:color w:val="FFFFFF"/>
              </w:rPr>
            </w:r>
            <w:r>
              <w:rPr>
                <w:b/>
                <w:color w:val="FFFFFF"/>
              </w:rPr>
              <w:t>Re-run cost</w:t>
            </w:r>
          </w:p>
        </w:tc>
      </w:tr>
      <w:tr>
        <w:tc>
          <w:tcPr>
            <w:tcW w:type="dxa" w:w="2436"/>
            <w:vAlign w:val="top"/>
          </w:tcPr>
          <w:p>
            <w:r>
              <w:t>Prep</w:t>
            </w:r>
          </w:p>
        </w:tc>
        <w:tc>
          <w:tcPr>
            <w:tcW w:type="dxa" w:w="2436"/>
            <w:vAlign w:val="top"/>
          </w:tcPr>
          <w:p>
            <w:r>
              <w:t>input parquet metadata, asset/geocode counts</w:t>
            </w:r>
          </w:p>
        </w:tc>
        <w:tc>
          <w:tcPr>
            <w:tcW w:type="dxa" w:w="2436"/>
            <w:vAlign w:val="top"/>
          </w:tcPr>
          <w:p>
            <w:r>
              <w:t>workspace status files</w:t>
            </w:r>
          </w:p>
        </w:tc>
        <w:tc>
          <w:tcPr>
            <w:tcW w:type="dxa" w:w="2436"/>
            <w:vAlign w:val="top"/>
          </w:tcPr>
          <w:p>
            <w:r>
              <w:t>seconds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(partitioned dataset)</w:t>
            </w:r>
          </w:p>
        </w:tc>
        <w:tc>
          <w:tcPr>
            <w:tcW w:type="dxa" w:w="2436"/>
            <w:vAlign w:val="top"/>
          </w:tcPr>
          <w:p>
            <w:r>
              <w:t>minutes to hours; the heaviest stage</w:t>
            </w:r>
          </w:p>
        </w:tc>
      </w:tr>
      <w:tr>
        <w:tc>
          <w:tcPr>
            <w:tcW w:type="dxa" w:w="2436"/>
            <w:vAlign w:val="top"/>
          </w:tcPr>
          <w:p>
            <w:r>
              <w:t>Flatten</w:t>
            </w:r>
          </w:p>
        </w:tc>
        <w:tc>
          <w:tcPr>
            <w:tcW w:type="dxa" w:w="2436"/>
            <w:vAlign w:val="top"/>
          </w:tcPr>
          <w:p>
            <w:r>
              <w:t>tbl_stacked, sensitivity classification from config.ini</w:t>
            </w:r>
          </w:p>
        </w:tc>
        <w:tc>
          <w:tcPr>
            <w:tcW w:type="dxa" w:w="2436"/>
            <w:vAlign w:val="top"/>
          </w:tcPr>
          <w:p>
            <w:r>
              <w:t>tbl_flat.parquet</w:t>
            </w:r>
          </w:p>
        </w:tc>
        <w:tc>
          <w:tcPr>
            <w:tcW w:type="dxa" w:w="2436"/>
            <w:vAlign w:val="top"/>
          </w:tcPr>
          <w:p>
            <w:r>
              <w:t>seconds to minutes; scales with tbl_stacked size</w:t>
            </w:r>
          </w:p>
        </w:tc>
      </w:tr>
      <w:tr>
        <w:tc>
          <w:tcPr>
            <w:tcW w:type="dxa" w:w="2436"/>
            <w:vAlign w:val="top"/>
          </w:tcPr>
          <w:p>
            <w:r>
              <w:t>Backfill</w:t>
            </w:r>
          </w:p>
        </w:tc>
        <w:tc>
          <w:tcPr>
            <w:tcW w:type="dxa" w:w="2436"/>
            <w:vAlign w:val="top"/>
          </w:tcPr>
          <w:p>
            <w:r>
              <w:t>tbl_flat, tbl_stacked</w:t>
            </w:r>
          </w:p>
        </w:tc>
        <w:tc>
          <w:tcPr>
            <w:tcW w:type="dxa" w:w="2436"/>
            <w:vAlign w:val="top"/>
          </w:tcPr>
          <w:p>
            <w:r>
              <w:t>per-cell area_m2 enriched into tbl_stacked</w:t>
            </w:r>
          </w:p>
        </w:tc>
        <w:tc>
          <w:tcPr>
            <w:tcW w:type="dxa" w:w="2436"/>
            <w:vAlign w:val="top"/>
          </w:tcPr>
          <w:p>
            <w:r>
              <w:t>minutes; mostly pandas merges</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minutes; depends on zoom range and bounding box</w:t>
            </w:r>
          </w:p>
        </w:tc>
      </w:tr>
      <w:tr>
        <w:tc>
          <w:tcPr>
            <w:tcW w:type="dxa" w:w="2436"/>
            <w:vAlign w:val="top"/>
          </w:tcPr>
          <w:p>
            <w:r>
              <w:t>Lines</w:t>
            </w:r>
          </w:p>
        </w:tc>
        <w:tc>
          <w:tcPr>
            <w:tcW w:type="dxa" w:w="2436"/>
            <w:vAlign w:val="top"/>
          </w:tcPr>
          <w:p>
            <w:r>
              <w:t>line inputs, tbl_flat</w:t>
            </w:r>
          </w:p>
        </w:tc>
        <w:tc>
          <w:tcPr>
            <w:tcW w:type="dxa" w:w="2436"/>
            <w:vAlign w:val="top"/>
          </w:tcPr>
          <w:p>
            <w:r>
              <w:t>tbl_lines_buffered, tbl_segments, tbl_segment_flat</w:t>
            </w:r>
          </w:p>
        </w:tc>
        <w:tc>
          <w:tcPr>
            <w:tcW w:type="dxa" w:w="2436"/>
            <w:vAlign w:val="top"/>
          </w:tcPr>
          <w:p>
            <w:r>
              <w:t>seconds to minutes</w:t>
            </w:r>
          </w:p>
        </w:tc>
      </w:tr>
      <w:tr>
        <w:tc>
          <w:tcPr>
            <w:tcW w:type="dxa" w:w="2436"/>
            <w:vAlign w:val="top"/>
          </w:tcPr>
          <w:p>
            <w:r>
              <w:t>Analysis</w:t>
            </w:r>
          </w:p>
        </w:tc>
        <w:tc>
          <w:tcPr>
            <w:tcW w:type="dxa" w:w="2436"/>
            <w:vAlign w:val="top"/>
          </w:tcPr>
          <w:p>
            <w:r>
              <w:t>tbl_flat, tbl_stacked, analysis polygons</w:t>
            </w:r>
          </w:p>
        </w:tc>
        <w:tc>
          <w:tcPr>
            <w:tcW w:type="dxa" w:w="2436"/>
            <w:vAlign w:val="top"/>
          </w:tcPr>
          <w:p>
            <w:r>
              <w:t>tbl_analysis_* outputs and JSON summaries</w:t>
            </w:r>
          </w:p>
        </w:tc>
        <w:tc>
          <w:tcPr>
            <w:tcW w:type="dxa" w:w="2436"/>
            <w:vAlign w:val="top"/>
          </w:tcPr>
          <w:p>
            <w:r>
              <w:t>seconds per study area</w:t>
            </w:r>
          </w:p>
        </w:tc>
      </w:tr>
    </w:tbl>
    <w:p/>
    <w:p>
      <w:r>
        <w:t>A stage's checkbox is greyed out when its required input is missing on disk. That is the safety net — the runner refuses to run Tiles without tbl_flat, refuses to run Backfill without tbl_stacked, and so on.</w:t>
      </w:r>
    </w:p>
    <w:p>
      <w:pPr>
        <w:pStyle w:val="Heading2"/>
      </w:pPr>
      <w:r>
        <w:t>10.2.2 Cookbook: what changed → which stage to re-run</w:t>
      </w:r>
    </w:p>
    <w:p>
      <w:r>
        <w:t>The first column lists the parameter or input you changed; the second lists the minimum stage set you need to tick in Advanced mode. 'Plus downstream' means anything later in the pipeline that produces an output you still want refreshed (Tiles map, Analysis report,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If you changed…</w:t>
            </w:r>
          </w:p>
        </w:tc>
        <w:tc>
          <w:tcPr>
            <w:tcW w:type="dxa" w:w="3249"/>
            <w:shd w:val="clear" w:color="auto" w:fill="1F3A5F"/>
          </w:tcPr>
          <w:p>
            <w:r>
              <w:rPr>
                <w:color w:val="FFFFFF"/>
              </w:rPr>
            </w:r>
            <w:r>
              <w:rPr>
                <w:b/>
                <w:color w:val="FFFFFF"/>
              </w:rPr>
              <w:t>Re-run from…</w:t>
            </w:r>
          </w:p>
        </w:tc>
        <w:tc>
          <w:tcPr>
            <w:tcW w:type="dxa" w:w="3249"/>
            <w:shd w:val="clear" w:color="auto" w:fill="1F3A5F"/>
          </w:tcPr>
          <w:p>
            <w:r>
              <w:rPr>
                <w:color w:val="FFFFFF"/>
              </w:rPr>
            </w:r>
            <w:r>
              <w:rPr>
                <w:b/>
                <w:color w:val="FFFFFF"/>
              </w:rPr>
              <w:t>Notes</w:t>
            </w:r>
          </w:p>
        </w:tc>
      </w:tr>
      <w:tr>
        <w:tc>
          <w:tcPr>
            <w:tcW w:type="dxa" w:w="3249"/>
            <w:vAlign w:val="top"/>
          </w:tcPr>
          <w:p>
            <w:r>
              <w:t>Importance / susceptibility per asset group (Parameters helper)</w:t>
            </w:r>
          </w:p>
        </w:tc>
        <w:tc>
          <w:tcPr>
            <w:tcW w:type="dxa" w:w="3249"/>
            <w:vAlign w:val="top"/>
          </w:tcPr>
          <w:p>
            <w:r>
              <w:t>Flatten + Backfill (plus Tiles / Analysis)</w:t>
            </w:r>
          </w:p>
        </w:tc>
        <w:tc>
          <w:tcPr>
            <w:tcW w:type="dxa" w:w="3249"/>
            <w:vAlign w:val="top"/>
          </w:tcPr>
          <w:p>
            <w:r>
              <w:t>Intersect output is unchanged; only tbl_flat recomputes. The cheapest meaningful iteration loop.</w:t>
            </w:r>
          </w:p>
        </w:tc>
      </w:tr>
      <w:tr>
        <w:tc>
          <w:tcPr>
            <w:tcW w:type="dxa" w:w="3249"/>
            <w:vAlign w:val="top"/>
          </w:tcPr>
          <w:p>
            <w:r>
              <w:t>Sliver cleanup toggle (flatten_sliver_min_area_m2, the runner checkbox)</w:t>
            </w:r>
          </w:p>
        </w:tc>
        <w:tc>
          <w:tcPr>
            <w:tcW w:type="dxa" w:w="3249"/>
            <w:vAlign w:val="top"/>
          </w:tcPr>
          <w:p>
            <w:r>
              <w:t>Flatten + Backfill (plus Tiles / Analysis)</w:t>
            </w:r>
          </w:p>
        </w:tc>
        <w:tc>
          <w:tcPr>
            <w:tcW w:type="dxa" w:w="3249"/>
            <w:vAlign w:val="top"/>
          </w:tcPr>
          <w:p>
            <w:r>
              <w:t>Sliver removal is part of flatten.</w:t>
            </w:r>
          </w:p>
        </w:tc>
      </w:tr>
      <w:tr>
        <w:tc>
          <w:tcPr>
            <w:tcW w:type="dxa" w:w="3249"/>
            <w:vAlign w:val="top"/>
          </w:tcPr>
          <w:p>
            <w:r>
              <w:t>tiles_minzoom / tiles_maxzoom</w:t>
            </w:r>
          </w:p>
        </w:tc>
        <w:tc>
          <w:tcPr>
            <w:tcW w:type="dxa" w:w="3249"/>
            <w:vAlign w:val="top"/>
          </w:tcPr>
          <w:p>
            <w:r>
              <w:t>Tiles only</w:t>
            </w:r>
          </w:p>
        </w:tc>
        <w:tc>
          <w:tcPr>
            <w:tcW w:type="dxa" w:w="3249"/>
            <w:vAlign w:val="top"/>
          </w:tcPr>
          <w:p>
            <w:r>
              <w:t>tbl_flat is unchanged; only MBTiles regenerate.</w:t>
            </w:r>
          </w:p>
        </w:tc>
      </w:tr>
      <w:tr>
        <w:tc>
          <w:tcPr>
            <w:tcW w:type="dxa" w:w="3249"/>
            <w:vAlign w:val="top"/>
          </w:tcPr>
          <w:p>
            <w:r>
              <w:t>Line buffer / segmentation parameters, line geometry edits</w:t>
            </w:r>
          </w:p>
        </w:tc>
        <w:tc>
          <w:tcPr>
            <w:tcW w:type="dxa" w:w="3249"/>
            <w:vAlign w:val="top"/>
          </w:tcPr>
          <w:p>
            <w:r>
              <w:t>Lines only</w:t>
            </w:r>
          </w:p>
        </w:tc>
        <w:tc>
          <w:tcPr>
            <w:tcW w:type="dxa" w:w="3249"/>
            <w:vAlign w:val="top"/>
          </w:tcPr>
          <w:p>
            <w:r>
              <w:t>Line outputs are independent of the geocode pipeline.</w:t>
            </w:r>
          </w:p>
        </w:tc>
      </w:tr>
      <w:tr>
        <w:tc>
          <w:tcPr>
            <w:tcW w:type="dxa" w:w="3249"/>
            <w:vAlign w:val="top"/>
          </w:tcPr>
          <w:p>
            <w:r>
              <w:t>Analysis polygons / study-area definitions</w:t>
            </w:r>
          </w:p>
        </w:tc>
        <w:tc>
          <w:tcPr>
            <w:tcW w:type="dxa" w:w="3249"/>
            <w:vAlign w:val="top"/>
          </w:tcPr>
          <w:p>
            <w:r>
              <w:t>Analysis only</w:t>
            </w:r>
          </w:p>
        </w:tc>
        <w:tc>
          <w:tcPr>
            <w:tcW w:type="dxa" w:w="3249"/>
            <w:vAlign w:val="top"/>
          </w:tcPr>
          <w:p>
            <w:r>
              <w:t>Reads existing tbl_flat and tbl_stacked.</w:t>
            </w:r>
          </w:p>
        </w:tc>
      </w:tr>
      <w:tr>
        <w:tc>
          <w:tcPr>
            <w:tcW w:type="dxa" w:w="3249"/>
            <w:vAlign w:val="top"/>
          </w:tcPr>
          <w:p>
            <w:r>
              <w:t>cell_size, chunk_size, geocode_soft_limit, asset_soft_limit</w:t>
            </w:r>
          </w:p>
        </w:tc>
        <w:tc>
          <w:tcPr>
            <w:tcW w:type="dxa" w:w="3249"/>
            <w:vAlign w:val="top"/>
          </w:tcPr>
          <w:p>
            <w:r>
              <w:t>Intersect + Flatten + Backfill (plus downstream)</w:t>
            </w:r>
          </w:p>
        </w:tc>
        <w:tc>
          <w:tcPr>
            <w:tcW w:type="dxa" w:w="3249"/>
            <w:vAlign w:val="top"/>
          </w:tcPr>
          <w:p>
            <w:r>
              <w:t>These shape tbl_stacked itself.</w:t>
            </w:r>
          </w:p>
        </w:tc>
      </w:tr>
      <w:tr>
        <w:tc>
          <w:tcPr>
            <w:tcW w:type="dxa" w:w="3249"/>
            <w:vAlign w:val="top"/>
          </w:tcPr>
          <w:p>
            <w:r>
              <w:t>Added a new H3 resolution or a new custom geocode group</w:t>
            </w:r>
          </w:p>
        </w:tc>
        <w:tc>
          <w:tcPr>
            <w:tcW w:type="dxa" w:w="3249"/>
            <w:vAlign w:val="top"/>
          </w:tcPr>
          <w:p>
            <w:r>
              <w:t>Intersect + Flatten + Backfill (plus downstream)</w:t>
            </w:r>
          </w:p>
        </w:tc>
        <w:tc>
          <w:tcPr>
            <w:tcW w:type="dxa" w:w="3249"/>
            <w:vAlign w:val="top"/>
          </w:tcPr>
          <w:p>
            <w:r>
              <w:t>New geocode IDs appear in tbl_stacked, so flatten and everything after must rerun.</w:t>
            </w:r>
          </w:p>
        </w:tc>
      </w:tr>
      <w:tr>
        <w:tc>
          <w:tcPr>
            <w:tcW w:type="dxa" w:w="3249"/>
            <w:vAlign w:val="top"/>
          </w:tcPr>
          <w:p>
            <w:r>
              <w:t>Re-imported assets (Workflows → Prepare data → Assets)</w:t>
            </w:r>
          </w:p>
        </w:tc>
        <w:tc>
          <w:tcPr>
            <w:tcW w:type="dxa" w:w="3249"/>
            <w:vAlign w:val="top"/>
          </w:tcPr>
          <w:p>
            <w:r>
              <w:t>Intersect + Flatten + Backfill (plus downstream)</w:t>
            </w:r>
          </w:p>
        </w:tc>
        <w:tc>
          <w:tcPr>
            <w:tcW w:type="dxa" w:w="3249"/>
            <w:vAlign w:val="top"/>
          </w:tcPr>
          <w:p>
            <w:r>
              <w:t>New asset rows in tbl_asset_object invalidate the existing intersection.</w:t>
            </w:r>
          </w:p>
        </w:tc>
      </w:tr>
      <w:tr>
        <w:tc>
          <w:tcPr>
            <w:tcW w:type="dxa" w:w="3249"/>
            <w:vAlign w:val="top"/>
          </w:tcPr>
          <w:p>
            <w:r>
              <w:t>Re-imported or regenerated geocodes</w:t>
            </w:r>
          </w:p>
        </w:tc>
        <w:tc>
          <w:tcPr>
            <w:tcW w:type="dxa" w:w="3249"/>
            <w:vAlign w:val="top"/>
          </w:tcPr>
          <w:p>
            <w:r>
              <w:t>Intersect + Flatten + Backfill (plus downstream)</w:t>
            </w:r>
          </w:p>
        </w:tc>
        <w:tc>
          <w:tcPr>
            <w:tcW w:type="dxa" w:w="3249"/>
            <w:vAlign w:val="top"/>
          </w:tcPr>
          <w:p>
            <w:r>
              <w:t>Same reason — tbl_geocode_object changed.</w:t>
            </w:r>
          </w:p>
        </w:tc>
      </w:tr>
      <w:tr>
        <w:tc>
          <w:tcPr>
            <w:tcW w:type="dxa" w:w="3249"/>
            <w:vAlign w:val="top"/>
          </w:tcPr>
          <w:p>
            <w:r>
              <w:t>Mosaic tuning (mosaic_coverage_union_batch, mosaic_line_union_max_partials, mosaic_coverage_union)</w:t>
            </w:r>
          </w:p>
        </w:tc>
        <w:tc>
          <w:tcPr>
            <w:tcW w:type="dxa" w:w="3249"/>
            <w:vAlign w:val="top"/>
          </w:tcPr>
          <w:p>
            <w:r>
              <w:t>Re-publish basic_mosaic from Geocodes, then Intersect + Flatten + Backfill (plus downstream)</w:t>
            </w:r>
          </w:p>
        </w:tc>
        <w:tc>
          <w:tcPr>
            <w:tcW w:type="dxa" w:w="3249"/>
            <w:vAlign w:val="top"/>
          </w:tcPr>
          <w:p>
            <w:r>
              <w:t>These tune the mosaic build. The mosaic is a geocode group, so changes propagate from intersect onwards.</w:t>
            </w:r>
          </w:p>
        </w:tc>
      </w:tr>
      <w:tr>
        <w:tc>
          <w:tcPr>
            <w:tcW w:type="dxa" w:w="3249"/>
            <w:vAlign w:val="top"/>
          </w:tcPr>
          <w:p>
            <w:r>
              <w:t>Worker counts (max_workers, flatten_*_workers, tiles_max_workers, backfill_max_workers)</w:t>
            </w:r>
          </w:p>
        </w:tc>
        <w:tc>
          <w:tcPr>
            <w:tcW w:type="dxa" w:w="3249"/>
            <w:vAlign w:val="top"/>
          </w:tcPr>
          <w:p>
            <w:r>
              <w:t>Whatever stage is next</w:t>
            </w:r>
          </w:p>
        </w:tc>
        <w:tc>
          <w:tcPr>
            <w:tcW w:type="dxa" w:w="3249"/>
            <w:vAlign w:val="top"/>
          </w:tcPr>
          <w:p>
            <w:r>
              <w:t>These don't change outputs, only how the next run executes. Override what you need, rerun the affected stage.</w:t>
            </w:r>
          </w:p>
        </w:tc>
      </w:tr>
      <w:tr>
        <w:tc>
          <w:tcPr>
            <w:tcW w:type="dxa" w:w="3249"/>
            <w:vAlign w:val="top"/>
          </w:tcPr>
          <w:p>
            <w:r>
              <w:t>report_basemap_mode, report-level layout / styling</w:t>
            </w:r>
          </w:p>
        </w:tc>
        <w:tc>
          <w:tcPr>
            <w:tcW w:type="dxa" w:w="3249"/>
            <w:vAlign w:val="top"/>
          </w:tcPr>
          <w:p>
            <w:r>
              <w:t>Re-run Report engine (Workflows → Results)</w:t>
            </w:r>
          </w:p>
        </w:tc>
        <w:tc>
          <w:tcPr>
            <w:tcW w:type="dxa" w:w="3249"/>
            <w:vAlign w:val="top"/>
          </w:tcPr>
          <w:p>
            <w:r>
              <w:t>Reports read existing parquet/MBTiles. Processing stages do not need to rerun.</w:t>
            </w:r>
          </w:p>
        </w:tc>
      </w:tr>
    </w:tbl>
    <w:p/>
    <w:p>
      <w:pPr>
        <w:pStyle w:val="Heading2"/>
      </w:pPr>
      <w:r>
        <w:t>10.2.3 Practical tips</w:t>
      </w:r>
    </w:p>
    <w:p>
      <w:pPr>
        <w:pStyle w:val="ListBullet"/>
      </w:pPr>
      <w:r>
        <w:t>Read the [auto-tune] block at the top of every run log to verify the runner picked the worker counts you expected. If you have just set flatten_max_workers = 4 in config.ini but the log shows flatten_max_workers = 1, auto-tune was constrained by available RAM — close other apps or raise mem_target_frac and rerun.</w:t>
      </w:r>
    </w:p>
    <w:p>
      <w:pPr>
        <w:pStyle w:val="ListBullet"/>
      </w:pPr>
      <w:r>
        <w:t>The pre-flight at the start of Flatten checks both system-wide RAM use and a dataset-aware peak estimate (see 10.4 Memory safety nets). It will let small datasets through on busy desktops; if it ever blocks you incorrectly, the abort message names the two operator knobs to relax.</w:t>
      </w:r>
    </w:p>
    <w:p>
      <w:pPr>
        <w:pStyle w:val="ListBullet"/>
      </w:pPr>
      <w:r>
        <w:t>Use Manage data → Create backup before exploratory parameter sweeps. Reverting is one click; figuring out what changed three iterations later is not.</w:t>
      </w:r>
    </w:p>
    <w:p>
      <w:pPr>
        <w:pStyle w:val="ListBullet"/>
      </w:pPr>
      <w:r>
        <w:t>The Status tab shows row counts for tbl_stacked and tbl_flat. If you tick 'Flatten only' and rerun, watch the tbl_flat row count change; tbl_stacked should stay the same.</w:t>
      </w:r>
    </w:p>
    <w:p>
      <w:pPr>
        <w:pStyle w:val="ListBullet"/>
      </w:pPr>
      <w:r>
        <w:t>For pure parameter sweeps (importance / susceptibility only), tick just Flatten + Backfill. Tiles and Analysis can wait until you have settled on a parameter set worth rendering.</w:t>
      </w:r>
    </w:p>
    <w:p>
      <w:pPr>
        <w:pStyle w:val="Heading2"/>
      </w:pPr>
      <w:r>
        <w:t>10.3 Performance knobs (config.ini)</w:t>
      </w:r>
    </w:p>
    <w:p>
      <w:pPr>
        <w:pStyle w:val="ListBullet"/>
      </w:pPr>
      <w:r>
        <w:t>chunk_size — processing chunk size for heavy spatial operations.</w:t>
      </w:r>
    </w:p>
    <w:p>
      <w:pPr>
        <w:pStyle w:val="ListBullet"/>
      </w:pPr>
      <w:r>
        <w:t>max_workers, flatten_max_workers, flatten_small_max_workers, tiles_max_workers, backfill_max_workers — per-stage worker caps. Leave at 0 to let auto_tune decide; set a positive integer to override exactly.</w:t>
      </w:r>
    </w:p>
    <w:p>
      <w:pPr>
        <w:pStyle w:val="ListBullet"/>
      </w:pPr>
      <w:r>
        <w:t>h3_max_cells — safeguard for extremely fine H3 resolutions.</w:t>
      </w:r>
    </w:p>
    <w:p>
      <w:pPr>
        <w:pStyle w:val="ListBullet"/>
      </w:pPr>
      <w:r>
        <w:t>tiles_minzoom / tiles_maxzoom — output MBTiles zoom range.</w:t>
      </w:r>
    </w:p>
    <w:p>
      <w:pPr>
        <w:pStyle w:val="ListBullet"/>
      </w:pPr>
      <w:r>
        <w:t>mem_target_frac / approx_gb_per_worker — memory targeting for the auto-tuner.</w:t>
      </w:r>
    </w:p>
    <w:p>
      <w:pPr>
        <w:pStyle w:val="Heading2"/>
      </w:pPr>
      <w:r>
        <w:t>10.4 Memory safety nets</w:t>
      </w:r>
    </w:p>
    <w:p>
      <w:pPr>
        <w:pStyle w:val="ListBullet"/>
      </w:pPr>
      <w:r>
        <w:t>Pre-flight check before flatten — evaluates two signals and aborts only when both fail: system-wide RAM use above flatten_preflight_max_vm_percent AND available RAM below flatten_preflight_avail_safety_factor × estimated peak (estimated from on-disk tbl_stacked size and the auto-tuned worker counts). Pagefile/swap above flatten_preflight_max_swap_gb is still its own hard signal. Small datasets on busy desktops now go through; big datasets on starved hosts still abort cleanly.</w:t>
      </w:r>
    </w:p>
    <w:p>
      <w:pPr>
        <w:pStyle w:val="ListBullet"/>
      </w:pPr>
      <w:r>
        <w:t>Per-pool panic watchdog (mem_panic_percent / mem_panic_grace_secs) — if RAM crosses the threshold past the grace period, the pool is terminated cleanly.</w:t>
      </w:r>
    </w:p>
    <w:p>
      <w:pPr>
        <w:pStyle w:val="ListBullet"/>
      </w:pPr>
      <w:r>
        <w:t>Process-lifetime sentinel (mem_lifetime_panic_percent / mem_lifetime_panic_grace_secs) — last-resort backstop covering parent-side work between pools.</w:t>
      </w:r>
    </w:p>
    <w:p>
      <w:pPr>
        <w:pStyle w:val="Heading2"/>
      </w:pPr>
      <w:r>
        <w:t>10.5 Mosaic union batching</w:t>
      </w:r>
    </w:p>
    <w:p>
      <w:pPr>
        <w:pStyle w:val="ListBullet"/>
      </w:pPr>
      <w:r>
        <w:t>mosaic_coverage_union_batch — bigger batches (~2000–4000 on 64+ GB hosts) produce fewer, larger intermediate unions.</w:t>
      </w:r>
    </w:p>
    <w:p>
      <w:pPr>
        <w:pStyle w:val="ListBullet"/>
      </w:pPr>
      <w:r>
        <w:t>mosaic_line_union_max_partials — higher cap (32–64) means fewer reduction rounds.</w:t>
      </w:r>
    </w:p>
    <w:p>
      <w:pPr>
        <w:pStyle w:val="ListBullet"/>
      </w:pPr>
      <w:r>
        <w:t>mosaic_coverage_union = false — escape hatch that skips the coverage-reduction stage entirely and falls back to STRtree filtering.</w:t>
      </w:r>
    </w:p>
    <w:p>
      <w:pPr>
        <w:pStyle w:val="Heading2"/>
      </w:pPr>
      <w:r>
        <w:t>10.6 Basemap and tile caching</w:t>
      </w:r>
    </w:p>
    <w:p>
      <w:pPr>
        <w:pStyle w:val="ListBullet"/>
      </w:pPr>
      <w:r>
        <w:t>xyz — use the built-in downloader with persistent cache under output/tile_cache/.</w:t>
      </w:r>
    </w:p>
    <w:p>
      <w:pPr>
        <w:pStyle w:val="ListBullet"/>
      </w:pPr>
      <w:r>
        <w:t>contextily — use contextily if installed.</w:t>
      </w:r>
    </w:p>
    <w:p>
      <w:pPr>
        <w:pStyle w:val="ListBullet"/>
      </w:pPr>
      <w:r>
        <w:t>auto — prefer contextily, fall back to xyz.</w:t>
      </w:r>
    </w:p>
    <w:p>
      <w:r>
        <w:t>First-run cost: the first report run on a new AOI (or after the cache has expired) must download every basemap tile the report touches from tile.openstreetmap.org. With each map covering several hundred tiles across multiple zoom levels, this can add minutes to tens of minutes to the run depending on report scope, network speed, and OSM tile-server response. Subsequent runs that touch the same area read from output/tile_cache/ and complete much faster. Tiles are cached for 30 days (TILE_CACHE_MAX_AGE_DAYS in code/report_generate.py); older tiles are re-fetched the next time they are needed. The cache is keyed by zoom/x/y, so entries are reusable across atlases and reports that overlap geographically.</w:t>
      </w:r>
    </w:p>
    <w:p>
      <w:pPr>
        <w:pStyle w:val="ListBullet"/>
      </w:pPr>
      <w:r>
        <w:t>Run the report once on a representative AOI before a workshop or live demo so the cache is warm.</w:t>
      </w:r>
    </w:p>
    <w:p>
      <w:pPr>
        <w:pStyle w:val="ListBullet"/>
      </w:pPr>
      <w:r>
        <w:t>The cache is portable: copying output/tile_cache/ between machines or projects covering the same area skips the download phase entirely.</w:t>
      </w:r>
    </w:p>
    <w:p>
      <w:pPr>
        <w:pStyle w:val="ListBullet"/>
      </w:pPr>
      <w:r>
        <w:t>If you regenerate reports frequently and tile-server response is slow, prefer a single wide first run that covers the eventual report extent rather than running narrow then expanding.</w:t>
      </w:r>
    </w:p>
    <w:p>
      <w:pPr>
        <w:pStyle w:val="ListBullet"/>
      </w:pPr>
      <w:r>
        <w:t>Be respectful of the OpenStreetMap tile-server usage policy (https://operations.osmfoundation.org/policies/tiles/); the local cache is partly there for that reason.</w:t>
      </w:r>
    </w:p>
    <w:p>
      <w:r>
        <w:br w:type="page"/>
      </w:r>
    </w:p>
    <w:p>
      <w:pPr>
        <w:pStyle w:val="Heading1"/>
      </w:pPr>
      <w:r>
        <w:t>11. Troubleshooting</w:t>
      </w:r>
    </w:p>
    <w:p>
      <w:pPr>
        <w:pStyle w:val="Heading2"/>
      </w:pPr>
      <w:r>
        <w:t>11.1 What 'slow' is normal</w:t>
      </w:r>
    </w:p>
    <w:p>
      <w:r>
        <w:t>MESA works with large geospatial datasets and uses a Python stack (GeoPandas/Shapely/PyProj/Arrow) that can take time to import and warm up. Startup and the first opening of heavy tools may feel slow (tens of seconds). Once loaded, the UI and map interaction are usually responsive and stable. Prefer an SSD and keep the MESA workspace on a local disk; avoid network drives or highly synced folders such as OneDrive if performance is poor.</w:t>
      </w:r>
    </w:p>
    <w:p>
      <w:pPr>
        <w:pStyle w:val="Heading2"/>
      </w:pPr>
      <w:r>
        <w:t>11.2 Maps: window does not open / opens blank</w:t>
      </w:r>
    </w:p>
    <w:p>
      <w:r>
        <w:t>MESA's built-in map viewers use pywebview with WebView2 (Edge Chromium). WebView2 is not Google Chrome and does not depend on Chrome. Check Windows Settings → Apps → Installed apps for Microsoft Edge WebView2 Runtime. If missing, run Windows Update fully and reboot, or install the Evergreen WebView2 Runtime (or via 'winget install Microsoft.WebView2Runtime').</w:t>
      </w:r>
    </w:p>
    <w:p>
      <w:r>
        <w:t>If the map opens but shows no layers, the analysis map renders overlays from MBTiles under output/mbtiles/. If that folder is empty, run Workflows → Process with Area enabled and verify .mbtiles files exist.</w:t>
      </w:r>
    </w:p>
    <w:p>
      <w:r>
        <w:t>Offline behaviour (MESA 5.0.2 and later): map windows ship with the Leaflet library bundled locally, so they render even on hosts with no internet access or with corporate proxies that block public CDNs. When the WebView reports the host is offline, a thin orange banner appears at the top of the map with the text 'Offline – showing cached map tiles only. Pan to areas you have viewed online before.' OpenStreetMap basemap tiles continue to be served from MESA's on-disk tile cache (output/cache/osm_tiles), so areas previously viewed online remain available. Areas never visited online will appear as a grey grid until network access returns; the editor controls themselves work either way.</w:t>
      </w:r>
    </w:p>
    <w:p>
      <w:pPr>
        <w:pStyle w:val="Heading2"/>
      </w:pPr>
      <w:r>
        <w:t>11.3 'Nothing happens' when clicking a map button</w:t>
      </w:r>
    </w:p>
    <w:p>
      <w:r>
        <w:t>In the packaged app, some helper tools are launched in-process and others are started as separate processes from tools/. Open PowerShell in the MESA folder and run the standalone helper directly to see errors: tools\map_overview.exe, tools\asset_map_view.exe, tools\analysis_setup.exe, tools\line_manage.exe, tools\tiles_create_raster.exe.</w:t>
      </w:r>
    </w:p>
    <w:p>
      <w:pPr>
        <w:pStyle w:val="Heading2"/>
      </w:pPr>
      <w:r>
        <w:t>11.4 Common Windows setup pitfalls</w:t>
      </w:r>
    </w:p>
    <w:p>
      <w:pPr>
        <w:pStyle w:val="ListBullet"/>
      </w:pPr>
      <w:r>
        <w:t>Running from a protected folder (e.g. C:\Program Files) can prevent MESA from writing output/ and logs. Prefer a user-writable workspace folder.</w:t>
      </w:r>
    </w:p>
    <w:p>
      <w:pPr>
        <w:pStyle w:val="ListBullet"/>
      </w:pPr>
      <w:r>
        <w:t>Unzipping 'partial' releases — keep the shipped folder structure intact (input/, output/, tools/, system_resources/, qgis/, config.ini).</w:t>
      </w:r>
    </w:p>
    <w:p>
      <w:pPr>
        <w:pStyle w:val="ListBullet"/>
      </w:pPr>
      <w:r>
        <w:t>On fresh Windows installs, maps may fail until all Windows updates and runtimes (including WebView2) are in place.</w:t>
      </w:r>
    </w:p>
    <w:p>
      <w:pPr>
        <w:pStyle w:val="Heading2"/>
      </w:pPr>
      <w:r>
        <w:t>11.5 Processing aborts at flatten with PRE-FLIGHT ABORT</w:t>
      </w:r>
    </w:p>
    <w:p>
      <w:r>
        <w:t>The flatten stage refuses to start if the host already looks too memory-pressured to finish safely. As of MESA 5.0.2 the check evaluates two signals together — system-wide RAM use AND a dataset-aware headroom estimate — and aborts only when both fail. The swap-residue check is still a separate hard signal. The log line names the gate that tripped it, for example 'vm.percent 78.4% &gt; 60% AND avail 6.2 GB &lt; 1.25 × est_peak 8.0 GB = 10.0 GB' or 'swap_used 7.3 GB &gt; 5.0 GB'. Close other heavy applications, wait a minute for swap to drain, restart the MESA launcher, and rerun Process. If pre-flight keeps tripping on a host with plenty of free RAM, raise flatten_preflight_avail_safety_factor (default 1.25) or flatten_preflight_max_vm_percent (default 60) in config.ini; the abort message itself names both knobs.</w:t>
      </w:r>
    </w:p>
    <w:p>
      <w:pPr>
        <w:pStyle w:val="Heading2"/>
      </w:pPr>
      <w:r>
        <w:t>11.6 'Reducing coverage' looks stuck</w:t>
      </w:r>
    </w:p>
    <w:p>
      <w:r>
        <w:t>Basic_mosaic's coverage-reduction stage runs single-threaded GEOS unions. On larger projects this can take hours, and the heartbeat goes silent during a single very-large union call. Confirm the process is alive in Task Manager (CPU at ~85% on a single core means it is grinding, not deadlocked). For long-term improvement, run Tune processing → Evaluate → Commit changes — advised values for mosaic_coverage_union_batch and mosaic_line_union_max_partials scale with the host's RAM tier and dramatically reduce reduction rounds. For an extreme dataset, set mosaic_coverage_union = false in config.ini to skip the coverage-reduction stage entirely.</w:t>
      </w:r>
    </w:p>
    <w:p>
      <w:pPr>
        <w:pStyle w:val="Heading2"/>
      </w:pPr>
      <w:r>
        <w:t>11.7 Still stuck?</w:t>
      </w:r>
    </w:p>
    <w:p>
      <w:r>
        <w:t>When reporting a problem, include: Windows version (Home/Pro + build); whether you run packaged or from source; whether Microsoft Edge WebView2 Runtime is installed; whether output/mbtiles contains .mbtiles files; the newest lines from log.txt in the MESA folder.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